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71" w:rsidRPr="00C00DC0" w:rsidRDefault="00735571" w:rsidP="008F3B10">
      <w:pPr>
        <w:pStyle w:val="NoSpacing"/>
      </w:pPr>
    </w:p>
    <w:tbl>
      <w:tblPr>
        <w:tblW w:w="9357"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2836"/>
        <w:gridCol w:w="3686"/>
        <w:gridCol w:w="2835"/>
      </w:tblGrid>
      <w:tr w:rsidR="00735571" w:rsidRPr="00C00DC0" w:rsidTr="00E34364">
        <w:trPr>
          <w:cantSplit/>
          <w:trHeight w:val="384"/>
        </w:trPr>
        <w:tc>
          <w:tcPr>
            <w:tcW w:w="6522" w:type="dxa"/>
            <w:gridSpan w:val="2"/>
            <w:tcBorders>
              <w:top w:val="single" w:sz="4" w:space="0" w:color="auto"/>
              <w:bottom w:val="single" w:sz="4" w:space="0" w:color="auto"/>
              <w:right w:val="single" w:sz="4" w:space="0" w:color="auto"/>
            </w:tcBorders>
            <w:shd w:val="clear" w:color="auto" w:fill="D9D9D9"/>
          </w:tcPr>
          <w:p w:rsidR="00735571" w:rsidRPr="00AD4CCD" w:rsidRDefault="00735571" w:rsidP="008F3B10">
            <w:pPr>
              <w:pStyle w:val="NoSpacing"/>
              <w:rPr>
                <w:b/>
                <w:color w:val="FF0000"/>
              </w:rPr>
            </w:pPr>
            <w:r w:rsidRPr="00AD4CCD">
              <w:rPr>
                <w:b/>
                <w:color w:val="FF0000"/>
              </w:rPr>
              <w:t xml:space="preserve">DRAFT </w:t>
            </w:r>
          </w:p>
          <w:p w:rsidR="00735571" w:rsidRPr="00AD4CCD" w:rsidRDefault="00735571" w:rsidP="008F3B10">
            <w:pPr>
              <w:pStyle w:val="NoSpacing"/>
              <w:rPr>
                <w:b/>
              </w:rPr>
            </w:pPr>
            <w:r w:rsidRPr="00AD4CCD">
              <w:rPr>
                <w:b/>
              </w:rPr>
              <w:t>Summary Terms and Conditions for a Term Loan Facility</w:t>
            </w:r>
          </w:p>
          <w:p w:rsidR="00735571" w:rsidRPr="00AD4CCD" w:rsidRDefault="00735571" w:rsidP="008F3B10">
            <w:pPr>
              <w:pStyle w:val="NoSpacing"/>
              <w:ind w:left="34"/>
              <w:rPr>
                <w:b/>
              </w:rPr>
            </w:pPr>
          </w:p>
        </w:tc>
        <w:tc>
          <w:tcPr>
            <w:tcW w:w="2835" w:type="dxa"/>
            <w:tcBorders>
              <w:top w:val="single" w:sz="4" w:space="0" w:color="auto"/>
              <w:left w:val="single" w:sz="4" w:space="0" w:color="auto"/>
              <w:bottom w:val="single" w:sz="4" w:space="0" w:color="auto"/>
            </w:tcBorders>
            <w:shd w:val="clear" w:color="auto" w:fill="D9D9D9"/>
          </w:tcPr>
          <w:p w:rsidR="00735571" w:rsidRPr="00AD4CCD" w:rsidRDefault="00735571" w:rsidP="008F3B10">
            <w:pPr>
              <w:pStyle w:val="NoSpacing"/>
              <w:jc w:val="right"/>
              <w:rPr>
                <w:b/>
              </w:rPr>
            </w:pPr>
            <w:r w:rsidRPr="00AD4CCD">
              <w:rPr>
                <w:b/>
                <w:color w:val="FF0000"/>
              </w:rPr>
              <w:t xml:space="preserve">Xxxx </w:t>
            </w:r>
            <w:r w:rsidRPr="00AD4CCD">
              <w:rPr>
                <w:b/>
              </w:rPr>
              <w:t>201</w:t>
            </w:r>
            <w:r w:rsidRPr="00AD4CCD">
              <w:rPr>
                <w:b/>
                <w:color w:val="FF0000"/>
              </w:rPr>
              <w:t>X</w:t>
            </w:r>
          </w:p>
          <w:p w:rsidR="00735571" w:rsidRPr="00AD4CCD" w:rsidRDefault="00735571" w:rsidP="008F3B10">
            <w:pPr>
              <w:pStyle w:val="NoSpacing"/>
              <w:jc w:val="right"/>
              <w:rPr>
                <w:b/>
              </w:rPr>
            </w:pPr>
            <w:r w:rsidRPr="00AD4CCD">
              <w:rPr>
                <w:b/>
              </w:rPr>
              <w:t>Subject to Contract</w:t>
            </w:r>
          </w:p>
          <w:p w:rsidR="00735571" w:rsidRPr="00AD4CCD" w:rsidRDefault="00735571" w:rsidP="008F3B10">
            <w:pPr>
              <w:pStyle w:val="NoSpacing"/>
              <w:ind w:left="34" w:right="176"/>
            </w:pPr>
          </w:p>
        </w:tc>
      </w:tr>
      <w:tr w:rsidR="00735571" w:rsidRPr="00C00DC0" w:rsidTr="00E34364">
        <w:trPr>
          <w:cantSplit/>
          <w:trHeight w:val="384"/>
        </w:trPr>
        <w:tc>
          <w:tcPr>
            <w:tcW w:w="2836" w:type="dxa"/>
            <w:tcBorders>
              <w:top w:val="single" w:sz="4" w:space="0" w:color="auto"/>
            </w:tcBorders>
          </w:tcPr>
          <w:p w:rsidR="00735571" w:rsidRPr="00AD4CCD" w:rsidRDefault="00735571" w:rsidP="008F3B10">
            <w:pPr>
              <w:pStyle w:val="NoSpacing"/>
              <w:ind w:left="34"/>
              <w:rPr>
                <w:b/>
              </w:rPr>
            </w:pPr>
            <w:r w:rsidRPr="00AD4CCD">
              <w:rPr>
                <w:b/>
              </w:rPr>
              <w:t>Borrower:</w:t>
            </w:r>
          </w:p>
        </w:tc>
        <w:tc>
          <w:tcPr>
            <w:tcW w:w="6521" w:type="dxa"/>
            <w:gridSpan w:val="2"/>
            <w:tcBorders>
              <w:top w:val="single" w:sz="4" w:space="0" w:color="auto"/>
            </w:tcBorders>
          </w:tcPr>
          <w:p w:rsidR="00735571" w:rsidRPr="00AD4CCD" w:rsidRDefault="00735571" w:rsidP="00C944AF">
            <w:pPr>
              <w:pStyle w:val="NoSpacing"/>
              <w:ind w:left="34" w:right="176"/>
            </w:pPr>
          </w:p>
        </w:tc>
      </w:tr>
      <w:tr w:rsidR="00735571" w:rsidRPr="00C00DC0" w:rsidTr="00E34364">
        <w:trPr>
          <w:cantSplit/>
        </w:trPr>
        <w:tc>
          <w:tcPr>
            <w:tcW w:w="2836" w:type="dxa"/>
          </w:tcPr>
          <w:p w:rsidR="00735571" w:rsidRPr="00AD4CCD" w:rsidRDefault="00735571" w:rsidP="008F3B10">
            <w:pPr>
              <w:pStyle w:val="NoSpacing"/>
              <w:ind w:left="34"/>
              <w:rPr>
                <w:b/>
              </w:rPr>
            </w:pPr>
            <w:r w:rsidRPr="00AD4CCD">
              <w:rPr>
                <w:b/>
              </w:rPr>
              <w:t>Lender:</w:t>
            </w:r>
          </w:p>
        </w:tc>
        <w:tc>
          <w:tcPr>
            <w:tcW w:w="6521" w:type="dxa"/>
            <w:gridSpan w:val="2"/>
          </w:tcPr>
          <w:p w:rsidR="00735571" w:rsidRPr="00AD4CCD" w:rsidRDefault="00735571" w:rsidP="00B458E0">
            <w:pPr>
              <w:pStyle w:val="NoSpacing"/>
              <w:ind w:left="34" w:right="176"/>
            </w:pPr>
            <w:r w:rsidRPr="00AD4CCD">
              <w:t xml:space="preserve">Affordable Housing Finance Plc (AHF) </w:t>
            </w:r>
          </w:p>
          <w:p w:rsidR="00735571" w:rsidRPr="00AD4CCD" w:rsidRDefault="00735571" w:rsidP="00B458E0">
            <w:pPr>
              <w:pStyle w:val="NoSpacing"/>
              <w:ind w:left="34" w:right="176"/>
            </w:pPr>
          </w:p>
        </w:tc>
      </w:tr>
      <w:tr w:rsidR="00735571" w:rsidRPr="00C00DC0" w:rsidTr="00E34364">
        <w:trPr>
          <w:cantSplit/>
          <w:trHeight w:val="806"/>
        </w:trPr>
        <w:tc>
          <w:tcPr>
            <w:tcW w:w="2836" w:type="dxa"/>
          </w:tcPr>
          <w:p w:rsidR="00735571" w:rsidRPr="00AD4CCD" w:rsidRDefault="00735571" w:rsidP="00B458E0">
            <w:pPr>
              <w:pStyle w:val="NoSpacing"/>
              <w:ind w:left="34"/>
              <w:rPr>
                <w:b/>
              </w:rPr>
            </w:pPr>
            <w:r w:rsidRPr="00AD4CCD">
              <w:rPr>
                <w:b/>
              </w:rPr>
              <w:t>Guarantor:</w:t>
            </w:r>
          </w:p>
        </w:tc>
        <w:tc>
          <w:tcPr>
            <w:tcW w:w="6521" w:type="dxa"/>
            <w:gridSpan w:val="2"/>
          </w:tcPr>
          <w:p w:rsidR="00735571" w:rsidRPr="00AD4CCD" w:rsidRDefault="00735571" w:rsidP="00B458E0">
            <w:pPr>
              <w:pStyle w:val="NoSpacing"/>
              <w:ind w:left="34" w:right="176"/>
            </w:pPr>
            <w:r w:rsidRPr="00AD4CCD">
              <w:t>The Secretary of State for Communities and Local Government (DCLG)</w:t>
            </w:r>
          </w:p>
        </w:tc>
      </w:tr>
      <w:tr w:rsidR="00735571" w:rsidRPr="00C00DC0" w:rsidTr="00E34364">
        <w:trPr>
          <w:cantSplit/>
          <w:trHeight w:val="806"/>
        </w:trPr>
        <w:tc>
          <w:tcPr>
            <w:tcW w:w="2836" w:type="dxa"/>
          </w:tcPr>
          <w:p w:rsidR="00735571" w:rsidRPr="00AD4CCD" w:rsidRDefault="00735571" w:rsidP="00B458E0">
            <w:pPr>
              <w:pStyle w:val="NoSpacing"/>
              <w:ind w:left="34"/>
              <w:rPr>
                <w:b/>
              </w:rPr>
            </w:pPr>
            <w:r w:rsidRPr="00AD4CCD">
              <w:rPr>
                <w:b/>
              </w:rPr>
              <w:t>Total Loan amount:</w:t>
            </w:r>
          </w:p>
        </w:tc>
        <w:tc>
          <w:tcPr>
            <w:tcW w:w="6521" w:type="dxa"/>
            <w:gridSpan w:val="2"/>
          </w:tcPr>
          <w:p w:rsidR="00735571" w:rsidRPr="00AD4CCD" w:rsidRDefault="00735571" w:rsidP="00B458E0">
            <w:pPr>
              <w:pStyle w:val="NoSpacing"/>
              <w:ind w:left="34" w:right="176"/>
            </w:pPr>
            <w:r w:rsidRPr="00AD4CCD">
              <w:t>Up to £</w:t>
            </w:r>
            <w:r w:rsidRPr="00AD4CCD">
              <w:rPr>
                <w:color w:val="FF0000"/>
              </w:rPr>
              <w:t>X</w:t>
            </w:r>
            <w:r w:rsidRPr="00AD4CCD">
              <w:t>m nominal amount</w:t>
            </w:r>
          </w:p>
          <w:p w:rsidR="00735571" w:rsidRPr="00AD4CCD" w:rsidRDefault="00735571" w:rsidP="00B458E0">
            <w:pPr>
              <w:pStyle w:val="NoSpacing"/>
              <w:ind w:left="34" w:right="176"/>
            </w:pPr>
          </w:p>
          <w:p w:rsidR="00735571" w:rsidRPr="00AD4CCD" w:rsidRDefault="00735571" w:rsidP="00E34364">
            <w:pPr>
              <w:pStyle w:val="NoSpacing"/>
              <w:ind w:left="34" w:right="176"/>
            </w:pPr>
            <w:r w:rsidRPr="00AD4CCD">
              <w:t>To be made available by way of a Bond Facility Loan</w:t>
            </w:r>
          </w:p>
          <w:p w:rsidR="00735571" w:rsidRPr="00AD4CCD" w:rsidRDefault="00735571" w:rsidP="00F209B6">
            <w:pPr>
              <w:pStyle w:val="NoSpacing"/>
              <w:ind w:left="754" w:right="176"/>
            </w:pPr>
          </w:p>
        </w:tc>
      </w:tr>
      <w:tr w:rsidR="00735571" w:rsidRPr="00C00DC0" w:rsidTr="00E34364">
        <w:trPr>
          <w:cantSplit/>
          <w:trHeight w:val="806"/>
        </w:trPr>
        <w:tc>
          <w:tcPr>
            <w:tcW w:w="2836" w:type="dxa"/>
          </w:tcPr>
          <w:p w:rsidR="00735571" w:rsidRPr="00AD4CCD" w:rsidRDefault="00735571" w:rsidP="008F3B10">
            <w:pPr>
              <w:pStyle w:val="NoSpacing"/>
              <w:ind w:left="34"/>
              <w:rPr>
                <w:b/>
              </w:rPr>
            </w:pPr>
            <w:r w:rsidRPr="00AD4CCD">
              <w:rPr>
                <w:b/>
              </w:rPr>
              <w:t>Purpose:</w:t>
            </w:r>
          </w:p>
          <w:p w:rsidR="00735571" w:rsidRPr="00AD4CCD" w:rsidRDefault="00735571" w:rsidP="008F3B10">
            <w:pPr>
              <w:pStyle w:val="NoSpacing"/>
              <w:ind w:left="34"/>
              <w:rPr>
                <w:b/>
              </w:rPr>
            </w:pPr>
          </w:p>
        </w:tc>
        <w:tc>
          <w:tcPr>
            <w:tcW w:w="6521" w:type="dxa"/>
            <w:gridSpan w:val="2"/>
          </w:tcPr>
          <w:p w:rsidR="00735571" w:rsidRPr="00AD4CCD" w:rsidRDefault="00735571" w:rsidP="008F3B10">
            <w:pPr>
              <w:pStyle w:val="NoSpacing"/>
              <w:ind w:left="34" w:right="176"/>
              <w:rPr>
                <w:rFonts w:cs="Arial"/>
              </w:rPr>
            </w:pPr>
            <w:r w:rsidRPr="00AD4CCD">
              <w:rPr>
                <w:rFonts w:cs="Arial"/>
              </w:rPr>
              <w:t>To finance the purchase, acquisition and development of property to be used for affordable housing, in the context of specific schemes/projects which meet certain eligibility criteria (Approved Investment Schemes – see Appendix 1 for more detail).</w:t>
            </w:r>
          </w:p>
          <w:p w:rsidR="00735571" w:rsidRPr="00AD4CCD" w:rsidRDefault="00735571" w:rsidP="008F3B10">
            <w:pPr>
              <w:pStyle w:val="NoSpacing"/>
              <w:ind w:left="34" w:right="176"/>
              <w:rPr>
                <w:rFonts w:cs="Arial"/>
                <w:sz w:val="10"/>
                <w:szCs w:val="10"/>
              </w:rPr>
            </w:pPr>
          </w:p>
          <w:p w:rsidR="00735571" w:rsidRPr="00AD4CCD" w:rsidRDefault="00735571" w:rsidP="00132CD4">
            <w:pPr>
              <w:pStyle w:val="NoSpacing"/>
              <w:ind w:left="34" w:right="176"/>
              <w:rPr>
                <w:rFonts w:cs="Arial"/>
              </w:rPr>
            </w:pPr>
            <w:r w:rsidRPr="00AD4CCD">
              <w:rPr>
                <w:rFonts w:cs="Arial"/>
              </w:rPr>
              <w:t>No on-lending of the facility is permitted without AHF’s prior written consent.</w:t>
            </w:r>
          </w:p>
          <w:p w:rsidR="00735571" w:rsidRPr="00AD4CCD" w:rsidRDefault="00735571" w:rsidP="00132CD4">
            <w:pPr>
              <w:pStyle w:val="NoSpacing"/>
              <w:ind w:left="34" w:right="176"/>
            </w:pPr>
          </w:p>
        </w:tc>
      </w:tr>
      <w:tr w:rsidR="00735571" w:rsidRPr="00B97E5A" w:rsidTr="007137CF">
        <w:trPr>
          <w:cantSplit/>
        </w:trPr>
        <w:tc>
          <w:tcPr>
            <w:tcW w:w="2836" w:type="dxa"/>
          </w:tcPr>
          <w:p w:rsidR="00735571" w:rsidRPr="00AD4CCD" w:rsidRDefault="00735571" w:rsidP="007D520C">
            <w:pPr>
              <w:pStyle w:val="NoSpacing"/>
              <w:ind w:left="34"/>
              <w:rPr>
                <w:b/>
              </w:rPr>
            </w:pPr>
            <w:r w:rsidRPr="00AD4CCD">
              <w:rPr>
                <w:b/>
              </w:rPr>
              <w:t>Maturity:</w:t>
            </w:r>
          </w:p>
        </w:tc>
        <w:tc>
          <w:tcPr>
            <w:tcW w:w="6521" w:type="dxa"/>
            <w:gridSpan w:val="2"/>
          </w:tcPr>
          <w:p w:rsidR="00735571" w:rsidRPr="00AD4CCD" w:rsidRDefault="00735571" w:rsidP="007D520C">
            <w:pPr>
              <w:pStyle w:val="NoSpacing"/>
              <w:ind w:left="34" w:right="176"/>
            </w:pPr>
            <w:r w:rsidRPr="00AD4CCD">
              <w:rPr>
                <w:color w:val="FF0000"/>
              </w:rPr>
              <w:t>June</w:t>
            </w:r>
            <w:r w:rsidRPr="00AD4CCD">
              <w:t xml:space="preserve"> 2043 (implying a term of 28 years assuming a </w:t>
            </w:r>
            <w:r w:rsidRPr="00AD4CCD">
              <w:rPr>
                <w:color w:val="FF0000"/>
              </w:rPr>
              <w:t>June</w:t>
            </w:r>
            <w:r w:rsidRPr="00AD4CCD">
              <w:t xml:space="preserve"> 2015 issuance)</w:t>
            </w:r>
          </w:p>
          <w:p w:rsidR="00735571" w:rsidRPr="00AD4CCD" w:rsidRDefault="00735571" w:rsidP="007D520C">
            <w:pPr>
              <w:pStyle w:val="NoSpacing"/>
              <w:ind w:left="34" w:right="176"/>
            </w:pPr>
          </w:p>
        </w:tc>
      </w:tr>
      <w:tr w:rsidR="00735571" w:rsidRPr="00B97E5A" w:rsidTr="007137CF">
        <w:trPr>
          <w:cantSplit/>
        </w:trPr>
        <w:tc>
          <w:tcPr>
            <w:tcW w:w="2836" w:type="dxa"/>
          </w:tcPr>
          <w:p w:rsidR="00735571" w:rsidRPr="00AD4CCD" w:rsidRDefault="00735571" w:rsidP="007137CF">
            <w:pPr>
              <w:pStyle w:val="NoSpacing"/>
              <w:ind w:left="34"/>
              <w:rPr>
                <w:b/>
              </w:rPr>
            </w:pPr>
            <w:r w:rsidRPr="00AD4CCD">
              <w:rPr>
                <w:b/>
              </w:rPr>
              <w:t>Drawdown:</w:t>
            </w:r>
          </w:p>
        </w:tc>
        <w:tc>
          <w:tcPr>
            <w:tcW w:w="6521" w:type="dxa"/>
            <w:gridSpan w:val="2"/>
          </w:tcPr>
          <w:p w:rsidR="00735571" w:rsidRPr="00AD4CCD" w:rsidRDefault="00735571" w:rsidP="007137CF">
            <w:pPr>
              <w:pStyle w:val="NoSpacing"/>
              <w:ind w:left="34" w:right="176"/>
            </w:pPr>
            <w:r w:rsidRPr="00AD4CCD">
              <w:t xml:space="preserve">All of the proceeds will be drawn at closing (the “Closing Date”) </w:t>
            </w:r>
          </w:p>
          <w:p w:rsidR="00735571" w:rsidRPr="00AD4CCD" w:rsidRDefault="00735571" w:rsidP="007137CF">
            <w:pPr>
              <w:pStyle w:val="NoSpacing"/>
              <w:ind w:left="34" w:right="176"/>
            </w:pPr>
          </w:p>
        </w:tc>
      </w:tr>
      <w:tr w:rsidR="00735571" w:rsidRPr="00B97E5A" w:rsidTr="007137CF">
        <w:trPr>
          <w:cantSplit/>
        </w:trPr>
        <w:tc>
          <w:tcPr>
            <w:tcW w:w="2836" w:type="dxa"/>
          </w:tcPr>
          <w:p w:rsidR="00735571" w:rsidRPr="00AD4CCD" w:rsidRDefault="00735571" w:rsidP="007137CF">
            <w:pPr>
              <w:pStyle w:val="NoSpacing"/>
              <w:ind w:left="34"/>
              <w:rPr>
                <w:b/>
              </w:rPr>
            </w:pPr>
            <w:r w:rsidRPr="00AD4CCD">
              <w:rPr>
                <w:b/>
              </w:rPr>
              <w:t>Repayment:</w:t>
            </w:r>
          </w:p>
        </w:tc>
        <w:tc>
          <w:tcPr>
            <w:tcW w:w="6521" w:type="dxa"/>
            <w:gridSpan w:val="2"/>
          </w:tcPr>
          <w:p w:rsidR="00735571" w:rsidRPr="00AD4CCD" w:rsidRDefault="00735571" w:rsidP="007137CF">
            <w:pPr>
              <w:pStyle w:val="NoSpacing"/>
              <w:ind w:left="34" w:right="176"/>
            </w:pPr>
            <w:r w:rsidRPr="00AD4CCD">
              <w:t>Bullet</w:t>
            </w:r>
          </w:p>
          <w:p w:rsidR="00735571" w:rsidRPr="00AD4CCD" w:rsidRDefault="00735571" w:rsidP="007137CF">
            <w:pPr>
              <w:pStyle w:val="NoSpacing"/>
              <w:ind w:left="34" w:right="176"/>
            </w:pPr>
          </w:p>
        </w:tc>
      </w:tr>
      <w:tr w:rsidR="00735571" w:rsidRPr="00B97E5A" w:rsidTr="007D520C">
        <w:trPr>
          <w:cantSplit/>
        </w:trPr>
        <w:tc>
          <w:tcPr>
            <w:tcW w:w="2836" w:type="dxa"/>
          </w:tcPr>
          <w:p w:rsidR="00735571" w:rsidRPr="00AD4CCD" w:rsidRDefault="00735571" w:rsidP="007D520C">
            <w:pPr>
              <w:pStyle w:val="NoSpacing"/>
              <w:rPr>
                <w:b/>
              </w:rPr>
            </w:pPr>
            <w:r w:rsidRPr="00AD4CCD">
              <w:rPr>
                <w:b/>
              </w:rPr>
              <w:t>Nominal Interest Rate:</w:t>
            </w:r>
            <w:r w:rsidRPr="00AD4CCD">
              <w:rPr>
                <w:b/>
              </w:rPr>
              <w:tab/>
            </w:r>
          </w:p>
          <w:p w:rsidR="00735571" w:rsidRPr="00AD4CCD" w:rsidRDefault="00735571" w:rsidP="007D520C">
            <w:pPr>
              <w:pStyle w:val="NoSpacing"/>
              <w:ind w:left="34"/>
              <w:rPr>
                <w:b/>
              </w:rPr>
            </w:pPr>
          </w:p>
        </w:tc>
        <w:tc>
          <w:tcPr>
            <w:tcW w:w="6521" w:type="dxa"/>
            <w:gridSpan w:val="2"/>
          </w:tcPr>
          <w:p w:rsidR="00735571" w:rsidRPr="00AD4CCD" w:rsidRDefault="00735571" w:rsidP="007D520C">
            <w:pPr>
              <w:pStyle w:val="NoSpacing"/>
              <w:ind w:left="34" w:right="176"/>
            </w:pPr>
            <w:r w:rsidRPr="00AD4CCD">
              <w:t xml:space="preserve">Coupon TBA based on market conditions at the time of bond issue, payable in equal semi-annual payments </w:t>
            </w:r>
          </w:p>
          <w:p w:rsidR="00735571" w:rsidRPr="00AD4CCD" w:rsidRDefault="00735571" w:rsidP="007D520C">
            <w:pPr>
              <w:pStyle w:val="NoSpacing"/>
              <w:ind w:left="34" w:right="176"/>
            </w:pPr>
          </w:p>
        </w:tc>
      </w:tr>
      <w:tr w:rsidR="00735571" w:rsidRPr="00B97E5A" w:rsidTr="007137CF">
        <w:trPr>
          <w:cantSplit/>
        </w:trPr>
        <w:tc>
          <w:tcPr>
            <w:tcW w:w="2836" w:type="dxa"/>
            <w:tcBorders>
              <w:bottom w:val="single" w:sz="4" w:space="0" w:color="auto"/>
            </w:tcBorders>
          </w:tcPr>
          <w:p w:rsidR="00735571" w:rsidRPr="00AD4CCD" w:rsidRDefault="00735571" w:rsidP="007137CF">
            <w:pPr>
              <w:pStyle w:val="NoSpacing"/>
              <w:ind w:left="34"/>
              <w:rPr>
                <w:b/>
              </w:rPr>
            </w:pPr>
            <w:r w:rsidRPr="00AD4CCD">
              <w:rPr>
                <w:b/>
              </w:rPr>
              <w:t>Effective Interest Rate:</w:t>
            </w:r>
          </w:p>
        </w:tc>
        <w:tc>
          <w:tcPr>
            <w:tcW w:w="6521" w:type="dxa"/>
            <w:gridSpan w:val="2"/>
            <w:tcBorders>
              <w:bottom w:val="single" w:sz="4" w:space="0" w:color="auto"/>
            </w:tcBorders>
          </w:tcPr>
          <w:p w:rsidR="00735571" w:rsidRPr="00AD4CCD" w:rsidRDefault="00735571" w:rsidP="00F378E5">
            <w:pPr>
              <w:pStyle w:val="NoSpacing"/>
              <w:ind w:left="34" w:right="176"/>
              <w:rPr>
                <w:rFonts w:cs="Calibri"/>
              </w:rPr>
            </w:pPr>
            <w:r w:rsidRPr="00AD4CCD">
              <w:t>To be fixed on the Pricing Date which will be 4-5 business days prior to the Closing Date.</w:t>
            </w:r>
            <w:r w:rsidRPr="00AD4CCD">
              <w:rPr>
                <w:rFonts w:cs="Calibri"/>
              </w:rPr>
              <w:t xml:space="preserve"> </w:t>
            </w:r>
          </w:p>
          <w:p w:rsidR="00735571" w:rsidRPr="00AD4CCD" w:rsidRDefault="00735571" w:rsidP="00F378E5">
            <w:pPr>
              <w:pStyle w:val="NoSpacing"/>
              <w:ind w:left="34" w:right="176"/>
            </w:pPr>
          </w:p>
        </w:tc>
      </w:tr>
      <w:tr w:rsidR="00735571" w:rsidRPr="0051257C" w:rsidTr="007137CF">
        <w:trPr>
          <w:cantSplit/>
        </w:trPr>
        <w:tc>
          <w:tcPr>
            <w:tcW w:w="2836" w:type="dxa"/>
            <w:tcBorders>
              <w:bottom w:val="single" w:sz="4" w:space="0" w:color="auto"/>
            </w:tcBorders>
          </w:tcPr>
          <w:p w:rsidR="00735571" w:rsidRPr="00AD4CCD" w:rsidRDefault="00735571" w:rsidP="007137CF">
            <w:pPr>
              <w:pStyle w:val="NoSpacing"/>
              <w:ind w:left="34"/>
              <w:rPr>
                <w:b/>
              </w:rPr>
            </w:pPr>
            <w:r w:rsidRPr="00AD4CCD">
              <w:rPr>
                <w:b/>
              </w:rPr>
              <w:t>Initial Security</w:t>
            </w:r>
          </w:p>
        </w:tc>
        <w:tc>
          <w:tcPr>
            <w:tcW w:w="6521" w:type="dxa"/>
            <w:gridSpan w:val="2"/>
            <w:tcBorders>
              <w:bottom w:val="single" w:sz="4" w:space="0" w:color="auto"/>
            </w:tcBorders>
          </w:tcPr>
          <w:p w:rsidR="00735571" w:rsidRPr="00AD4CCD" w:rsidRDefault="00735571" w:rsidP="007137CF">
            <w:pPr>
              <w:pStyle w:val="NoSpacing"/>
              <w:ind w:left="34" w:right="176"/>
            </w:pPr>
            <w:r w:rsidRPr="00AD4CCD">
              <w:t>The loan may initially be secured by the cash proceeds, held on trust, in a Sinking Fund charged to AHF, for the benefit of the borrower. Interest accruing on Sinking Fund investments will be for the account of the Borrower.</w:t>
            </w:r>
          </w:p>
          <w:p w:rsidR="00735571" w:rsidRPr="00AD4CCD" w:rsidRDefault="00735571" w:rsidP="007137CF">
            <w:pPr>
              <w:pStyle w:val="NoSpacing"/>
              <w:ind w:left="34" w:right="176"/>
            </w:pPr>
          </w:p>
          <w:p w:rsidR="00735571" w:rsidRPr="00AD4CCD" w:rsidRDefault="00735571" w:rsidP="007137CF">
            <w:pPr>
              <w:pStyle w:val="NoSpacing"/>
              <w:ind w:left="34" w:right="176"/>
            </w:pPr>
            <w:r w:rsidRPr="00AD4CCD">
              <w:t>NOTE: if the net proceeds from the bond issue are insufficient to fully secure the loan there will be a requirement for the borrower to top up the sinking fund to at least the par value of the loan.</w:t>
            </w:r>
          </w:p>
          <w:p w:rsidR="00735571" w:rsidRPr="00AD4CCD" w:rsidRDefault="00735571" w:rsidP="007137CF">
            <w:pPr>
              <w:pStyle w:val="NoSpacing"/>
              <w:ind w:left="34" w:right="176"/>
            </w:pPr>
          </w:p>
        </w:tc>
      </w:tr>
      <w:tr w:rsidR="00735571" w:rsidRPr="00C00DC0" w:rsidTr="00E34364">
        <w:trPr>
          <w:cantSplit/>
        </w:trPr>
        <w:tc>
          <w:tcPr>
            <w:tcW w:w="2836" w:type="dxa"/>
          </w:tcPr>
          <w:p w:rsidR="00735571" w:rsidRPr="00AD4CCD" w:rsidRDefault="00735571" w:rsidP="004F2F26">
            <w:pPr>
              <w:pStyle w:val="NoSpacing"/>
              <w:ind w:left="34"/>
              <w:rPr>
                <w:b/>
              </w:rPr>
            </w:pPr>
            <w:r w:rsidRPr="00AD4CCD">
              <w:rPr>
                <w:b/>
              </w:rPr>
              <w:t>Security:</w:t>
            </w:r>
          </w:p>
        </w:tc>
        <w:tc>
          <w:tcPr>
            <w:tcW w:w="6521" w:type="dxa"/>
            <w:gridSpan w:val="2"/>
          </w:tcPr>
          <w:p w:rsidR="00735571" w:rsidRPr="00AD4CCD" w:rsidRDefault="00735571" w:rsidP="004F2F26">
            <w:pPr>
              <w:pStyle w:val="NoSpacing"/>
            </w:pPr>
            <w:r w:rsidRPr="00AD4CCD">
              <w:t>Loans will be secured by a first fixed charge over specified properties.</w:t>
            </w:r>
          </w:p>
          <w:p w:rsidR="00735571" w:rsidRPr="00AD4CCD" w:rsidRDefault="00735571" w:rsidP="004F2F26">
            <w:pPr>
              <w:pStyle w:val="NoSpacing"/>
            </w:pPr>
          </w:p>
          <w:p w:rsidR="00735571" w:rsidRPr="00AD4CCD" w:rsidRDefault="00735571" w:rsidP="004F2F26">
            <w:pPr>
              <w:pStyle w:val="NoSpacing"/>
            </w:pPr>
            <w:r w:rsidRPr="00AD4CCD">
              <w:t>A minimum of 75% of the Security Portfolio to be General Needs social housing</w:t>
            </w:r>
          </w:p>
          <w:p w:rsidR="00735571" w:rsidRPr="00AD4CCD" w:rsidRDefault="00735571" w:rsidP="004F2F26">
            <w:pPr>
              <w:pStyle w:val="NoSpacing"/>
            </w:pPr>
          </w:p>
          <w:p w:rsidR="00735571" w:rsidRPr="00AD4CCD" w:rsidRDefault="00735571" w:rsidP="004F2F26">
            <w:pPr>
              <w:pStyle w:val="NoSpacing"/>
            </w:pPr>
            <w:r w:rsidRPr="00AD4CCD">
              <w:t>A sinking fund trust deed will be required to allow cash to be held as security from time to time. If a loan is secured by the cash proceeds on drawdown, after a maximum period of 12 months, the loan must be secured by a first fixed charge over specified properties.</w:t>
            </w:r>
          </w:p>
          <w:p w:rsidR="00735571" w:rsidRPr="00AD4CCD" w:rsidRDefault="00735571" w:rsidP="004F2F26">
            <w:pPr>
              <w:pStyle w:val="NoSpacing"/>
              <w:ind w:left="34" w:right="176"/>
            </w:pPr>
          </w:p>
        </w:tc>
      </w:tr>
      <w:tr w:rsidR="00735571" w:rsidRPr="00C00DC0" w:rsidTr="00E34364">
        <w:trPr>
          <w:cantSplit/>
        </w:trPr>
        <w:tc>
          <w:tcPr>
            <w:tcW w:w="2836" w:type="dxa"/>
          </w:tcPr>
          <w:p w:rsidR="00735571" w:rsidRPr="00AD4CCD" w:rsidRDefault="00735571" w:rsidP="004F2F26">
            <w:pPr>
              <w:pStyle w:val="NoSpacing"/>
              <w:ind w:left="34"/>
              <w:rPr>
                <w:b/>
              </w:rPr>
            </w:pPr>
            <w:r w:rsidRPr="00AD4CCD">
              <w:rPr>
                <w:b/>
              </w:rPr>
              <w:t>Asset Cover:</w:t>
            </w:r>
          </w:p>
        </w:tc>
        <w:tc>
          <w:tcPr>
            <w:tcW w:w="6521" w:type="dxa"/>
            <w:gridSpan w:val="2"/>
          </w:tcPr>
          <w:p w:rsidR="00735571" w:rsidRPr="00AD4CCD" w:rsidRDefault="00735571" w:rsidP="004F2F26">
            <w:pPr>
              <w:pStyle w:val="NoSpacing"/>
            </w:pPr>
            <w:r w:rsidRPr="00AD4CCD">
              <w:t>Asset cover shall be equal to or greater than 105% at all times on the basis of Existing Use Value - Social Housing.</w:t>
            </w:r>
          </w:p>
          <w:p w:rsidR="00735571" w:rsidRPr="00AD4CCD" w:rsidRDefault="00735571" w:rsidP="004F2F26">
            <w:pPr>
              <w:pStyle w:val="NoSpacing"/>
            </w:pPr>
          </w:p>
          <w:p w:rsidR="00735571" w:rsidRPr="00AD4CCD" w:rsidRDefault="00735571" w:rsidP="004F2F26">
            <w:pPr>
              <w:pStyle w:val="NoSpacing"/>
              <w:ind w:left="34" w:right="176"/>
            </w:pPr>
            <w:r w:rsidRPr="00AD4CCD">
              <w:t xml:space="preserve">On withdrawal of security, substitution of security with at least equal value must be made if the asset cover is below 115%. Withdrawal without substitution will be permitted subject to a withdrawal threshold of 115% asset cover. </w:t>
            </w:r>
          </w:p>
          <w:p w:rsidR="00735571" w:rsidRPr="00AD4CCD" w:rsidRDefault="00735571" w:rsidP="004F2F26">
            <w:pPr>
              <w:pStyle w:val="NoSpacing"/>
              <w:ind w:left="34" w:right="176"/>
              <w:rPr>
                <w:rFonts w:cs="Calibri"/>
              </w:rPr>
            </w:pPr>
          </w:p>
        </w:tc>
      </w:tr>
      <w:tr w:rsidR="00735571" w:rsidRPr="00C00DC0" w:rsidTr="00E34364">
        <w:trPr>
          <w:cantSplit/>
        </w:trPr>
        <w:tc>
          <w:tcPr>
            <w:tcW w:w="2836" w:type="dxa"/>
          </w:tcPr>
          <w:p w:rsidR="00735571" w:rsidRPr="00AD4CCD" w:rsidRDefault="00735571" w:rsidP="004F2F26">
            <w:pPr>
              <w:pStyle w:val="NoSpacing"/>
              <w:ind w:left="34"/>
              <w:rPr>
                <w:b/>
              </w:rPr>
            </w:pPr>
            <w:r w:rsidRPr="00AD4CCD">
              <w:rPr>
                <w:b/>
              </w:rPr>
              <w:t>Net Annual Income Cover:</w:t>
            </w:r>
          </w:p>
        </w:tc>
        <w:tc>
          <w:tcPr>
            <w:tcW w:w="6521" w:type="dxa"/>
            <w:gridSpan w:val="2"/>
          </w:tcPr>
          <w:p w:rsidR="00735571" w:rsidRPr="00AD4CCD" w:rsidRDefault="00735571" w:rsidP="004F2F26">
            <w:pPr>
              <w:pStyle w:val="NoSpacing"/>
              <w:ind w:left="34" w:right="176"/>
            </w:pPr>
            <w:r w:rsidRPr="00AD4CCD">
              <w:t>The Net Annual Income from charged security shall be 100% of annual interest payable on the loan, compliance to be certified annually by an Authorised Officer of the Borrower</w:t>
            </w:r>
          </w:p>
          <w:p w:rsidR="00735571" w:rsidRPr="00AD4CCD" w:rsidRDefault="00735571" w:rsidP="004F2F26">
            <w:pPr>
              <w:pStyle w:val="NoSpacing"/>
              <w:ind w:left="34" w:right="176"/>
            </w:pPr>
          </w:p>
        </w:tc>
      </w:tr>
      <w:tr w:rsidR="00735571" w:rsidRPr="00C00DC0" w:rsidTr="00E34364">
        <w:trPr>
          <w:cantSplit/>
        </w:trPr>
        <w:tc>
          <w:tcPr>
            <w:tcW w:w="2836" w:type="dxa"/>
          </w:tcPr>
          <w:p w:rsidR="00735571" w:rsidRPr="00AD4CCD" w:rsidRDefault="00735571" w:rsidP="004A0CE6">
            <w:pPr>
              <w:pStyle w:val="NoSpacing"/>
              <w:ind w:left="34"/>
              <w:rPr>
                <w:b/>
              </w:rPr>
            </w:pPr>
            <w:r w:rsidRPr="00AD4CCD">
              <w:rPr>
                <w:b/>
              </w:rPr>
              <w:t>Security conditions to include:</w:t>
            </w:r>
          </w:p>
        </w:tc>
        <w:tc>
          <w:tcPr>
            <w:tcW w:w="6521" w:type="dxa"/>
            <w:gridSpan w:val="2"/>
          </w:tcPr>
          <w:p w:rsidR="00735571" w:rsidRPr="00AD4CCD" w:rsidRDefault="00735571" w:rsidP="004F2F26">
            <w:pPr>
              <w:pStyle w:val="NoSpacing"/>
              <w:ind w:left="34" w:right="176"/>
            </w:pPr>
            <w:r w:rsidRPr="00AD4CCD">
              <w:t>Maintain in good and tenantable condition</w:t>
            </w:r>
          </w:p>
          <w:p w:rsidR="00735571" w:rsidRPr="00AD4CCD" w:rsidRDefault="00735571" w:rsidP="004F2F26">
            <w:pPr>
              <w:pStyle w:val="NoSpacing"/>
              <w:ind w:left="34" w:right="176"/>
            </w:pPr>
            <w:r w:rsidRPr="00AD4CCD">
              <w:t>Maintain insurances</w:t>
            </w:r>
          </w:p>
          <w:p w:rsidR="00735571" w:rsidRPr="00AD4CCD" w:rsidRDefault="00735571" w:rsidP="004F2F26">
            <w:pPr>
              <w:pStyle w:val="NoSpacing"/>
              <w:ind w:left="34" w:right="176"/>
            </w:pPr>
          </w:p>
        </w:tc>
      </w:tr>
      <w:tr w:rsidR="00735571" w:rsidRPr="00C00DC0" w:rsidTr="00E34364">
        <w:trPr>
          <w:cantSplit/>
          <w:trHeight w:val="846"/>
        </w:trPr>
        <w:tc>
          <w:tcPr>
            <w:tcW w:w="2836" w:type="dxa"/>
          </w:tcPr>
          <w:p w:rsidR="00735571" w:rsidRPr="00AD4CCD" w:rsidRDefault="00735571" w:rsidP="004F2F26">
            <w:pPr>
              <w:pStyle w:val="NoSpacing"/>
              <w:ind w:left="34"/>
              <w:rPr>
                <w:b/>
              </w:rPr>
            </w:pPr>
            <w:r w:rsidRPr="00AD4CCD">
              <w:rPr>
                <w:b/>
              </w:rPr>
              <w:t>Valuation:</w:t>
            </w:r>
          </w:p>
        </w:tc>
        <w:tc>
          <w:tcPr>
            <w:tcW w:w="6521" w:type="dxa"/>
            <w:gridSpan w:val="2"/>
          </w:tcPr>
          <w:p w:rsidR="00735571" w:rsidRPr="00AD4CCD" w:rsidRDefault="00735571" w:rsidP="004F2F26">
            <w:pPr>
              <w:pStyle w:val="NoSpacing"/>
              <w:ind w:left="34" w:right="176"/>
            </w:pPr>
            <w:r w:rsidRPr="00AD4CCD">
              <w:t xml:space="preserve">A full revaluation will be required every 5 years or more frequently at the request of the Lender. All revaluations shall be at the cost of the Borrower except that if the Lender requests more than one revaluation in any 12 month period the second (and any subsequent) revaluation shall be at the cost of the Lender unless such revaluation shows a breach of covenants in which case it shall be at the cost of the Borrower. </w:t>
            </w:r>
          </w:p>
          <w:p w:rsidR="00735571" w:rsidRPr="00AD4CCD" w:rsidRDefault="00735571" w:rsidP="004F2F26">
            <w:pPr>
              <w:pStyle w:val="NoSpacing"/>
              <w:ind w:left="34" w:right="176"/>
            </w:pPr>
          </w:p>
          <w:p w:rsidR="00735571" w:rsidRPr="00AD4CCD" w:rsidRDefault="00735571" w:rsidP="003C6CEA">
            <w:pPr>
              <w:pStyle w:val="NoSpacing"/>
            </w:pPr>
            <w:r w:rsidRPr="00AD4CCD">
              <w:t>If the asset cover is less than 108%, an annual desktop revaluation will be required to confirm that the value of the charged properties has not decreased below the minimum required level of 105%.</w:t>
            </w:r>
          </w:p>
          <w:p w:rsidR="00735571" w:rsidRPr="00AD4CCD" w:rsidRDefault="00735571" w:rsidP="004F2F26">
            <w:pPr>
              <w:pStyle w:val="NoSpacing"/>
              <w:ind w:left="34" w:right="176"/>
            </w:pPr>
          </w:p>
        </w:tc>
      </w:tr>
      <w:tr w:rsidR="00735571" w:rsidRPr="00C00DC0" w:rsidTr="00E34364">
        <w:trPr>
          <w:cantSplit/>
        </w:trPr>
        <w:tc>
          <w:tcPr>
            <w:tcW w:w="2836" w:type="dxa"/>
          </w:tcPr>
          <w:p w:rsidR="00735571" w:rsidRPr="00AD4CCD" w:rsidRDefault="00735571" w:rsidP="004F2F26">
            <w:pPr>
              <w:pStyle w:val="NoSpacing"/>
              <w:ind w:left="34"/>
              <w:rPr>
                <w:b/>
              </w:rPr>
            </w:pPr>
            <w:r w:rsidRPr="00AD4CCD">
              <w:rPr>
                <w:b/>
              </w:rPr>
              <w:t>Liquidity Reserve:</w:t>
            </w:r>
          </w:p>
        </w:tc>
        <w:tc>
          <w:tcPr>
            <w:tcW w:w="6521" w:type="dxa"/>
            <w:gridSpan w:val="2"/>
          </w:tcPr>
          <w:p w:rsidR="00735571" w:rsidRPr="00AD4CCD" w:rsidRDefault="00735571" w:rsidP="004F2F26">
            <w:pPr>
              <w:pStyle w:val="NoSpacing"/>
              <w:ind w:left="34" w:right="176"/>
            </w:pPr>
            <w:r w:rsidRPr="00AD4CCD">
              <w:t>A Liquidity Reserve shall be held on trust on behalf of the Borrower, funded by the Borrower to an amount not less than twelve months’ of interest.</w:t>
            </w:r>
          </w:p>
          <w:p w:rsidR="00735571" w:rsidRPr="00AD4CCD" w:rsidRDefault="00735571" w:rsidP="004F2F26">
            <w:pPr>
              <w:pStyle w:val="NoSpacing"/>
              <w:ind w:left="34" w:right="176"/>
            </w:pPr>
          </w:p>
          <w:p w:rsidR="00735571" w:rsidRPr="00AD4CCD" w:rsidRDefault="00735571" w:rsidP="00343873">
            <w:pPr>
              <w:pStyle w:val="NoSpacing"/>
              <w:ind w:left="34" w:right="176"/>
            </w:pPr>
            <w:r w:rsidRPr="00AD4CCD">
              <w:t>The borrower must maintain this balance in the Liquidity Reserve for the term of the loan. The Liquidity Reserve will be invested in UK Gilts or cash deposits. Subject to maintaining the minimum balance in the Liquidity Reserve, interest accruing on the investments held in the Liquidity Reserve will be released to the Borrower.</w:t>
            </w:r>
          </w:p>
          <w:p w:rsidR="00735571" w:rsidRPr="00AD4CCD" w:rsidRDefault="00735571" w:rsidP="004F2F26">
            <w:pPr>
              <w:pStyle w:val="NoSpacing"/>
              <w:ind w:left="34" w:right="176"/>
            </w:pPr>
          </w:p>
        </w:tc>
      </w:tr>
      <w:tr w:rsidR="00735571" w:rsidRPr="00C00DC0" w:rsidTr="00E34364">
        <w:trPr>
          <w:cantSplit/>
        </w:trPr>
        <w:tc>
          <w:tcPr>
            <w:tcW w:w="2836" w:type="dxa"/>
          </w:tcPr>
          <w:p w:rsidR="00735571" w:rsidRPr="00AD4CCD" w:rsidRDefault="00735571" w:rsidP="004F2F26">
            <w:pPr>
              <w:pStyle w:val="NoSpacing"/>
              <w:ind w:left="34"/>
              <w:rPr>
                <w:b/>
              </w:rPr>
            </w:pPr>
            <w:r w:rsidRPr="00AD4CCD">
              <w:rPr>
                <w:b/>
              </w:rPr>
              <w:t>Financial Covenants:</w:t>
            </w:r>
          </w:p>
        </w:tc>
        <w:tc>
          <w:tcPr>
            <w:tcW w:w="6521" w:type="dxa"/>
            <w:gridSpan w:val="2"/>
          </w:tcPr>
          <w:p w:rsidR="00735571" w:rsidRPr="00AD4CCD" w:rsidRDefault="00735571" w:rsidP="004F2F26">
            <w:pPr>
              <w:pStyle w:val="NoSpacing"/>
            </w:pPr>
            <w:r w:rsidRPr="00AD4CCD">
              <w:t>None</w:t>
            </w:r>
          </w:p>
          <w:p w:rsidR="00735571" w:rsidRPr="00AD4CCD" w:rsidRDefault="00735571" w:rsidP="004F2F26">
            <w:pPr>
              <w:pStyle w:val="NoSpacing"/>
            </w:pPr>
          </w:p>
        </w:tc>
      </w:tr>
      <w:tr w:rsidR="00735571" w:rsidRPr="00C00DC0" w:rsidTr="00E34364">
        <w:trPr>
          <w:cantSplit/>
          <w:trHeight w:val="846"/>
        </w:trPr>
        <w:tc>
          <w:tcPr>
            <w:tcW w:w="2836" w:type="dxa"/>
          </w:tcPr>
          <w:p w:rsidR="00735571" w:rsidRPr="00AD4CCD" w:rsidRDefault="00735571" w:rsidP="005735B2">
            <w:pPr>
              <w:pStyle w:val="NoSpacing"/>
              <w:rPr>
                <w:b/>
              </w:rPr>
            </w:pPr>
            <w:r w:rsidRPr="00AD4CCD">
              <w:rPr>
                <w:b/>
              </w:rPr>
              <w:t>Payments:</w:t>
            </w:r>
          </w:p>
        </w:tc>
        <w:tc>
          <w:tcPr>
            <w:tcW w:w="6521" w:type="dxa"/>
            <w:gridSpan w:val="2"/>
          </w:tcPr>
          <w:p w:rsidR="00735571" w:rsidRPr="00AD4CCD" w:rsidRDefault="00735571" w:rsidP="005735B2">
            <w:pPr>
              <w:pStyle w:val="NoSpacing"/>
              <w:ind w:left="34" w:right="176"/>
            </w:pPr>
            <w:r w:rsidRPr="00AD4CCD">
              <w:t xml:space="preserve">Interest payments and principal repayments will be due and payable 8 business days prior to AHF’s payment dates to bondholders </w:t>
            </w:r>
            <w:r w:rsidRPr="00AD4CCD">
              <w:rPr>
                <w:color w:val="FF0000"/>
              </w:rPr>
              <w:t>which will be xx June and xx December</w:t>
            </w:r>
            <w:r w:rsidRPr="00AD4CCD">
              <w:t xml:space="preserve"> each year, with the maturity date </w:t>
            </w:r>
            <w:r w:rsidRPr="00AD4CCD">
              <w:rPr>
                <w:color w:val="FF0000"/>
              </w:rPr>
              <w:t>xx June</w:t>
            </w:r>
            <w:r w:rsidRPr="00AD4CCD">
              <w:t xml:space="preserve"> 2043.</w:t>
            </w:r>
          </w:p>
          <w:p w:rsidR="00735571" w:rsidRPr="00AD4CCD" w:rsidRDefault="00735571" w:rsidP="005735B2">
            <w:pPr>
              <w:pStyle w:val="NoSpacing"/>
              <w:ind w:right="176"/>
            </w:pPr>
          </w:p>
          <w:p w:rsidR="00735571" w:rsidRPr="00AD4CCD" w:rsidRDefault="00735571" w:rsidP="005735B2">
            <w:pPr>
              <w:pStyle w:val="NoSpacing"/>
              <w:ind w:right="176"/>
            </w:pPr>
          </w:p>
          <w:p w:rsidR="00735571" w:rsidRPr="00AD4CCD" w:rsidRDefault="00735571" w:rsidP="005735B2">
            <w:pPr>
              <w:pStyle w:val="NoSpacing"/>
              <w:ind w:right="176"/>
            </w:pPr>
          </w:p>
        </w:tc>
      </w:tr>
      <w:tr w:rsidR="00735571" w:rsidRPr="004A0CE6" w:rsidTr="007137CF">
        <w:trPr>
          <w:cantSplit/>
        </w:trPr>
        <w:tc>
          <w:tcPr>
            <w:tcW w:w="2836" w:type="dxa"/>
            <w:tcBorders>
              <w:bottom w:val="single" w:sz="4" w:space="0" w:color="auto"/>
            </w:tcBorders>
          </w:tcPr>
          <w:p w:rsidR="00735571" w:rsidRPr="00AD4CCD" w:rsidRDefault="00735571" w:rsidP="007137CF">
            <w:pPr>
              <w:pStyle w:val="NoSpacing"/>
              <w:ind w:left="34"/>
              <w:rPr>
                <w:b/>
              </w:rPr>
            </w:pPr>
            <w:r w:rsidRPr="00AD4CCD">
              <w:rPr>
                <w:b/>
              </w:rPr>
              <w:t>Arrangement Fee:</w:t>
            </w:r>
          </w:p>
        </w:tc>
        <w:tc>
          <w:tcPr>
            <w:tcW w:w="6521" w:type="dxa"/>
            <w:gridSpan w:val="2"/>
            <w:tcBorders>
              <w:bottom w:val="single" w:sz="4" w:space="0" w:color="auto"/>
            </w:tcBorders>
          </w:tcPr>
          <w:p w:rsidR="00735571" w:rsidRPr="00AD4CCD" w:rsidRDefault="00735571" w:rsidP="007137CF">
            <w:pPr>
              <w:pStyle w:val="NoSpacing"/>
              <w:ind w:left="34" w:right="176"/>
            </w:pPr>
            <w:r w:rsidRPr="00AD4CCD">
              <w:t xml:space="preserve">0.35% flat, based on the Loan amount, payable on signing of the Bond Facility Loan agreement. </w:t>
            </w:r>
          </w:p>
          <w:p w:rsidR="00735571" w:rsidRPr="00AD4CCD" w:rsidRDefault="00735571" w:rsidP="007137CF">
            <w:pPr>
              <w:pStyle w:val="NoSpacing"/>
              <w:ind w:left="34" w:right="176"/>
            </w:pPr>
          </w:p>
        </w:tc>
      </w:tr>
      <w:tr w:rsidR="00735571" w:rsidRPr="00C00DC0" w:rsidTr="00E34364">
        <w:trPr>
          <w:cantSplit/>
        </w:trPr>
        <w:tc>
          <w:tcPr>
            <w:tcW w:w="2836" w:type="dxa"/>
          </w:tcPr>
          <w:p w:rsidR="00735571" w:rsidRPr="00AD4CCD" w:rsidRDefault="00735571" w:rsidP="008F3B10">
            <w:pPr>
              <w:pStyle w:val="NoSpacing"/>
              <w:ind w:left="34"/>
              <w:rPr>
                <w:b/>
              </w:rPr>
            </w:pPr>
            <w:r w:rsidRPr="00AD4CCD">
              <w:rPr>
                <w:b/>
              </w:rPr>
              <w:t>Facility Management Fee:</w:t>
            </w:r>
          </w:p>
        </w:tc>
        <w:tc>
          <w:tcPr>
            <w:tcW w:w="6521" w:type="dxa"/>
            <w:gridSpan w:val="2"/>
          </w:tcPr>
          <w:p w:rsidR="00735571" w:rsidRPr="00AD4CCD" w:rsidRDefault="00735571" w:rsidP="00173061">
            <w:pPr>
              <w:pStyle w:val="NoSpacing"/>
              <w:ind w:left="34" w:right="176"/>
            </w:pPr>
            <w:r w:rsidRPr="00AD4CCD">
              <w:t>0.10% per annum, indexed based on the commitment, accruing from the date of the loan agreement</w:t>
            </w:r>
          </w:p>
          <w:p w:rsidR="00735571" w:rsidRPr="00AD4CCD" w:rsidRDefault="00735571" w:rsidP="00173061">
            <w:pPr>
              <w:pStyle w:val="NoSpacing"/>
              <w:ind w:left="34" w:right="176"/>
            </w:pPr>
          </w:p>
        </w:tc>
      </w:tr>
      <w:tr w:rsidR="00735571" w:rsidRPr="00C00DC0" w:rsidTr="00E34364">
        <w:trPr>
          <w:cantSplit/>
        </w:trPr>
        <w:tc>
          <w:tcPr>
            <w:tcW w:w="2836" w:type="dxa"/>
          </w:tcPr>
          <w:p w:rsidR="00735571" w:rsidRPr="00AD4CCD" w:rsidRDefault="00735571" w:rsidP="007C604C">
            <w:pPr>
              <w:pStyle w:val="NoSpacing"/>
              <w:ind w:left="34"/>
              <w:rPr>
                <w:b/>
              </w:rPr>
            </w:pPr>
            <w:r w:rsidRPr="00AD4CCD">
              <w:rPr>
                <w:b/>
              </w:rPr>
              <w:t>Other fees/costs</w:t>
            </w:r>
            <w:bookmarkStart w:id="0" w:name="_GoBack"/>
            <w:bookmarkEnd w:id="0"/>
            <w:r w:rsidRPr="00AD4CCD">
              <w:rPr>
                <w:b/>
              </w:rPr>
              <w:t>:</w:t>
            </w:r>
          </w:p>
        </w:tc>
        <w:tc>
          <w:tcPr>
            <w:tcW w:w="6521" w:type="dxa"/>
            <w:gridSpan w:val="2"/>
          </w:tcPr>
          <w:p w:rsidR="00735571" w:rsidRPr="00AD4CCD" w:rsidRDefault="00735571" w:rsidP="007126C2">
            <w:pPr>
              <w:pStyle w:val="NoSpacing"/>
              <w:ind w:right="176"/>
            </w:pPr>
            <w:r w:rsidRPr="00AD4CCD">
              <w:t>All other legal and out-of-pocket fees for the account of the Borrower – estimated to be c.[£XX,000] plus VAT</w:t>
            </w:r>
          </w:p>
          <w:p w:rsidR="00735571" w:rsidRPr="00AD4CCD" w:rsidRDefault="00735571" w:rsidP="007126C2">
            <w:pPr>
              <w:pStyle w:val="NoSpacing"/>
              <w:ind w:right="176"/>
            </w:pPr>
          </w:p>
        </w:tc>
      </w:tr>
      <w:tr w:rsidR="00735571" w:rsidRPr="00C00DC0" w:rsidTr="00E34364">
        <w:trPr>
          <w:cantSplit/>
        </w:trPr>
        <w:tc>
          <w:tcPr>
            <w:tcW w:w="2836" w:type="dxa"/>
          </w:tcPr>
          <w:p w:rsidR="00735571" w:rsidRPr="00AD4CCD" w:rsidRDefault="00735571" w:rsidP="008F3B10">
            <w:pPr>
              <w:pStyle w:val="NoSpacing"/>
              <w:ind w:left="34"/>
              <w:rPr>
                <w:b/>
              </w:rPr>
            </w:pPr>
            <w:r w:rsidRPr="00AD4CCD">
              <w:rPr>
                <w:b/>
              </w:rPr>
              <w:t>Events of default: To include</w:t>
            </w:r>
          </w:p>
        </w:tc>
        <w:tc>
          <w:tcPr>
            <w:tcW w:w="6521" w:type="dxa"/>
            <w:gridSpan w:val="2"/>
          </w:tcPr>
          <w:p w:rsidR="00735571" w:rsidRPr="00AD4CCD" w:rsidRDefault="00735571" w:rsidP="008F3B10">
            <w:pPr>
              <w:pStyle w:val="NoSpacing"/>
              <w:ind w:left="34" w:right="176"/>
              <w:rPr>
                <w:rFonts w:cs="Calibri"/>
              </w:rPr>
            </w:pPr>
            <w:r w:rsidRPr="00AD4CCD">
              <w:rPr>
                <w:rFonts w:cs="Calibri"/>
              </w:rPr>
              <w:t xml:space="preserve">The events of default include, </w:t>
            </w:r>
            <w:r w:rsidRPr="00AD4CCD">
              <w:rPr>
                <w:rFonts w:cs="Calibri"/>
                <w:i/>
              </w:rPr>
              <w:t>inter alia</w:t>
            </w:r>
            <w:r w:rsidRPr="00AD4CCD">
              <w:rPr>
                <w:rFonts w:cs="Calibri"/>
              </w:rPr>
              <w:t>, non-payment of any principal and interest due in respect of the loan; failure of the Borrower to perform or observe any of its other obligations under the Finance Documents (in each case upon the expiry of the relevant grace period); loss of status as an RP; insolvency; unlawfulness; certain actions by the Regulator and acceleration or non-payment in respect of other indebtedness.</w:t>
            </w:r>
          </w:p>
          <w:p w:rsidR="00735571" w:rsidRPr="00AD4CCD" w:rsidRDefault="00735571" w:rsidP="008F3B10">
            <w:pPr>
              <w:pStyle w:val="NoSpacing"/>
              <w:ind w:left="34" w:right="176"/>
              <w:rPr>
                <w:rFonts w:cs="Calibri"/>
              </w:rPr>
            </w:pPr>
          </w:p>
        </w:tc>
      </w:tr>
      <w:tr w:rsidR="00735571" w:rsidRPr="00C00DC0" w:rsidTr="00E34364">
        <w:trPr>
          <w:cantSplit/>
        </w:trPr>
        <w:tc>
          <w:tcPr>
            <w:tcW w:w="2836" w:type="dxa"/>
          </w:tcPr>
          <w:p w:rsidR="00735571" w:rsidRPr="00AD4CCD" w:rsidRDefault="00735571" w:rsidP="00CC0882">
            <w:pPr>
              <w:pStyle w:val="NoSpacing"/>
              <w:ind w:left="34"/>
              <w:rPr>
                <w:b/>
              </w:rPr>
            </w:pPr>
            <w:r w:rsidRPr="00AD4CCD">
              <w:rPr>
                <w:b/>
              </w:rPr>
              <w:t>Mergers and subsidiaries:</w:t>
            </w:r>
          </w:p>
        </w:tc>
        <w:tc>
          <w:tcPr>
            <w:tcW w:w="6521" w:type="dxa"/>
            <w:gridSpan w:val="2"/>
          </w:tcPr>
          <w:p w:rsidR="00735571" w:rsidRPr="00AD4CCD" w:rsidRDefault="00735571" w:rsidP="00CC0882">
            <w:pPr>
              <w:pStyle w:val="NoSpacing"/>
            </w:pPr>
            <w:r w:rsidRPr="00AD4CCD">
              <w:t>The Borrower shall not enter into any merger, consolidation, amalgamation or transfer of engagements; acquire or form any subsidiary or become a subsidiary (other than its existing parent) without the prior written consent of AHF.</w:t>
            </w:r>
          </w:p>
          <w:p w:rsidR="00735571" w:rsidRPr="00AD4CCD" w:rsidRDefault="00735571" w:rsidP="00CC0882">
            <w:pPr>
              <w:pStyle w:val="NoSpacing"/>
            </w:pPr>
          </w:p>
        </w:tc>
      </w:tr>
      <w:tr w:rsidR="00735571" w:rsidRPr="00C00DC0" w:rsidTr="00E34364">
        <w:trPr>
          <w:cantSplit/>
        </w:trPr>
        <w:tc>
          <w:tcPr>
            <w:tcW w:w="2836" w:type="dxa"/>
          </w:tcPr>
          <w:p w:rsidR="00735571" w:rsidRPr="00AD4CCD" w:rsidRDefault="00735571" w:rsidP="00C56C83">
            <w:pPr>
              <w:pStyle w:val="NoSpacing"/>
              <w:ind w:left="34"/>
              <w:rPr>
                <w:b/>
              </w:rPr>
            </w:pPr>
            <w:r w:rsidRPr="00AD4CCD">
              <w:rPr>
                <w:b/>
              </w:rPr>
              <w:t>Intra-group Support:</w:t>
            </w:r>
          </w:p>
        </w:tc>
        <w:tc>
          <w:tcPr>
            <w:tcW w:w="6521" w:type="dxa"/>
            <w:gridSpan w:val="2"/>
          </w:tcPr>
          <w:p w:rsidR="00735571" w:rsidRPr="00AD4CCD" w:rsidRDefault="00735571" w:rsidP="008F3B10">
            <w:pPr>
              <w:pStyle w:val="NoSpacing"/>
            </w:pPr>
            <w:r w:rsidRPr="00AD4CCD">
              <w:t>The Borrower shall not provide any member of the Group with any financial support, assistance, grant, gift, loan, equity investment, guarantee or surety (or any similar form of financial assistance) or dispose of any asset to another member of the Group (other than for full market value) where such financial assistance or disposal would in aggregate exceed 25% of the Borrower’s capital and reserves (less any revaluation reserves but adding back any sum included as expenditure in the accounts in respect of depreciation on any housing land and buildings) as shown in its latest published financial statements.</w:t>
            </w:r>
          </w:p>
          <w:p w:rsidR="00735571" w:rsidRPr="00AD4CCD" w:rsidRDefault="00735571" w:rsidP="008F3B10">
            <w:pPr>
              <w:pStyle w:val="NoSpacing"/>
            </w:pPr>
          </w:p>
        </w:tc>
      </w:tr>
      <w:tr w:rsidR="00735571" w:rsidRPr="00C00DC0" w:rsidTr="00E34364">
        <w:trPr>
          <w:cantSplit/>
        </w:trPr>
        <w:tc>
          <w:tcPr>
            <w:tcW w:w="2836" w:type="dxa"/>
          </w:tcPr>
          <w:p w:rsidR="00735571" w:rsidRPr="00AD4CCD" w:rsidRDefault="00735571" w:rsidP="008F3B10">
            <w:pPr>
              <w:pStyle w:val="NoSpacing"/>
              <w:ind w:left="34"/>
              <w:rPr>
                <w:b/>
              </w:rPr>
            </w:pPr>
            <w:r w:rsidRPr="00AD4CCD">
              <w:rPr>
                <w:b/>
              </w:rPr>
              <w:t>Reporting requirements:</w:t>
            </w:r>
          </w:p>
        </w:tc>
        <w:tc>
          <w:tcPr>
            <w:tcW w:w="6521" w:type="dxa"/>
            <w:gridSpan w:val="2"/>
          </w:tcPr>
          <w:p w:rsidR="00735571" w:rsidRPr="00AD4CCD" w:rsidRDefault="00735571" w:rsidP="008F3B10">
            <w:pPr>
              <w:pStyle w:val="NoSpacing"/>
              <w:ind w:left="34" w:right="176"/>
            </w:pPr>
            <w:r w:rsidRPr="00AD4CCD">
              <w:t xml:space="preserve">The Borrower will furnish to the Lender within six months after the end of each financial year until maturity, audited year-end financial statements of the Borrower and consolidated financial statements on a Group basis. As soon as they are available, the Borrower will also furnish to the Lender any regulatory returns, reports or communication and </w:t>
            </w:r>
            <w:r w:rsidRPr="00AD4CCD">
              <w:rPr>
                <w:color w:val="000000"/>
              </w:rPr>
              <w:t>quarterly management reports.  The Borrower will also provide the Lender certain information relating to Approved Investment Schemes and the Security and any other information as AHF may reasonably require from time to time.</w:t>
            </w:r>
          </w:p>
          <w:p w:rsidR="00735571" w:rsidRPr="00AD4CCD" w:rsidRDefault="00735571" w:rsidP="008F3B10">
            <w:pPr>
              <w:pStyle w:val="NoSpacing"/>
              <w:ind w:left="34" w:right="176"/>
            </w:pPr>
          </w:p>
        </w:tc>
      </w:tr>
      <w:tr w:rsidR="00735571" w:rsidRPr="00C00DC0" w:rsidTr="00E34364">
        <w:trPr>
          <w:cantSplit/>
          <w:trHeight w:val="542"/>
        </w:trPr>
        <w:tc>
          <w:tcPr>
            <w:tcW w:w="2836" w:type="dxa"/>
          </w:tcPr>
          <w:p w:rsidR="00735571" w:rsidRPr="00AD4CCD" w:rsidRDefault="00735571" w:rsidP="005735B2">
            <w:pPr>
              <w:pStyle w:val="NoSpacing"/>
              <w:ind w:left="34"/>
              <w:rPr>
                <w:b/>
              </w:rPr>
            </w:pPr>
            <w:r w:rsidRPr="00AD4CCD">
              <w:rPr>
                <w:b/>
              </w:rPr>
              <w:t>Maintenance of status:</w:t>
            </w:r>
          </w:p>
        </w:tc>
        <w:tc>
          <w:tcPr>
            <w:tcW w:w="6521" w:type="dxa"/>
            <w:gridSpan w:val="2"/>
          </w:tcPr>
          <w:p w:rsidR="00735571" w:rsidRPr="00AD4CCD" w:rsidRDefault="00735571" w:rsidP="005735B2">
            <w:pPr>
              <w:pStyle w:val="NoSpacing"/>
              <w:ind w:left="34" w:right="176"/>
            </w:pPr>
            <w:r w:rsidRPr="00AD4CCD">
              <w:t>Borrower as a Registered Provider (classified to the private sector), a registered society within the meaning of the Co-Operative and Community Benefit Societies Act 2014 or a Charity</w:t>
            </w:r>
          </w:p>
          <w:p w:rsidR="00735571" w:rsidRPr="00AD4CCD" w:rsidRDefault="00735571" w:rsidP="005735B2">
            <w:pPr>
              <w:pStyle w:val="NoSpacing"/>
              <w:ind w:left="34" w:right="176"/>
            </w:pPr>
          </w:p>
        </w:tc>
      </w:tr>
      <w:tr w:rsidR="00735571" w:rsidRPr="00C00DC0" w:rsidTr="00E34364">
        <w:trPr>
          <w:cantSplit/>
        </w:trPr>
        <w:tc>
          <w:tcPr>
            <w:tcW w:w="2836" w:type="dxa"/>
            <w:tcBorders>
              <w:bottom w:val="single" w:sz="4" w:space="0" w:color="auto"/>
            </w:tcBorders>
          </w:tcPr>
          <w:p w:rsidR="00735571" w:rsidRPr="00AD4CCD" w:rsidRDefault="00735571" w:rsidP="008F3B10">
            <w:pPr>
              <w:pStyle w:val="NoSpacing"/>
              <w:ind w:left="34"/>
              <w:rPr>
                <w:b/>
              </w:rPr>
            </w:pPr>
            <w:r w:rsidRPr="00AD4CCD">
              <w:rPr>
                <w:b/>
              </w:rPr>
              <w:t>Governing Law:</w:t>
            </w:r>
          </w:p>
        </w:tc>
        <w:tc>
          <w:tcPr>
            <w:tcW w:w="6521" w:type="dxa"/>
            <w:gridSpan w:val="2"/>
            <w:tcBorders>
              <w:bottom w:val="single" w:sz="4" w:space="0" w:color="auto"/>
            </w:tcBorders>
          </w:tcPr>
          <w:p w:rsidR="00735571" w:rsidRPr="00AD4CCD" w:rsidRDefault="00735571" w:rsidP="008F3B10">
            <w:pPr>
              <w:pStyle w:val="NoSpacing"/>
              <w:ind w:left="34" w:right="176"/>
            </w:pPr>
            <w:r w:rsidRPr="00AD4CCD">
              <w:t>English</w:t>
            </w:r>
          </w:p>
          <w:p w:rsidR="00735571" w:rsidRPr="00AD4CCD" w:rsidRDefault="00735571" w:rsidP="008F3B10">
            <w:pPr>
              <w:pStyle w:val="NoSpacing"/>
              <w:ind w:left="34" w:right="176"/>
            </w:pPr>
          </w:p>
        </w:tc>
      </w:tr>
    </w:tbl>
    <w:p w:rsidR="00735571" w:rsidRPr="00C00DC0" w:rsidRDefault="00735571" w:rsidP="008F3B10">
      <w:pPr>
        <w:pStyle w:val="NoSpacing"/>
      </w:pPr>
    </w:p>
    <w:p w:rsidR="00735571" w:rsidRDefault="00735571" w:rsidP="004A0CE6">
      <w:pPr>
        <w:pStyle w:val="NoSpacing"/>
      </w:pPr>
    </w:p>
    <w:p w:rsidR="00735571" w:rsidRDefault="00735571" w:rsidP="004A0CE6">
      <w:pPr>
        <w:pStyle w:val="NoSpacing"/>
      </w:pPr>
    </w:p>
    <w:p w:rsidR="00735571" w:rsidRDefault="00735571" w:rsidP="004A0CE6">
      <w:pPr>
        <w:pStyle w:val="NoSpacing"/>
      </w:pPr>
      <w:r w:rsidRPr="00C00DC0">
        <w:t>The above list is not exhaustive and does not summarise all the conditions, covenants, representations, warranties and other provisions of the final legal documentation.  However, the contents do represent the broad terms and basis upon which we would be willing to pro</w:t>
      </w:r>
      <w:r>
        <w:t>vide finance.</w:t>
      </w:r>
    </w:p>
    <w:p w:rsidR="00735571" w:rsidRDefault="00735571">
      <w:pPr>
        <w:overflowPunct/>
        <w:autoSpaceDE/>
        <w:autoSpaceDN/>
        <w:adjustRightInd/>
        <w:textAlignment w:val="auto"/>
        <w:rPr>
          <w:rFonts w:ascii="Calibri" w:hAnsi="Calibri"/>
          <w:b/>
          <w:sz w:val="22"/>
          <w:szCs w:val="22"/>
        </w:rPr>
      </w:pPr>
      <w:r>
        <w:rPr>
          <w:b/>
        </w:rPr>
        <w:br w:type="page"/>
      </w:r>
    </w:p>
    <w:p w:rsidR="00735571" w:rsidRDefault="00735571" w:rsidP="00FB05CF">
      <w:pPr>
        <w:pStyle w:val="NoSpacing"/>
        <w:jc w:val="center"/>
        <w:rPr>
          <w:b/>
        </w:rPr>
      </w:pPr>
    </w:p>
    <w:p w:rsidR="00735571" w:rsidRDefault="00735571" w:rsidP="00FB05CF">
      <w:pPr>
        <w:pStyle w:val="NoSpacing"/>
        <w:jc w:val="center"/>
        <w:rPr>
          <w:b/>
        </w:rPr>
      </w:pPr>
      <w:r>
        <w:rPr>
          <w:b/>
        </w:rPr>
        <w:t>Appendix 1</w:t>
      </w:r>
    </w:p>
    <w:p w:rsidR="00735571" w:rsidRDefault="00735571" w:rsidP="00FB05CF">
      <w:pPr>
        <w:pStyle w:val="NoSpacing"/>
        <w:jc w:val="center"/>
        <w:rPr>
          <w:b/>
        </w:rPr>
      </w:pPr>
    </w:p>
    <w:p w:rsidR="00735571" w:rsidRDefault="00735571" w:rsidP="00FB05CF">
      <w:pPr>
        <w:pStyle w:val="NoSpacing"/>
        <w:jc w:val="center"/>
        <w:rPr>
          <w:b/>
        </w:rPr>
      </w:pPr>
      <w:r>
        <w:rPr>
          <w:b/>
        </w:rPr>
        <w:t>Affordable Housing Guarantee Scheme</w:t>
      </w:r>
    </w:p>
    <w:p w:rsidR="00735571" w:rsidRDefault="00735571" w:rsidP="00FB05CF">
      <w:pPr>
        <w:pStyle w:val="NoSpacing"/>
        <w:jc w:val="center"/>
        <w:rPr>
          <w:b/>
        </w:rPr>
      </w:pPr>
    </w:p>
    <w:p w:rsidR="00735571" w:rsidRDefault="00735571" w:rsidP="00FB05CF">
      <w:pPr>
        <w:pStyle w:val="NoSpacing"/>
        <w:jc w:val="center"/>
        <w:rPr>
          <w:b/>
        </w:rPr>
      </w:pPr>
      <w:r>
        <w:rPr>
          <w:b/>
        </w:rPr>
        <w:t>Extract from Scheme Rules – from DCLG’s website</w:t>
      </w:r>
    </w:p>
    <w:p w:rsidR="00735571" w:rsidRDefault="00735571" w:rsidP="00FB05CF">
      <w:pPr>
        <w:pStyle w:val="NoSpacing"/>
        <w:jc w:val="center"/>
        <w:rPr>
          <w:b/>
        </w:rPr>
      </w:pPr>
    </w:p>
    <w:p w:rsidR="00735571" w:rsidRPr="004A0CE6" w:rsidRDefault="00735571" w:rsidP="004A0CE6">
      <w:pPr>
        <w:pStyle w:val="ListParagraph"/>
        <w:numPr>
          <w:ilvl w:val="0"/>
          <w:numId w:val="12"/>
        </w:numPr>
        <w:ind w:hanging="720"/>
        <w:rPr>
          <w:rFonts w:ascii="Calibri" w:hAnsi="Calibri" w:cs="Calibri"/>
          <w:b/>
          <w:bCs/>
          <w:sz w:val="22"/>
          <w:szCs w:val="22"/>
        </w:rPr>
      </w:pPr>
      <w:r w:rsidRPr="004A0CE6">
        <w:rPr>
          <w:rFonts w:ascii="Calibri" w:hAnsi="Calibri" w:cs="Calibri"/>
          <w:b/>
          <w:bCs/>
          <w:sz w:val="22"/>
          <w:szCs w:val="22"/>
        </w:rPr>
        <w:t>Project Eligibility</w:t>
      </w:r>
    </w:p>
    <w:p w:rsidR="00735571" w:rsidRPr="004A0CE6" w:rsidRDefault="00735571" w:rsidP="004A0CE6">
      <w:pPr>
        <w:ind w:left="360"/>
        <w:rPr>
          <w:rFonts w:ascii="Calibri" w:hAnsi="Calibri" w:cs="Calibri"/>
          <w:b/>
          <w:bCs/>
          <w:sz w:val="22"/>
          <w:szCs w:val="22"/>
        </w:rPr>
      </w:pPr>
    </w:p>
    <w:p w:rsidR="00735571" w:rsidRPr="004A0CE6" w:rsidRDefault="00735571" w:rsidP="004A0CE6">
      <w:pPr>
        <w:ind w:left="709" w:hanging="709"/>
        <w:rPr>
          <w:rFonts w:ascii="Calibri" w:hAnsi="Calibri" w:cs="Calibri"/>
          <w:sz w:val="22"/>
          <w:szCs w:val="22"/>
        </w:rPr>
      </w:pPr>
      <w:r w:rsidRPr="004A0CE6">
        <w:rPr>
          <w:rFonts w:ascii="Calibri" w:hAnsi="Calibri" w:cs="Calibri"/>
          <w:sz w:val="22"/>
          <w:szCs w:val="22"/>
        </w:rPr>
        <w:t xml:space="preserve">1.1 </w:t>
      </w:r>
      <w:r w:rsidRPr="004A0CE6">
        <w:rPr>
          <w:rFonts w:ascii="Calibri" w:hAnsi="Calibri" w:cs="Calibri"/>
          <w:sz w:val="22"/>
          <w:szCs w:val="22"/>
        </w:rPr>
        <w:tab/>
        <w:t>Guarantees will only support projects that will deliver additional new-build affordable</w:t>
      </w:r>
      <w:r>
        <w:rPr>
          <w:rFonts w:ascii="Calibri" w:hAnsi="Calibri" w:cs="Calibri"/>
          <w:sz w:val="22"/>
          <w:szCs w:val="22"/>
        </w:rPr>
        <w:t xml:space="preserve"> </w:t>
      </w:r>
      <w:r w:rsidRPr="004A0CE6">
        <w:rPr>
          <w:rFonts w:ascii="Calibri" w:hAnsi="Calibri" w:cs="Calibri"/>
          <w:sz w:val="22"/>
          <w:szCs w:val="22"/>
        </w:rPr>
        <w:t>homes on schemes not included in existing affordable housing programmes.</w:t>
      </w:r>
    </w:p>
    <w:p w:rsidR="00735571" w:rsidRPr="004A0CE6" w:rsidRDefault="00735571" w:rsidP="004A0CE6">
      <w:pPr>
        <w:ind w:left="709" w:hanging="709"/>
        <w:rPr>
          <w:rFonts w:ascii="Calibri" w:hAnsi="Calibri" w:cs="Calibri"/>
          <w:sz w:val="22"/>
          <w:szCs w:val="22"/>
        </w:rPr>
      </w:pPr>
      <w:r w:rsidRPr="004A0CE6">
        <w:rPr>
          <w:rFonts w:ascii="Calibri" w:hAnsi="Calibri" w:cs="Calibri"/>
          <w:sz w:val="22"/>
          <w:szCs w:val="22"/>
        </w:rPr>
        <w:t>1.2</w:t>
      </w:r>
      <w:r w:rsidRPr="004A0CE6">
        <w:rPr>
          <w:rFonts w:ascii="Calibri" w:hAnsi="Calibri" w:cs="Calibri"/>
          <w:sz w:val="22"/>
          <w:szCs w:val="22"/>
        </w:rPr>
        <w:tab/>
        <w:t xml:space="preserve"> Loan Applicants may also, where applicable, apply for social housing assistance (or</w:t>
      </w:r>
      <w:r>
        <w:rPr>
          <w:rFonts w:ascii="Calibri" w:hAnsi="Calibri" w:cs="Calibri"/>
          <w:sz w:val="22"/>
          <w:szCs w:val="22"/>
        </w:rPr>
        <w:t xml:space="preserve"> </w:t>
      </w:r>
      <w:r w:rsidRPr="004A0CE6">
        <w:rPr>
          <w:rFonts w:ascii="Calibri" w:hAnsi="Calibri" w:cs="Calibri"/>
          <w:sz w:val="22"/>
          <w:szCs w:val="22"/>
        </w:rPr>
        <w:t>equivalent in the devolved administrations). Eligibility for the Guarantees will be</w:t>
      </w:r>
      <w:r>
        <w:rPr>
          <w:rFonts w:ascii="Calibri" w:hAnsi="Calibri" w:cs="Calibri"/>
          <w:sz w:val="22"/>
          <w:szCs w:val="22"/>
        </w:rPr>
        <w:t xml:space="preserve"> </w:t>
      </w:r>
      <w:r w:rsidRPr="004A0CE6">
        <w:rPr>
          <w:rFonts w:ascii="Calibri" w:hAnsi="Calibri" w:cs="Calibri"/>
          <w:sz w:val="22"/>
          <w:szCs w:val="22"/>
        </w:rPr>
        <w:t>assessed on the merits of each application irrespective of whether any parallel grant application is successful. Where grant or other subsidy is provided for any nominated</w:t>
      </w:r>
      <w:r>
        <w:rPr>
          <w:rFonts w:ascii="Calibri" w:hAnsi="Calibri" w:cs="Calibri"/>
          <w:sz w:val="22"/>
          <w:szCs w:val="22"/>
        </w:rPr>
        <w:t xml:space="preserve"> </w:t>
      </w:r>
      <w:r w:rsidRPr="004A0CE6">
        <w:rPr>
          <w:rFonts w:ascii="Calibri" w:hAnsi="Calibri" w:cs="Calibri"/>
          <w:sz w:val="22"/>
          <w:szCs w:val="22"/>
        </w:rPr>
        <w:t>scheme, then a Guarantee will only be available for the net debt required to finance the</w:t>
      </w:r>
      <w:r>
        <w:rPr>
          <w:rFonts w:ascii="Calibri" w:hAnsi="Calibri" w:cs="Calibri"/>
          <w:sz w:val="22"/>
          <w:szCs w:val="22"/>
        </w:rPr>
        <w:t xml:space="preserve"> development</w:t>
      </w:r>
      <w:r w:rsidRPr="004A0CE6">
        <w:rPr>
          <w:rFonts w:ascii="Calibri" w:hAnsi="Calibri" w:cs="Calibri"/>
          <w:sz w:val="22"/>
          <w:szCs w:val="22"/>
        </w:rPr>
        <w:t>.</w:t>
      </w:r>
    </w:p>
    <w:p w:rsidR="00735571" w:rsidRPr="004A0CE6" w:rsidRDefault="00735571" w:rsidP="004A0CE6">
      <w:pPr>
        <w:ind w:left="709" w:hanging="709"/>
        <w:rPr>
          <w:rFonts w:ascii="Calibri" w:hAnsi="Calibri" w:cs="Calibri"/>
          <w:sz w:val="22"/>
          <w:szCs w:val="22"/>
        </w:rPr>
      </w:pPr>
      <w:r w:rsidRPr="004A0CE6">
        <w:rPr>
          <w:rFonts w:ascii="Calibri" w:hAnsi="Calibri" w:cs="Calibri"/>
          <w:sz w:val="22"/>
          <w:szCs w:val="22"/>
        </w:rPr>
        <w:t>1.3</w:t>
      </w:r>
      <w:r w:rsidRPr="004A0CE6">
        <w:rPr>
          <w:rFonts w:ascii="Calibri" w:hAnsi="Calibri" w:cs="Calibri"/>
          <w:sz w:val="22"/>
          <w:szCs w:val="22"/>
        </w:rPr>
        <w:tab/>
        <w:t xml:space="preserve"> Affordable homes products that will be eligible are affordable rent and affordable home</w:t>
      </w:r>
      <w:r>
        <w:rPr>
          <w:rFonts w:ascii="Calibri" w:hAnsi="Calibri" w:cs="Calibri"/>
          <w:sz w:val="22"/>
          <w:szCs w:val="22"/>
        </w:rPr>
        <w:t xml:space="preserve"> </w:t>
      </w:r>
      <w:r w:rsidRPr="004A0CE6">
        <w:rPr>
          <w:rFonts w:ascii="Calibri" w:hAnsi="Calibri" w:cs="Calibri"/>
          <w:sz w:val="22"/>
          <w:szCs w:val="22"/>
        </w:rPr>
        <w:t xml:space="preserve">ownership in </w:t>
      </w:r>
      <w:smartTag w:uri="urn:schemas-microsoft-com:office:smarttags" w:element="country-region">
        <w:smartTag w:uri="urn:schemas-microsoft-com:office:smarttags" w:element="place">
          <w:r w:rsidRPr="004A0CE6">
            <w:rPr>
              <w:rFonts w:ascii="Calibri" w:hAnsi="Calibri" w:cs="Calibri"/>
              <w:sz w:val="22"/>
              <w:szCs w:val="22"/>
            </w:rPr>
            <w:t>England</w:t>
          </w:r>
        </w:smartTag>
      </w:smartTag>
      <w:r w:rsidRPr="004A0CE6">
        <w:rPr>
          <w:rFonts w:ascii="Calibri" w:hAnsi="Calibri" w:cs="Calibri"/>
          <w:sz w:val="22"/>
          <w:szCs w:val="22"/>
        </w:rPr>
        <w:t>, plus equivalent in the devolved administrations.</w:t>
      </w:r>
    </w:p>
    <w:p w:rsidR="00735571" w:rsidRPr="004A0CE6" w:rsidRDefault="00735571" w:rsidP="004A0CE6">
      <w:pPr>
        <w:ind w:left="709" w:hanging="709"/>
        <w:rPr>
          <w:rFonts w:ascii="Calibri" w:hAnsi="Calibri" w:cs="Calibri"/>
          <w:sz w:val="22"/>
          <w:szCs w:val="22"/>
        </w:rPr>
      </w:pPr>
      <w:r w:rsidRPr="004A0CE6">
        <w:rPr>
          <w:rFonts w:ascii="Calibri" w:hAnsi="Calibri" w:cs="Calibri"/>
          <w:sz w:val="22"/>
          <w:szCs w:val="22"/>
        </w:rPr>
        <w:t xml:space="preserve">1.4 </w:t>
      </w:r>
      <w:r w:rsidRPr="004A0CE6">
        <w:rPr>
          <w:rFonts w:ascii="Calibri" w:hAnsi="Calibri" w:cs="Calibri"/>
          <w:sz w:val="22"/>
          <w:szCs w:val="22"/>
        </w:rPr>
        <w:tab/>
        <w:t>Minimum size of project: Total debt requirement to be not less than £5m. However, the</w:t>
      </w:r>
      <w:r>
        <w:rPr>
          <w:rFonts w:ascii="Calibri" w:hAnsi="Calibri" w:cs="Calibri"/>
          <w:sz w:val="22"/>
          <w:szCs w:val="22"/>
        </w:rPr>
        <w:t xml:space="preserve"> </w:t>
      </w:r>
      <w:r w:rsidRPr="004A0CE6">
        <w:rPr>
          <w:rFonts w:ascii="Calibri" w:hAnsi="Calibri" w:cs="Calibri"/>
          <w:sz w:val="22"/>
          <w:szCs w:val="22"/>
        </w:rPr>
        <w:t>“project” can comprise of more than one development site, which cumulatively meet the</w:t>
      </w:r>
      <w:r>
        <w:rPr>
          <w:rFonts w:ascii="Calibri" w:hAnsi="Calibri" w:cs="Calibri"/>
          <w:sz w:val="22"/>
          <w:szCs w:val="22"/>
        </w:rPr>
        <w:t xml:space="preserve"> </w:t>
      </w:r>
      <w:r w:rsidRPr="004A0CE6">
        <w:rPr>
          <w:rFonts w:ascii="Calibri" w:hAnsi="Calibri" w:cs="Calibri"/>
          <w:sz w:val="22"/>
          <w:szCs w:val="22"/>
        </w:rPr>
        <w:t>minimum debt requirement.</w:t>
      </w:r>
    </w:p>
    <w:p w:rsidR="00735571" w:rsidRPr="004A0CE6" w:rsidRDefault="00735571" w:rsidP="004A0CE6">
      <w:pPr>
        <w:ind w:left="709" w:hanging="709"/>
        <w:rPr>
          <w:rFonts w:ascii="Calibri" w:hAnsi="Calibri" w:cs="Calibri"/>
          <w:sz w:val="22"/>
          <w:szCs w:val="22"/>
        </w:rPr>
      </w:pPr>
      <w:r w:rsidRPr="004A0CE6">
        <w:rPr>
          <w:rFonts w:ascii="Calibri" w:hAnsi="Calibri" w:cs="Calibri"/>
          <w:sz w:val="22"/>
          <w:szCs w:val="22"/>
        </w:rPr>
        <w:t>1.5</w:t>
      </w:r>
      <w:r w:rsidRPr="004A0CE6">
        <w:rPr>
          <w:rFonts w:ascii="Calibri" w:hAnsi="Calibri" w:cs="Calibri"/>
          <w:sz w:val="22"/>
          <w:szCs w:val="22"/>
        </w:rPr>
        <w:tab/>
        <w:t xml:space="preserve"> Units must be used for affordable rent or affordable home ownership housing (or</w:t>
      </w:r>
      <w:r>
        <w:rPr>
          <w:rFonts w:ascii="Calibri" w:hAnsi="Calibri" w:cs="Calibri"/>
          <w:sz w:val="22"/>
          <w:szCs w:val="22"/>
        </w:rPr>
        <w:t xml:space="preserve"> </w:t>
      </w:r>
      <w:r w:rsidRPr="004A0CE6">
        <w:rPr>
          <w:rFonts w:ascii="Calibri" w:hAnsi="Calibri" w:cs="Calibri"/>
          <w:sz w:val="22"/>
          <w:szCs w:val="22"/>
        </w:rPr>
        <w:t>equivalent in the devolved administrations) for the period of the Guarantee.</w:t>
      </w:r>
    </w:p>
    <w:p w:rsidR="00735571" w:rsidRPr="004A0CE6" w:rsidRDefault="00735571" w:rsidP="004A0CE6">
      <w:pPr>
        <w:ind w:left="709" w:hanging="709"/>
        <w:rPr>
          <w:rFonts w:ascii="Calibri" w:hAnsi="Calibri" w:cs="Calibri"/>
          <w:sz w:val="22"/>
          <w:szCs w:val="22"/>
        </w:rPr>
      </w:pPr>
      <w:r w:rsidRPr="004A0CE6">
        <w:rPr>
          <w:rFonts w:ascii="Calibri" w:hAnsi="Calibri" w:cs="Calibri"/>
          <w:sz w:val="22"/>
          <w:szCs w:val="22"/>
        </w:rPr>
        <w:t xml:space="preserve">1.6 </w:t>
      </w:r>
      <w:r w:rsidRPr="004A0CE6">
        <w:rPr>
          <w:rFonts w:ascii="Calibri" w:hAnsi="Calibri" w:cs="Calibri"/>
          <w:sz w:val="22"/>
          <w:szCs w:val="22"/>
        </w:rPr>
        <w:tab/>
        <w:t>Guaranteed debt will be available for drawdown in one amount on completion of loan</w:t>
      </w:r>
      <w:r>
        <w:rPr>
          <w:rFonts w:ascii="Calibri" w:hAnsi="Calibri" w:cs="Calibri"/>
          <w:sz w:val="22"/>
          <w:szCs w:val="22"/>
        </w:rPr>
        <w:t xml:space="preserve"> </w:t>
      </w:r>
      <w:r w:rsidRPr="004A0CE6">
        <w:rPr>
          <w:rFonts w:ascii="Calibri" w:hAnsi="Calibri" w:cs="Calibri"/>
          <w:sz w:val="22"/>
          <w:szCs w:val="22"/>
        </w:rPr>
        <w:t>and security documentation. Borrowers must undertake to have commenced</w:t>
      </w:r>
      <w:r>
        <w:rPr>
          <w:rFonts w:ascii="Calibri" w:hAnsi="Calibri" w:cs="Calibri"/>
          <w:sz w:val="22"/>
          <w:szCs w:val="22"/>
        </w:rPr>
        <w:t xml:space="preserve"> </w:t>
      </w:r>
      <w:r w:rsidRPr="004A0CE6">
        <w:rPr>
          <w:rFonts w:ascii="Calibri" w:hAnsi="Calibri" w:cs="Calibri"/>
          <w:sz w:val="22"/>
          <w:szCs w:val="22"/>
        </w:rPr>
        <w:t>construction of the underlying affordable projects within 12 months of drawdown.</w:t>
      </w:r>
    </w:p>
    <w:p w:rsidR="00735571" w:rsidRPr="004A0CE6" w:rsidRDefault="00735571" w:rsidP="004A0CE6">
      <w:pPr>
        <w:ind w:left="709" w:hanging="709"/>
        <w:rPr>
          <w:rFonts w:ascii="Calibri" w:hAnsi="Calibri" w:cs="Calibri"/>
          <w:sz w:val="22"/>
          <w:szCs w:val="22"/>
        </w:rPr>
      </w:pPr>
      <w:r w:rsidRPr="004A0CE6">
        <w:rPr>
          <w:rFonts w:ascii="Calibri" w:hAnsi="Calibri" w:cs="Calibri"/>
          <w:sz w:val="22"/>
          <w:szCs w:val="22"/>
        </w:rPr>
        <w:t xml:space="preserve">1.7 </w:t>
      </w:r>
      <w:r w:rsidRPr="004A0CE6">
        <w:rPr>
          <w:rFonts w:ascii="Calibri" w:hAnsi="Calibri" w:cs="Calibri"/>
          <w:sz w:val="22"/>
          <w:szCs w:val="22"/>
        </w:rPr>
        <w:tab/>
        <w:t>Properties will need to be located in the United Kingdom.</w:t>
      </w:r>
    </w:p>
    <w:p w:rsidR="00735571" w:rsidRPr="004A0CE6" w:rsidRDefault="00735571" w:rsidP="004A0CE6">
      <w:pPr>
        <w:ind w:left="709" w:hanging="709"/>
        <w:rPr>
          <w:rFonts w:ascii="Calibri" w:hAnsi="Calibri" w:cs="Calibri"/>
          <w:sz w:val="22"/>
          <w:szCs w:val="22"/>
        </w:rPr>
      </w:pPr>
      <w:r w:rsidRPr="004A0CE6">
        <w:rPr>
          <w:rFonts w:ascii="Calibri" w:hAnsi="Calibri" w:cs="Calibri"/>
          <w:sz w:val="22"/>
          <w:szCs w:val="22"/>
        </w:rPr>
        <w:t xml:space="preserve">1.8 </w:t>
      </w:r>
      <w:r w:rsidRPr="004A0CE6">
        <w:rPr>
          <w:rFonts w:ascii="Calibri" w:hAnsi="Calibri" w:cs="Calibri"/>
          <w:sz w:val="22"/>
          <w:szCs w:val="22"/>
        </w:rPr>
        <w:tab/>
        <w:t>Borrowers will need to be registered providers (or equivalent in the devolved</w:t>
      </w:r>
      <w:r>
        <w:rPr>
          <w:rFonts w:ascii="Calibri" w:hAnsi="Calibri" w:cs="Calibri"/>
          <w:sz w:val="22"/>
          <w:szCs w:val="22"/>
        </w:rPr>
        <w:t xml:space="preserve"> </w:t>
      </w:r>
      <w:r w:rsidRPr="004A0CE6">
        <w:rPr>
          <w:rFonts w:ascii="Calibri" w:hAnsi="Calibri" w:cs="Calibri"/>
          <w:sz w:val="22"/>
          <w:szCs w:val="22"/>
        </w:rPr>
        <w:t>administrations) and classified to the private sector.</w:t>
      </w:r>
    </w:p>
    <w:sectPr w:rsidR="00735571" w:rsidRPr="004A0CE6" w:rsidSect="00B458E0">
      <w:headerReference w:type="default" r:id="rId7"/>
      <w:footerReference w:type="default" r:id="rId8"/>
      <w:pgSz w:w="11906" w:h="16838"/>
      <w:pgMar w:top="1525" w:right="1797" w:bottom="156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571" w:rsidRDefault="00735571">
      <w:r>
        <w:separator/>
      </w:r>
    </w:p>
  </w:endnote>
  <w:endnote w:type="continuationSeparator" w:id="1">
    <w:p w:rsidR="00735571" w:rsidRDefault="007355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71" w:rsidRPr="001167E4" w:rsidRDefault="00735571" w:rsidP="001167E4">
    <w:pPr>
      <w:pStyle w:val="Footer"/>
      <w:rPr>
        <w:szCs w:val="16"/>
      </w:rPr>
    </w:pPr>
    <w:r w:rsidRPr="001167E4">
      <w:rPr>
        <w:rStyle w:val="PageNumber"/>
      </w:rPr>
      <w:tab/>
      <w:t xml:space="preserve">- </w:t>
    </w:r>
    <w:r w:rsidRPr="001167E4">
      <w:rPr>
        <w:rStyle w:val="PageNumber"/>
      </w:rPr>
      <w:fldChar w:fldCharType="begin"/>
    </w:r>
    <w:r w:rsidRPr="001167E4">
      <w:rPr>
        <w:rStyle w:val="PageNumber"/>
      </w:rPr>
      <w:instrText xml:space="preserve"> PAGE </w:instrText>
    </w:r>
    <w:r w:rsidRPr="001167E4">
      <w:rPr>
        <w:rStyle w:val="PageNumber"/>
      </w:rPr>
      <w:fldChar w:fldCharType="separate"/>
    </w:r>
    <w:r>
      <w:rPr>
        <w:rStyle w:val="PageNumber"/>
        <w:noProof/>
      </w:rPr>
      <w:t>1</w:t>
    </w:r>
    <w:r w:rsidRPr="001167E4">
      <w:rPr>
        <w:rStyle w:val="PageNumber"/>
      </w:rPr>
      <w:fldChar w:fldCharType="end"/>
    </w:r>
    <w:r w:rsidRPr="001167E4">
      <w:rPr>
        <w:rStyle w:val="PageNumber"/>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571" w:rsidRDefault="00735571">
      <w:r>
        <w:separator/>
      </w:r>
    </w:p>
  </w:footnote>
  <w:footnote w:type="continuationSeparator" w:id="1">
    <w:p w:rsidR="00735571" w:rsidRDefault="007355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71" w:rsidRPr="00B458E0" w:rsidRDefault="00735571" w:rsidP="00B458E0">
    <w:pPr>
      <w:pStyle w:val="NoSpacing"/>
      <w:jc w:val="center"/>
      <w:rPr>
        <w:b/>
        <w:sz w:val="36"/>
        <w:szCs w:val="36"/>
      </w:rPr>
    </w:pPr>
    <w:r>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Pr="00B458E0">
      <w:rPr>
        <w:b/>
        <w:sz w:val="36"/>
        <w:szCs w:val="36"/>
      </w:rPr>
      <w:t xml:space="preserve"> AFFORDABLE HOUSING FINANCE P</w:t>
    </w:r>
    <w:r>
      <w:rPr>
        <w:b/>
        <w:sz w:val="36"/>
        <w:szCs w:val="36"/>
      </w:rPr>
      <w:t>LC</w:t>
    </w:r>
    <w:r w:rsidRPr="00B458E0">
      <w:rPr>
        <w:b/>
        <w:sz w:val="36"/>
        <w:szCs w:val="36"/>
      </w:rPr>
      <w:t xml:space="preserve"> (AHF)</w:t>
    </w:r>
  </w:p>
  <w:p w:rsidR="00735571" w:rsidRDefault="007355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C55"/>
    <w:multiLevelType w:val="hybridMultilevel"/>
    <w:tmpl w:val="DD72F9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A2F4391"/>
    <w:multiLevelType w:val="hybridMultilevel"/>
    <w:tmpl w:val="725A74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302C3774"/>
    <w:multiLevelType w:val="hybridMultilevel"/>
    <w:tmpl w:val="3402A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8B7127"/>
    <w:multiLevelType w:val="hybridMultilevel"/>
    <w:tmpl w:val="68505664"/>
    <w:lvl w:ilvl="0" w:tplc="11761C50">
      <w:start w:val="1"/>
      <w:numFmt w:val="lowerRoman"/>
      <w:lvlText w:val="%1)"/>
      <w:lvlJc w:val="left"/>
      <w:pPr>
        <w:ind w:left="754" w:hanging="720"/>
      </w:pPr>
      <w:rPr>
        <w:rFonts w:cs="Times New Roman" w:hint="default"/>
      </w:rPr>
    </w:lvl>
    <w:lvl w:ilvl="1" w:tplc="08090019" w:tentative="1">
      <w:start w:val="1"/>
      <w:numFmt w:val="lowerLetter"/>
      <w:lvlText w:val="%2."/>
      <w:lvlJc w:val="left"/>
      <w:pPr>
        <w:ind w:left="1114" w:hanging="360"/>
      </w:pPr>
      <w:rPr>
        <w:rFonts w:cs="Times New Roman"/>
      </w:rPr>
    </w:lvl>
    <w:lvl w:ilvl="2" w:tplc="0809001B" w:tentative="1">
      <w:start w:val="1"/>
      <w:numFmt w:val="lowerRoman"/>
      <w:lvlText w:val="%3."/>
      <w:lvlJc w:val="right"/>
      <w:pPr>
        <w:ind w:left="1834" w:hanging="180"/>
      </w:pPr>
      <w:rPr>
        <w:rFonts w:cs="Times New Roman"/>
      </w:rPr>
    </w:lvl>
    <w:lvl w:ilvl="3" w:tplc="0809000F" w:tentative="1">
      <w:start w:val="1"/>
      <w:numFmt w:val="decimal"/>
      <w:lvlText w:val="%4."/>
      <w:lvlJc w:val="left"/>
      <w:pPr>
        <w:ind w:left="2554" w:hanging="360"/>
      </w:pPr>
      <w:rPr>
        <w:rFonts w:cs="Times New Roman"/>
      </w:rPr>
    </w:lvl>
    <w:lvl w:ilvl="4" w:tplc="08090019" w:tentative="1">
      <w:start w:val="1"/>
      <w:numFmt w:val="lowerLetter"/>
      <w:lvlText w:val="%5."/>
      <w:lvlJc w:val="left"/>
      <w:pPr>
        <w:ind w:left="3274" w:hanging="360"/>
      </w:pPr>
      <w:rPr>
        <w:rFonts w:cs="Times New Roman"/>
      </w:rPr>
    </w:lvl>
    <w:lvl w:ilvl="5" w:tplc="0809001B" w:tentative="1">
      <w:start w:val="1"/>
      <w:numFmt w:val="lowerRoman"/>
      <w:lvlText w:val="%6."/>
      <w:lvlJc w:val="right"/>
      <w:pPr>
        <w:ind w:left="3994" w:hanging="180"/>
      </w:pPr>
      <w:rPr>
        <w:rFonts w:cs="Times New Roman"/>
      </w:rPr>
    </w:lvl>
    <w:lvl w:ilvl="6" w:tplc="0809000F" w:tentative="1">
      <w:start w:val="1"/>
      <w:numFmt w:val="decimal"/>
      <w:lvlText w:val="%7."/>
      <w:lvlJc w:val="left"/>
      <w:pPr>
        <w:ind w:left="4714" w:hanging="360"/>
      </w:pPr>
      <w:rPr>
        <w:rFonts w:cs="Times New Roman"/>
      </w:rPr>
    </w:lvl>
    <w:lvl w:ilvl="7" w:tplc="08090019" w:tentative="1">
      <w:start w:val="1"/>
      <w:numFmt w:val="lowerLetter"/>
      <w:lvlText w:val="%8."/>
      <w:lvlJc w:val="left"/>
      <w:pPr>
        <w:ind w:left="5434" w:hanging="360"/>
      </w:pPr>
      <w:rPr>
        <w:rFonts w:cs="Times New Roman"/>
      </w:rPr>
    </w:lvl>
    <w:lvl w:ilvl="8" w:tplc="0809001B" w:tentative="1">
      <w:start w:val="1"/>
      <w:numFmt w:val="lowerRoman"/>
      <w:lvlText w:val="%9."/>
      <w:lvlJc w:val="right"/>
      <w:pPr>
        <w:ind w:left="6154" w:hanging="180"/>
      </w:pPr>
      <w:rPr>
        <w:rFonts w:cs="Times New Roman"/>
      </w:rPr>
    </w:lvl>
  </w:abstractNum>
  <w:abstractNum w:abstractNumId="4">
    <w:nsid w:val="543C41E5"/>
    <w:multiLevelType w:val="hybridMultilevel"/>
    <w:tmpl w:val="8278B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7E61A7"/>
    <w:multiLevelType w:val="multilevel"/>
    <w:tmpl w:val="2CAC3ABC"/>
    <w:lvl w:ilvl="0">
      <w:start w:val="1"/>
      <w:numFmt w:val="decimal"/>
      <w:lvlText w:val="%1."/>
      <w:lvlJc w:val="left"/>
      <w:pPr>
        <w:tabs>
          <w:tab w:val="num" w:pos="720"/>
        </w:tabs>
        <w:ind w:left="720" w:hanging="720"/>
      </w:pPr>
      <w:rPr>
        <w:rFonts w:cs="Times New Roman"/>
      </w:rPr>
    </w:lvl>
    <w:lvl w:ilvl="1">
      <w:start w:val="1"/>
      <w:numFmt w:val="decimal"/>
      <w:pStyle w:val="subschedule"/>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626B77CC"/>
    <w:multiLevelType w:val="hybridMultilevel"/>
    <w:tmpl w:val="88A81B64"/>
    <w:lvl w:ilvl="0" w:tplc="D8223542">
      <w:start w:val="1"/>
      <w:numFmt w:val="lowerRoman"/>
      <w:lvlText w:val="%1)"/>
      <w:lvlJc w:val="left"/>
      <w:pPr>
        <w:ind w:left="754" w:hanging="720"/>
      </w:pPr>
      <w:rPr>
        <w:rFonts w:ascii="Calibri" w:hAnsi="Calibri" w:cs="Calibri" w:hint="default"/>
      </w:rPr>
    </w:lvl>
    <w:lvl w:ilvl="1" w:tplc="08090019" w:tentative="1">
      <w:start w:val="1"/>
      <w:numFmt w:val="lowerLetter"/>
      <w:lvlText w:val="%2."/>
      <w:lvlJc w:val="left"/>
      <w:pPr>
        <w:ind w:left="1114" w:hanging="360"/>
      </w:pPr>
      <w:rPr>
        <w:rFonts w:cs="Times New Roman"/>
      </w:rPr>
    </w:lvl>
    <w:lvl w:ilvl="2" w:tplc="0809001B" w:tentative="1">
      <w:start w:val="1"/>
      <w:numFmt w:val="lowerRoman"/>
      <w:lvlText w:val="%3."/>
      <w:lvlJc w:val="right"/>
      <w:pPr>
        <w:ind w:left="1834" w:hanging="180"/>
      </w:pPr>
      <w:rPr>
        <w:rFonts w:cs="Times New Roman"/>
      </w:rPr>
    </w:lvl>
    <w:lvl w:ilvl="3" w:tplc="0809000F" w:tentative="1">
      <w:start w:val="1"/>
      <w:numFmt w:val="decimal"/>
      <w:lvlText w:val="%4."/>
      <w:lvlJc w:val="left"/>
      <w:pPr>
        <w:ind w:left="2554" w:hanging="360"/>
      </w:pPr>
      <w:rPr>
        <w:rFonts w:cs="Times New Roman"/>
      </w:rPr>
    </w:lvl>
    <w:lvl w:ilvl="4" w:tplc="08090019" w:tentative="1">
      <w:start w:val="1"/>
      <w:numFmt w:val="lowerLetter"/>
      <w:lvlText w:val="%5."/>
      <w:lvlJc w:val="left"/>
      <w:pPr>
        <w:ind w:left="3274" w:hanging="360"/>
      </w:pPr>
      <w:rPr>
        <w:rFonts w:cs="Times New Roman"/>
      </w:rPr>
    </w:lvl>
    <w:lvl w:ilvl="5" w:tplc="0809001B" w:tentative="1">
      <w:start w:val="1"/>
      <w:numFmt w:val="lowerRoman"/>
      <w:lvlText w:val="%6."/>
      <w:lvlJc w:val="right"/>
      <w:pPr>
        <w:ind w:left="3994" w:hanging="180"/>
      </w:pPr>
      <w:rPr>
        <w:rFonts w:cs="Times New Roman"/>
      </w:rPr>
    </w:lvl>
    <w:lvl w:ilvl="6" w:tplc="0809000F" w:tentative="1">
      <w:start w:val="1"/>
      <w:numFmt w:val="decimal"/>
      <w:lvlText w:val="%7."/>
      <w:lvlJc w:val="left"/>
      <w:pPr>
        <w:ind w:left="4714" w:hanging="360"/>
      </w:pPr>
      <w:rPr>
        <w:rFonts w:cs="Times New Roman"/>
      </w:rPr>
    </w:lvl>
    <w:lvl w:ilvl="7" w:tplc="08090019" w:tentative="1">
      <w:start w:val="1"/>
      <w:numFmt w:val="lowerLetter"/>
      <w:lvlText w:val="%8."/>
      <w:lvlJc w:val="left"/>
      <w:pPr>
        <w:ind w:left="5434" w:hanging="360"/>
      </w:pPr>
      <w:rPr>
        <w:rFonts w:cs="Times New Roman"/>
      </w:rPr>
    </w:lvl>
    <w:lvl w:ilvl="8" w:tplc="0809001B" w:tentative="1">
      <w:start w:val="1"/>
      <w:numFmt w:val="lowerRoman"/>
      <w:lvlText w:val="%9."/>
      <w:lvlJc w:val="right"/>
      <w:pPr>
        <w:ind w:left="6154" w:hanging="180"/>
      </w:pPr>
      <w:rPr>
        <w:rFonts w:cs="Times New Roman"/>
      </w:rPr>
    </w:lvl>
  </w:abstractNum>
  <w:abstractNum w:abstractNumId="7">
    <w:nsid w:val="68543958"/>
    <w:multiLevelType w:val="hybridMultilevel"/>
    <w:tmpl w:val="E2FA432C"/>
    <w:lvl w:ilvl="0" w:tplc="F52411EC">
      <w:start w:val="1"/>
      <w:numFmt w:val="lowerLetter"/>
      <w:lvlText w:val="%1)"/>
      <w:lvlJc w:val="left"/>
      <w:pPr>
        <w:ind w:left="394" w:hanging="360"/>
      </w:pPr>
      <w:rPr>
        <w:rFonts w:cs="Times New Roman" w:hint="default"/>
      </w:rPr>
    </w:lvl>
    <w:lvl w:ilvl="1" w:tplc="08090019" w:tentative="1">
      <w:start w:val="1"/>
      <w:numFmt w:val="lowerLetter"/>
      <w:lvlText w:val="%2."/>
      <w:lvlJc w:val="left"/>
      <w:pPr>
        <w:ind w:left="1114" w:hanging="360"/>
      </w:pPr>
      <w:rPr>
        <w:rFonts w:cs="Times New Roman"/>
      </w:rPr>
    </w:lvl>
    <w:lvl w:ilvl="2" w:tplc="0809001B" w:tentative="1">
      <w:start w:val="1"/>
      <w:numFmt w:val="lowerRoman"/>
      <w:lvlText w:val="%3."/>
      <w:lvlJc w:val="right"/>
      <w:pPr>
        <w:ind w:left="1834" w:hanging="180"/>
      </w:pPr>
      <w:rPr>
        <w:rFonts w:cs="Times New Roman"/>
      </w:rPr>
    </w:lvl>
    <w:lvl w:ilvl="3" w:tplc="0809000F" w:tentative="1">
      <w:start w:val="1"/>
      <w:numFmt w:val="decimal"/>
      <w:lvlText w:val="%4."/>
      <w:lvlJc w:val="left"/>
      <w:pPr>
        <w:ind w:left="2554" w:hanging="360"/>
      </w:pPr>
      <w:rPr>
        <w:rFonts w:cs="Times New Roman"/>
      </w:rPr>
    </w:lvl>
    <w:lvl w:ilvl="4" w:tplc="08090019" w:tentative="1">
      <w:start w:val="1"/>
      <w:numFmt w:val="lowerLetter"/>
      <w:lvlText w:val="%5."/>
      <w:lvlJc w:val="left"/>
      <w:pPr>
        <w:ind w:left="3274" w:hanging="360"/>
      </w:pPr>
      <w:rPr>
        <w:rFonts w:cs="Times New Roman"/>
      </w:rPr>
    </w:lvl>
    <w:lvl w:ilvl="5" w:tplc="0809001B" w:tentative="1">
      <w:start w:val="1"/>
      <w:numFmt w:val="lowerRoman"/>
      <w:lvlText w:val="%6."/>
      <w:lvlJc w:val="right"/>
      <w:pPr>
        <w:ind w:left="3994" w:hanging="180"/>
      </w:pPr>
      <w:rPr>
        <w:rFonts w:cs="Times New Roman"/>
      </w:rPr>
    </w:lvl>
    <w:lvl w:ilvl="6" w:tplc="0809000F" w:tentative="1">
      <w:start w:val="1"/>
      <w:numFmt w:val="decimal"/>
      <w:lvlText w:val="%7."/>
      <w:lvlJc w:val="left"/>
      <w:pPr>
        <w:ind w:left="4714" w:hanging="360"/>
      </w:pPr>
      <w:rPr>
        <w:rFonts w:cs="Times New Roman"/>
      </w:rPr>
    </w:lvl>
    <w:lvl w:ilvl="7" w:tplc="08090019" w:tentative="1">
      <w:start w:val="1"/>
      <w:numFmt w:val="lowerLetter"/>
      <w:lvlText w:val="%8."/>
      <w:lvlJc w:val="left"/>
      <w:pPr>
        <w:ind w:left="5434" w:hanging="360"/>
      </w:pPr>
      <w:rPr>
        <w:rFonts w:cs="Times New Roman"/>
      </w:rPr>
    </w:lvl>
    <w:lvl w:ilvl="8" w:tplc="0809001B" w:tentative="1">
      <w:start w:val="1"/>
      <w:numFmt w:val="lowerRoman"/>
      <w:lvlText w:val="%9."/>
      <w:lvlJc w:val="right"/>
      <w:pPr>
        <w:ind w:left="6154" w:hanging="180"/>
      </w:pPr>
      <w:rPr>
        <w:rFonts w:cs="Times New Roman"/>
      </w:rPr>
    </w:lvl>
  </w:abstractNum>
  <w:abstractNum w:abstractNumId="8">
    <w:nsid w:val="6A047812"/>
    <w:multiLevelType w:val="hybridMultilevel"/>
    <w:tmpl w:val="471C75E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nsid w:val="720D265A"/>
    <w:multiLevelType w:val="hybridMultilevel"/>
    <w:tmpl w:val="2CAE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7C64167"/>
    <w:multiLevelType w:val="hybridMultilevel"/>
    <w:tmpl w:val="9F949C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EF310DE"/>
    <w:multiLevelType w:val="hybridMultilevel"/>
    <w:tmpl w:val="2C7E6276"/>
    <w:lvl w:ilvl="0" w:tplc="B4B623AE">
      <w:numFmt w:val="decimal"/>
      <w:lvlText w:val="%1."/>
      <w:lvlJc w:val="left"/>
      <w:pPr>
        <w:ind w:left="900" w:hanging="54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10"/>
  </w:num>
  <w:num w:numId="3">
    <w:abstractNumId w:val="4"/>
  </w:num>
  <w:num w:numId="4">
    <w:abstractNumId w:val="0"/>
  </w:num>
  <w:num w:numId="5">
    <w:abstractNumId w:val="9"/>
  </w:num>
  <w:num w:numId="6">
    <w:abstractNumId w:val="5"/>
  </w:num>
  <w:num w:numId="7">
    <w:abstractNumId w:val="8"/>
  </w:num>
  <w:num w:numId="8">
    <w:abstractNumId w:val="7"/>
  </w:num>
  <w:num w:numId="9">
    <w:abstractNumId w:val="2"/>
  </w:num>
  <w:num w:numId="10">
    <w:abstractNumId w:val="11"/>
  </w:num>
  <w:num w:numId="11">
    <w:abstractNumId w:val="3"/>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71"/>
  <w:displayVerticalDrawingGridEvery w:val="2"/>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2521"/>
    <w:rsid w:val="000068FD"/>
    <w:rsid w:val="000179FC"/>
    <w:rsid w:val="0002279C"/>
    <w:rsid w:val="00034D1B"/>
    <w:rsid w:val="00052521"/>
    <w:rsid w:val="00055C0C"/>
    <w:rsid w:val="00060DCA"/>
    <w:rsid w:val="00082B36"/>
    <w:rsid w:val="000B7918"/>
    <w:rsid w:val="000E49D7"/>
    <w:rsid w:val="000F31E6"/>
    <w:rsid w:val="000F5DFB"/>
    <w:rsid w:val="0011066A"/>
    <w:rsid w:val="00112BDF"/>
    <w:rsid w:val="001167E4"/>
    <w:rsid w:val="00116C04"/>
    <w:rsid w:val="00116CBE"/>
    <w:rsid w:val="00132AE9"/>
    <w:rsid w:val="00132CD4"/>
    <w:rsid w:val="001360E1"/>
    <w:rsid w:val="00173061"/>
    <w:rsid w:val="001770FA"/>
    <w:rsid w:val="00187118"/>
    <w:rsid w:val="00194D14"/>
    <w:rsid w:val="001A7661"/>
    <w:rsid w:val="001B3950"/>
    <w:rsid w:val="001E0EFD"/>
    <w:rsid w:val="001E265D"/>
    <w:rsid w:val="002037AB"/>
    <w:rsid w:val="00226EE9"/>
    <w:rsid w:val="00234812"/>
    <w:rsid w:val="00245803"/>
    <w:rsid w:val="00246DE8"/>
    <w:rsid w:val="002553C3"/>
    <w:rsid w:val="00256556"/>
    <w:rsid w:val="00267184"/>
    <w:rsid w:val="00272B97"/>
    <w:rsid w:val="00281B92"/>
    <w:rsid w:val="00284EE2"/>
    <w:rsid w:val="00290BEF"/>
    <w:rsid w:val="002B2471"/>
    <w:rsid w:val="002D7197"/>
    <w:rsid w:val="002D768E"/>
    <w:rsid w:val="00332D15"/>
    <w:rsid w:val="0033667E"/>
    <w:rsid w:val="003430E4"/>
    <w:rsid w:val="00343873"/>
    <w:rsid w:val="003641DF"/>
    <w:rsid w:val="0036588E"/>
    <w:rsid w:val="003668CB"/>
    <w:rsid w:val="00367E65"/>
    <w:rsid w:val="00382972"/>
    <w:rsid w:val="00387888"/>
    <w:rsid w:val="00391D6A"/>
    <w:rsid w:val="003C16BB"/>
    <w:rsid w:val="003C6CEA"/>
    <w:rsid w:val="003C760D"/>
    <w:rsid w:val="003E3289"/>
    <w:rsid w:val="00402C0D"/>
    <w:rsid w:val="00427994"/>
    <w:rsid w:val="00440E0F"/>
    <w:rsid w:val="00450B20"/>
    <w:rsid w:val="00454A41"/>
    <w:rsid w:val="0046764E"/>
    <w:rsid w:val="00470E8F"/>
    <w:rsid w:val="0049118B"/>
    <w:rsid w:val="004A0CE6"/>
    <w:rsid w:val="004A1444"/>
    <w:rsid w:val="004B0962"/>
    <w:rsid w:val="004D7C65"/>
    <w:rsid w:val="004E381C"/>
    <w:rsid w:val="004E3996"/>
    <w:rsid w:val="004F2F26"/>
    <w:rsid w:val="0050563C"/>
    <w:rsid w:val="005075FA"/>
    <w:rsid w:val="0051257C"/>
    <w:rsid w:val="005161F4"/>
    <w:rsid w:val="00524A6B"/>
    <w:rsid w:val="00544EA5"/>
    <w:rsid w:val="00545415"/>
    <w:rsid w:val="00545566"/>
    <w:rsid w:val="00560B33"/>
    <w:rsid w:val="00566C2D"/>
    <w:rsid w:val="005735B2"/>
    <w:rsid w:val="00575BD9"/>
    <w:rsid w:val="00581C6B"/>
    <w:rsid w:val="005A56F5"/>
    <w:rsid w:val="005B34FB"/>
    <w:rsid w:val="005B5FCB"/>
    <w:rsid w:val="005D2EEA"/>
    <w:rsid w:val="005E39FA"/>
    <w:rsid w:val="005F133B"/>
    <w:rsid w:val="005F505C"/>
    <w:rsid w:val="0060434A"/>
    <w:rsid w:val="0061325A"/>
    <w:rsid w:val="006250D3"/>
    <w:rsid w:val="00631159"/>
    <w:rsid w:val="00631A33"/>
    <w:rsid w:val="006461AE"/>
    <w:rsid w:val="0066153A"/>
    <w:rsid w:val="00681079"/>
    <w:rsid w:val="006B5CB0"/>
    <w:rsid w:val="006C0B83"/>
    <w:rsid w:val="006D3F18"/>
    <w:rsid w:val="007126C2"/>
    <w:rsid w:val="007137CF"/>
    <w:rsid w:val="0071748B"/>
    <w:rsid w:val="00735571"/>
    <w:rsid w:val="00746DAE"/>
    <w:rsid w:val="00770531"/>
    <w:rsid w:val="007852B8"/>
    <w:rsid w:val="007A2C9E"/>
    <w:rsid w:val="007B331E"/>
    <w:rsid w:val="007C604C"/>
    <w:rsid w:val="007D520C"/>
    <w:rsid w:val="007F6586"/>
    <w:rsid w:val="008353A1"/>
    <w:rsid w:val="00837240"/>
    <w:rsid w:val="00837F6D"/>
    <w:rsid w:val="00847D0E"/>
    <w:rsid w:val="008531F6"/>
    <w:rsid w:val="00860D88"/>
    <w:rsid w:val="00865D7D"/>
    <w:rsid w:val="008B4387"/>
    <w:rsid w:val="008C3E68"/>
    <w:rsid w:val="008D3EB2"/>
    <w:rsid w:val="008F3B10"/>
    <w:rsid w:val="009140F3"/>
    <w:rsid w:val="0091725B"/>
    <w:rsid w:val="0092038A"/>
    <w:rsid w:val="009228CC"/>
    <w:rsid w:val="00923460"/>
    <w:rsid w:val="00935EEE"/>
    <w:rsid w:val="00936F86"/>
    <w:rsid w:val="0095210F"/>
    <w:rsid w:val="00983E44"/>
    <w:rsid w:val="0098752C"/>
    <w:rsid w:val="009D66BC"/>
    <w:rsid w:val="00A012D9"/>
    <w:rsid w:val="00A66455"/>
    <w:rsid w:val="00A70199"/>
    <w:rsid w:val="00A75A29"/>
    <w:rsid w:val="00A80A05"/>
    <w:rsid w:val="00A83ED0"/>
    <w:rsid w:val="00A92944"/>
    <w:rsid w:val="00AC1DAD"/>
    <w:rsid w:val="00AD4CCD"/>
    <w:rsid w:val="00AD54BC"/>
    <w:rsid w:val="00AE44C6"/>
    <w:rsid w:val="00AE73A4"/>
    <w:rsid w:val="00AE7E20"/>
    <w:rsid w:val="00AF5E90"/>
    <w:rsid w:val="00B0181D"/>
    <w:rsid w:val="00B1135F"/>
    <w:rsid w:val="00B458E0"/>
    <w:rsid w:val="00B54FA0"/>
    <w:rsid w:val="00B63199"/>
    <w:rsid w:val="00B67ED0"/>
    <w:rsid w:val="00B85EDA"/>
    <w:rsid w:val="00B908EF"/>
    <w:rsid w:val="00B9502E"/>
    <w:rsid w:val="00B97E5A"/>
    <w:rsid w:val="00BD66F5"/>
    <w:rsid w:val="00C00DC0"/>
    <w:rsid w:val="00C0513B"/>
    <w:rsid w:val="00C2508B"/>
    <w:rsid w:val="00C304A6"/>
    <w:rsid w:val="00C43338"/>
    <w:rsid w:val="00C56C83"/>
    <w:rsid w:val="00C944AF"/>
    <w:rsid w:val="00CA3514"/>
    <w:rsid w:val="00CA4C7D"/>
    <w:rsid w:val="00CC0882"/>
    <w:rsid w:val="00CD203B"/>
    <w:rsid w:val="00CE5437"/>
    <w:rsid w:val="00CF6AC2"/>
    <w:rsid w:val="00D109E4"/>
    <w:rsid w:val="00D225CA"/>
    <w:rsid w:val="00D27961"/>
    <w:rsid w:val="00D56EF5"/>
    <w:rsid w:val="00D730A0"/>
    <w:rsid w:val="00D92272"/>
    <w:rsid w:val="00DA0935"/>
    <w:rsid w:val="00DA4544"/>
    <w:rsid w:val="00DA6B47"/>
    <w:rsid w:val="00DB7AAF"/>
    <w:rsid w:val="00DE2896"/>
    <w:rsid w:val="00DF5C2E"/>
    <w:rsid w:val="00E05D8A"/>
    <w:rsid w:val="00E13621"/>
    <w:rsid w:val="00E15EA1"/>
    <w:rsid w:val="00E34364"/>
    <w:rsid w:val="00E47421"/>
    <w:rsid w:val="00E51219"/>
    <w:rsid w:val="00E601A9"/>
    <w:rsid w:val="00E66050"/>
    <w:rsid w:val="00EA507F"/>
    <w:rsid w:val="00EB3C22"/>
    <w:rsid w:val="00EC4C46"/>
    <w:rsid w:val="00EF4048"/>
    <w:rsid w:val="00F11098"/>
    <w:rsid w:val="00F14A77"/>
    <w:rsid w:val="00F209B6"/>
    <w:rsid w:val="00F378E5"/>
    <w:rsid w:val="00F41623"/>
    <w:rsid w:val="00F41B19"/>
    <w:rsid w:val="00F4484B"/>
    <w:rsid w:val="00F50E81"/>
    <w:rsid w:val="00F53A02"/>
    <w:rsid w:val="00F55AA5"/>
    <w:rsid w:val="00F65502"/>
    <w:rsid w:val="00F6750C"/>
    <w:rsid w:val="00F9203F"/>
    <w:rsid w:val="00FB05CF"/>
    <w:rsid w:val="00FB2A97"/>
    <w:rsid w:val="00FB585A"/>
    <w:rsid w:val="00FC4ACC"/>
    <w:rsid w:val="00FE177C"/>
    <w:rsid w:val="00FE443F"/>
    <w:rsid w:val="00FE57A2"/>
    <w:rsid w:val="00FE5D8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521"/>
    <w:pPr>
      <w:overflowPunct w:val="0"/>
      <w:autoSpaceDE w:val="0"/>
      <w:autoSpaceDN w:val="0"/>
      <w:adjustRightInd w:val="0"/>
      <w:textAlignment w:val="baseline"/>
    </w:pPr>
    <w:rPr>
      <w:rFonts w:ascii="Arial" w:hAnsi="Arial"/>
      <w:sz w:val="20"/>
      <w:szCs w:val="20"/>
      <w:lang w:eastAsia="en-US"/>
    </w:rPr>
  </w:style>
  <w:style w:type="paragraph" w:styleId="Heading1">
    <w:name w:val="heading 1"/>
    <w:basedOn w:val="Normal"/>
    <w:next w:val="Normal"/>
    <w:link w:val="Heading1Char"/>
    <w:uiPriority w:val="99"/>
    <w:qFormat/>
    <w:rsid w:val="00052521"/>
    <w:pPr>
      <w:keepNext/>
      <w:spacing w:line="240" w:lineRule="atLeast"/>
      <w:jc w:val="center"/>
      <w:outlineLvl w:val="0"/>
    </w:pPr>
    <w:rPr>
      <w:b/>
      <w:u w:val="single"/>
    </w:rPr>
  </w:style>
  <w:style w:type="paragraph" w:styleId="Heading9">
    <w:name w:val="heading 9"/>
    <w:basedOn w:val="Normal"/>
    <w:next w:val="Normal"/>
    <w:link w:val="Heading9Char"/>
    <w:uiPriority w:val="99"/>
    <w:qFormat/>
    <w:rsid w:val="00052521"/>
    <w:pPr>
      <w:spacing w:before="240" w:after="60"/>
      <w:outlineLvl w:val="8"/>
    </w:pPr>
    <w:rPr>
      <w:rFonts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31159"/>
    <w:rPr>
      <w:rFonts w:ascii="Cambria" w:hAnsi="Cambria" w:cs="Times New Roman"/>
      <w:b/>
      <w:bCs/>
      <w:kern w:val="32"/>
      <w:sz w:val="32"/>
      <w:szCs w:val="32"/>
      <w:lang w:eastAsia="en-US"/>
    </w:rPr>
  </w:style>
  <w:style w:type="character" w:customStyle="1" w:styleId="Heading9Char">
    <w:name w:val="Heading 9 Char"/>
    <w:basedOn w:val="DefaultParagraphFont"/>
    <w:link w:val="Heading9"/>
    <w:uiPriority w:val="99"/>
    <w:semiHidden/>
    <w:locked/>
    <w:rsid w:val="00631159"/>
    <w:rPr>
      <w:rFonts w:ascii="Cambria" w:hAnsi="Cambria" w:cs="Times New Roman"/>
      <w:lang w:eastAsia="en-US"/>
    </w:rPr>
  </w:style>
  <w:style w:type="paragraph" w:styleId="Header">
    <w:name w:val="header"/>
    <w:basedOn w:val="Normal"/>
    <w:link w:val="HeaderChar"/>
    <w:uiPriority w:val="99"/>
    <w:rsid w:val="00DF5C2E"/>
    <w:pPr>
      <w:tabs>
        <w:tab w:val="center" w:pos="4153"/>
        <w:tab w:val="right" w:pos="8306"/>
      </w:tabs>
    </w:pPr>
  </w:style>
  <w:style w:type="character" w:customStyle="1" w:styleId="HeaderChar">
    <w:name w:val="Header Char"/>
    <w:basedOn w:val="DefaultParagraphFont"/>
    <w:link w:val="Header"/>
    <w:uiPriority w:val="99"/>
    <w:semiHidden/>
    <w:locked/>
    <w:rsid w:val="00631159"/>
    <w:rPr>
      <w:rFonts w:ascii="Arial" w:hAnsi="Arial" w:cs="Times New Roman"/>
      <w:sz w:val="20"/>
      <w:szCs w:val="20"/>
      <w:lang w:eastAsia="en-US"/>
    </w:rPr>
  </w:style>
  <w:style w:type="paragraph" w:styleId="Footer">
    <w:name w:val="footer"/>
    <w:basedOn w:val="Normal"/>
    <w:link w:val="FooterChar"/>
    <w:uiPriority w:val="99"/>
    <w:rsid w:val="00DF5C2E"/>
    <w:pPr>
      <w:tabs>
        <w:tab w:val="center" w:pos="4153"/>
        <w:tab w:val="right" w:pos="8306"/>
      </w:tabs>
    </w:pPr>
  </w:style>
  <w:style w:type="character" w:customStyle="1" w:styleId="FooterChar">
    <w:name w:val="Footer Char"/>
    <w:basedOn w:val="DefaultParagraphFont"/>
    <w:link w:val="Footer"/>
    <w:uiPriority w:val="99"/>
    <w:locked/>
    <w:rsid w:val="008F3B10"/>
    <w:rPr>
      <w:rFonts w:ascii="Arial" w:hAnsi="Arial" w:cs="Times New Roman"/>
      <w:lang w:eastAsia="en-US"/>
    </w:rPr>
  </w:style>
  <w:style w:type="paragraph" w:styleId="CommentText">
    <w:name w:val="annotation text"/>
    <w:basedOn w:val="Normal"/>
    <w:link w:val="CommentTextChar"/>
    <w:uiPriority w:val="99"/>
    <w:semiHidden/>
    <w:rsid w:val="00052521"/>
    <w:pPr>
      <w:spacing w:line="240" w:lineRule="atLeast"/>
      <w:jc w:val="both"/>
    </w:pPr>
  </w:style>
  <w:style w:type="character" w:customStyle="1" w:styleId="CommentTextChar">
    <w:name w:val="Comment Text Char"/>
    <w:basedOn w:val="DefaultParagraphFont"/>
    <w:link w:val="CommentText"/>
    <w:uiPriority w:val="99"/>
    <w:semiHidden/>
    <w:locked/>
    <w:rsid w:val="00631159"/>
    <w:rPr>
      <w:rFonts w:ascii="Arial" w:hAnsi="Arial" w:cs="Times New Roman"/>
      <w:sz w:val="20"/>
      <w:szCs w:val="20"/>
      <w:lang w:eastAsia="en-US"/>
    </w:rPr>
  </w:style>
  <w:style w:type="paragraph" w:customStyle="1" w:styleId="text">
    <w:name w:val="text"/>
    <w:basedOn w:val="Normal"/>
    <w:uiPriority w:val="99"/>
    <w:rsid w:val="00052521"/>
    <w:pPr>
      <w:ind w:left="709"/>
      <w:jc w:val="both"/>
    </w:pPr>
    <w:rPr>
      <w:lang w:val="fr-FR"/>
    </w:rPr>
  </w:style>
  <w:style w:type="paragraph" w:customStyle="1" w:styleId="subschedule">
    <w:name w:val="subschedule"/>
    <w:basedOn w:val="Heading9"/>
    <w:uiPriority w:val="99"/>
    <w:rsid w:val="00052521"/>
    <w:pPr>
      <w:keepLines/>
      <w:numPr>
        <w:ilvl w:val="1"/>
        <w:numId w:val="6"/>
      </w:numPr>
      <w:tabs>
        <w:tab w:val="left" w:pos="2268"/>
      </w:tabs>
      <w:spacing w:before="0" w:after="120"/>
      <w:jc w:val="center"/>
      <w:outlineLvl w:val="1"/>
    </w:pPr>
    <w:rPr>
      <w:rFonts w:cs="Times New Roman"/>
      <w:b/>
      <w:spacing w:val="26"/>
      <w:sz w:val="20"/>
      <w:szCs w:val="20"/>
    </w:rPr>
  </w:style>
  <w:style w:type="paragraph" w:styleId="BalloonText">
    <w:name w:val="Balloon Text"/>
    <w:basedOn w:val="Normal"/>
    <w:link w:val="BalloonTextChar"/>
    <w:uiPriority w:val="99"/>
    <w:semiHidden/>
    <w:rsid w:val="005A56F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31159"/>
    <w:rPr>
      <w:rFonts w:cs="Times New Roman"/>
      <w:sz w:val="2"/>
      <w:lang w:eastAsia="en-US"/>
    </w:rPr>
  </w:style>
  <w:style w:type="character" w:styleId="PageNumber">
    <w:name w:val="page number"/>
    <w:basedOn w:val="DefaultParagraphFont"/>
    <w:uiPriority w:val="99"/>
    <w:rsid w:val="001167E4"/>
    <w:rPr>
      <w:rFonts w:cs="Times New Roman"/>
    </w:rPr>
  </w:style>
  <w:style w:type="paragraph" w:styleId="NoSpacing">
    <w:name w:val="No Spacing"/>
    <w:uiPriority w:val="99"/>
    <w:qFormat/>
    <w:rsid w:val="008F3B10"/>
    <w:rPr>
      <w:rFonts w:ascii="Calibri" w:hAnsi="Calibri"/>
      <w:lang w:eastAsia="en-US"/>
    </w:rPr>
  </w:style>
  <w:style w:type="table" w:styleId="TableGrid">
    <w:name w:val="Table Grid"/>
    <w:basedOn w:val="TableNormal"/>
    <w:uiPriority w:val="99"/>
    <w:rsid w:val="008F3B10"/>
    <w:rPr>
      <w:rFonts w:ascii="Calibri" w:hAnsi="Calibri"/>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0">
    <w:name w:val="nospacing"/>
    <w:basedOn w:val="Normal"/>
    <w:uiPriority w:val="99"/>
    <w:rsid w:val="007A2C9E"/>
    <w:pPr>
      <w:overflowPunct/>
      <w:autoSpaceDE/>
      <w:autoSpaceDN/>
      <w:adjustRightInd/>
      <w:spacing w:before="100" w:beforeAutospacing="1" w:after="100" w:afterAutospacing="1"/>
      <w:textAlignment w:val="auto"/>
    </w:pPr>
    <w:rPr>
      <w:rFonts w:ascii="Times New Roman" w:hAnsi="Times New Roman"/>
      <w:sz w:val="24"/>
      <w:szCs w:val="24"/>
      <w:lang w:eastAsia="en-GB"/>
    </w:rPr>
  </w:style>
  <w:style w:type="paragraph" w:styleId="ListParagraph">
    <w:name w:val="List Paragraph"/>
    <w:basedOn w:val="Normal"/>
    <w:uiPriority w:val="99"/>
    <w:qFormat/>
    <w:rsid w:val="004A0CE6"/>
    <w:pPr>
      <w:ind w:left="720"/>
      <w:contextualSpacing/>
    </w:pPr>
  </w:style>
</w:styles>
</file>

<file path=word/webSettings.xml><?xml version="1.0" encoding="utf-8"?>
<w:webSettings xmlns:r="http://schemas.openxmlformats.org/officeDocument/2006/relationships" xmlns:w="http://schemas.openxmlformats.org/wordprocessingml/2006/main">
  <w:divs>
    <w:div w:id="1519005636">
      <w:marLeft w:val="0"/>
      <w:marRight w:val="0"/>
      <w:marTop w:val="0"/>
      <w:marBottom w:val="0"/>
      <w:divBdr>
        <w:top w:val="none" w:sz="0" w:space="0" w:color="auto"/>
        <w:left w:val="none" w:sz="0" w:space="0" w:color="auto"/>
        <w:bottom w:val="none" w:sz="0" w:space="0" w:color="auto"/>
        <w:right w:val="none" w:sz="0" w:space="0" w:color="auto"/>
      </w:divBdr>
    </w:div>
    <w:div w:id="1519005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1280</Words>
  <Characters>7300</Characters>
  <Application>Microsoft Office Outlook</Application>
  <DocSecurity>0</DocSecurity>
  <Lines>0</Lines>
  <Paragraphs>0</Paragraphs>
  <ScaleCrop>false</ScaleCrop>
  <Company>Virtual IT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Disbursement Request</dc:title>
  <dc:subject/>
  <dc:creator>hfc-fenella</dc:creator>
  <cp:keywords/>
  <dc:description/>
  <cp:lastModifiedBy>vsharpe</cp:lastModifiedBy>
  <cp:revision>4</cp:revision>
  <cp:lastPrinted>2015-05-19T08:04:00Z</cp:lastPrinted>
  <dcterms:created xsi:type="dcterms:W3CDTF">2015-05-14T09:09:00Z</dcterms:created>
  <dcterms:modified xsi:type="dcterms:W3CDTF">2015-05-19T08:04:00Z</dcterms:modified>
</cp:coreProperties>
</file>