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3FF" w:rsidRPr="0071443D" w:rsidRDefault="001E73FF">
      <w:pPr>
        <w:pStyle w:val="Heading1"/>
        <w:rPr>
          <w:sz w:val="32"/>
          <w:szCs w:val="36"/>
        </w:rPr>
      </w:pPr>
      <w:r w:rsidRPr="0071443D">
        <w:rPr>
          <w:sz w:val="32"/>
          <w:szCs w:val="36"/>
        </w:rPr>
        <w:t>Hexagon Housing Association</w:t>
      </w:r>
    </w:p>
    <w:p w:rsidR="001E73FF" w:rsidRPr="0071443D" w:rsidRDefault="001E73FF">
      <w:pPr>
        <w:rPr>
          <w:rFonts w:ascii="Arial" w:hAnsi="Arial"/>
          <w:b/>
          <w:sz w:val="24"/>
          <w:szCs w:val="36"/>
        </w:rPr>
      </w:pPr>
    </w:p>
    <w:p w:rsidR="001E73FF" w:rsidRPr="0071443D" w:rsidRDefault="001E73FF">
      <w:pPr>
        <w:rPr>
          <w:rFonts w:ascii="Arial" w:hAnsi="Arial"/>
          <w:b/>
          <w:sz w:val="32"/>
          <w:szCs w:val="36"/>
        </w:rPr>
      </w:pPr>
      <w:r w:rsidRPr="0071443D">
        <w:rPr>
          <w:rFonts w:ascii="Arial" w:hAnsi="Arial"/>
          <w:b/>
          <w:sz w:val="32"/>
          <w:szCs w:val="36"/>
        </w:rPr>
        <w:t>Board of Management</w:t>
      </w:r>
    </w:p>
    <w:p w:rsidR="001E73FF" w:rsidRPr="0071443D" w:rsidRDefault="001E73FF">
      <w:pPr>
        <w:rPr>
          <w:rFonts w:ascii="Arial" w:hAnsi="Arial"/>
          <w:b/>
          <w:sz w:val="24"/>
          <w:szCs w:val="36"/>
        </w:rPr>
      </w:pPr>
    </w:p>
    <w:p w:rsidR="001E73FF" w:rsidRPr="0071443D" w:rsidRDefault="00C033D8">
      <w:pPr>
        <w:rPr>
          <w:rFonts w:ascii="Arial" w:hAnsi="Arial"/>
          <w:b/>
          <w:sz w:val="32"/>
          <w:szCs w:val="36"/>
        </w:rPr>
      </w:pPr>
      <w:r w:rsidRPr="0071443D">
        <w:rPr>
          <w:rFonts w:ascii="Arial" w:hAnsi="Arial"/>
          <w:b/>
          <w:i/>
          <w:sz w:val="32"/>
          <w:szCs w:val="36"/>
        </w:rPr>
        <w:t>29</w:t>
      </w:r>
      <w:r w:rsidRPr="0071443D">
        <w:rPr>
          <w:rFonts w:ascii="Arial" w:hAnsi="Arial"/>
          <w:b/>
          <w:i/>
          <w:sz w:val="32"/>
          <w:szCs w:val="36"/>
          <w:vertAlign w:val="superscript"/>
        </w:rPr>
        <w:t>th</w:t>
      </w:r>
      <w:r w:rsidRPr="0071443D">
        <w:rPr>
          <w:rFonts w:ascii="Arial" w:hAnsi="Arial"/>
          <w:b/>
          <w:i/>
          <w:sz w:val="32"/>
          <w:szCs w:val="36"/>
        </w:rPr>
        <w:t xml:space="preserve"> September 2015</w:t>
      </w:r>
    </w:p>
    <w:p w:rsidR="001E73FF" w:rsidRPr="0071443D" w:rsidRDefault="001E73FF">
      <w:pPr>
        <w:rPr>
          <w:rFonts w:ascii="Arial" w:hAnsi="Arial"/>
          <w:b/>
          <w:sz w:val="24"/>
          <w:szCs w:val="36"/>
        </w:rPr>
      </w:pPr>
    </w:p>
    <w:p w:rsidR="001E73FF" w:rsidRPr="0071443D" w:rsidRDefault="001E73FF">
      <w:pPr>
        <w:rPr>
          <w:rFonts w:ascii="Arial" w:hAnsi="Arial"/>
          <w:b/>
          <w:i/>
          <w:sz w:val="32"/>
          <w:szCs w:val="36"/>
        </w:rPr>
      </w:pPr>
      <w:r w:rsidRPr="0071443D">
        <w:rPr>
          <w:rFonts w:ascii="Arial" w:hAnsi="Arial"/>
          <w:b/>
          <w:sz w:val="32"/>
          <w:szCs w:val="36"/>
        </w:rPr>
        <w:t xml:space="preserve">Agenda Item </w:t>
      </w:r>
      <w:r w:rsidR="0071443D" w:rsidRPr="0071443D">
        <w:rPr>
          <w:rFonts w:ascii="Arial" w:hAnsi="Arial"/>
          <w:b/>
          <w:i/>
          <w:sz w:val="32"/>
          <w:szCs w:val="36"/>
        </w:rPr>
        <w:t>4</w:t>
      </w:r>
    </w:p>
    <w:p w:rsidR="001E73FF" w:rsidRPr="0071443D" w:rsidRDefault="001E73FF">
      <w:pPr>
        <w:rPr>
          <w:rFonts w:ascii="Arial" w:hAnsi="Arial"/>
          <w:b/>
          <w:sz w:val="24"/>
          <w:szCs w:val="36"/>
        </w:rPr>
      </w:pPr>
    </w:p>
    <w:p w:rsidR="001E73FF" w:rsidRPr="0071443D" w:rsidRDefault="00C033D8">
      <w:pPr>
        <w:rPr>
          <w:rFonts w:ascii="Arial" w:hAnsi="Arial"/>
          <w:b/>
          <w:sz w:val="32"/>
          <w:szCs w:val="36"/>
        </w:rPr>
      </w:pPr>
      <w:r w:rsidRPr="0071443D">
        <w:rPr>
          <w:rFonts w:ascii="Arial" w:hAnsi="Arial"/>
          <w:b/>
          <w:i/>
          <w:sz w:val="32"/>
          <w:szCs w:val="36"/>
        </w:rPr>
        <w:t>Financial Forecast Update</w:t>
      </w:r>
    </w:p>
    <w:p w:rsidR="001E73FF" w:rsidRPr="0071443D" w:rsidRDefault="001E73FF">
      <w:pPr>
        <w:rPr>
          <w:rFonts w:ascii="Arial" w:hAnsi="Arial"/>
          <w:b/>
          <w:sz w:val="24"/>
          <w:szCs w:val="36"/>
        </w:rPr>
      </w:pPr>
    </w:p>
    <w:p w:rsidR="001E73FF" w:rsidRPr="0071443D" w:rsidRDefault="00C033D8">
      <w:pPr>
        <w:pBdr>
          <w:bottom w:val="single" w:sz="12" w:space="1" w:color="auto"/>
        </w:pBdr>
        <w:rPr>
          <w:rFonts w:ascii="Arial" w:hAnsi="Arial"/>
          <w:b/>
          <w:sz w:val="32"/>
          <w:szCs w:val="36"/>
        </w:rPr>
      </w:pPr>
      <w:r w:rsidRPr="0071443D">
        <w:rPr>
          <w:rFonts w:ascii="Arial" w:hAnsi="Arial"/>
          <w:b/>
          <w:sz w:val="32"/>
          <w:szCs w:val="36"/>
        </w:rPr>
        <w:t>Lead Board Member – Debbie Bankole Williams</w:t>
      </w:r>
    </w:p>
    <w:p w:rsidR="00C033D8" w:rsidRPr="0071443D" w:rsidRDefault="00C033D8">
      <w:pPr>
        <w:pBdr>
          <w:bottom w:val="single" w:sz="12" w:space="1" w:color="auto"/>
        </w:pBdr>
        <w:rPr>
          <w:rFonts w:ascii="Arial" w:hAnsi="Arial"/>
          <w:b/>
          <w:sz w:val="24"/>
          <w:szCs w:val="36"/>
        </w:rPr>
      </w:pPr>
    </w:p>
    <w:p w:rsidR="00C033D8" w:rsidRPr="0071443D" w:rsidRDefault="00C033D8">
      <w:pPr>
        <w:pBdr>
          <w:bottom w:val="single" w:sz="12" w:space="1" w:color="auto"/>
        </w:pBdr>
        <w:rPr>
          <w:rFonts w:ascii="Arial" w:hAnsi="Arial"/>
          <w:b/>
          <w:i/>
          <w:sz w:val="32"/>
          <w:szCs w:val="36"/>
        </w:rPr>
      </w:pPr>
      <w:r w:rsidRPr="0071443D">
        <w:rPr>
          <w:rFonts w:ascii="Arial" w:hAnsi="Arial"/>
          <w:b/>
          <w:sz w:val="32"/>
          <w:szCs w:val="36"/>
        </w:rPr>
        <w:t>Report from Chief Executive and Finance &amp; IT Director</w:t>
      </w:r>
    </w:p>
    <w:p w:rsidR="001E73FF" w:rsidRDefault="001E73FF">
      <w:pPr>
        <w:pBdr>
          <w:bottom w:val="single" w:sz="12" w:space="1" w:color="auto"/>
        </w:pBdr>
        <w:rPr>
          <w:rFonts w:ascii="Arial" w:hAnsi="Arial"/>
        </w:rPr>
      </w:pPr>
    </w:p>
    <w:p w:rsidR="001E73FF" w:rsidRDefault="001E73FF">
      <w:pPr>
        <w:rPr>
          <w:rFonts w:ascii="Arial" w:hAnsi="Arial"/>
          <w:sz w:val="24"/>
        </w:rPr>
      </w:pPr>
    </w:p>
    <w:p w:rsidR="001E73FF" w:rsidRDefault="001E73FF">
      <w:pPr>
        <w:pStyle w:val="Heading4"/>
        <w:rPr>
          <w:i/>
          <w:sz w:val="24"/>
        </w:rPr>
      </w:pPr>
      <w:r>
        <w:rPr>
          <w:i/>
        </w:rPr>
        <w:t xml:space="preserve">Summary </w:t>
      </w:r>
    </w:p>
    <w:p w:rsidR="001E73FF" w:rsidRDefault="001E73FF">
      <w:pPr>
        <w:rPr>
          <w:rFonts w:ascii="Arial" w:hAnsi="Arial"/>
          <w:sz w:val="24"/>
        </w:rPr>
      </w:pPr>
    </w:p>
    <w:p w:rsidR="00EF7DDA" w:rsidRPr="008D250B" w:rsidRDefault="00EF7DDA">
      <w:pPr>
        <w:pStyle w:val="BodyText"/>
      </w:pPr>
      <w:r w:rsidRPr="008D250B">
        <w:t>This paper provides an update to the financial forecast (i.e. our 30 year business plan) in the context of recent Government annou</w:t>
      </w:r>
      <w:r w:rsidR="00026247" w:rsidRPr="008D250B">
        <w:t>nc</w:t>
      </w:r>
      <w:r w:rsidRPr="008D250B">
        <w:t xml:space="preserve">ements contained in the summer budget.   </w:t>
      </w:r>
    </w:p>
    <w:p w:rsidR="00EF7DDA" w:rsidRPr="008D250B" w:rsidRDefault="00EF7DDA">
      <w:pPr>
        <w:pStyle w:val="BodyText"/>
      </w:pPr>
    </w:p>
    <w:p w:rsidR="00EF7DDA" w:rsidRPr="008D250B" w:rsidRDefault="00EF7DDA">
      <w:pPr>
        <w:pStyle w:val="BodyText"/>
      </w:pPr>
      <w:r w:rsidRPr="008D250B">
        <w:t xml:space="preserve">The main impact modelled is the reduction in rents (-1% for 3 years) as </w:t>
      </w:r>
      <w:r w:rsidR="00026247" w:rsidRPr="008D250B">
        <w:t>this</w:t>
      </w:r>
      <w:r w:rsidRPr="008D250B">
        <w:t xml:space="preserve"> is the most material change that we can model with a degree of certainty. </w:t>
      </w:r>
    </w:p>
    <w:p w:rsidR="00EF7DDA" w:rsidRDefault="00EF7DDA">
      <w:pPr>
        <w:pStyle w:val="BodyText"/>
        <w:rPr>
          <w:highlight w:val="cyan"/>
        </w:rPr>
      </w:pPr>
    </w:p>
    <w:p w:rsidR="0009566D" w:rsidRPr="008D250B" w:rsidRDefault="00EF7DDA">
      <w:pPr>
        <w:pStyle w:val="BodyText"/>
      </w:pPr>
      <w:r w:rsidRPr="008D250B">
        <w:t xml:space="preserve">There were other significant changes announced in the </w:t>
      </w:r>
      <w:r w:rsidR="0009566D" w:rsidRPr="008D250B">
        <w:t xml:space="preserve">summer budget </w:t>
      </w:r>
      <w:r w:rsidRPr="008D250B">
        <w:t>s</w:t>
      </w:r>
      <w:r w:rsidR="0009566D" w:rsidRPr="008D250B">
        <w:t>uch as Right to Buy and Pay to S</w:t>
      </w:r>
      <w:r w:rsidRPr="008D250B">
        <w:t>tay. Until the Government announce further details about how these two programmes will work</w:t>
      </w:r>
      <w:r w:rsidR="0009566D" w:rsidRPr="008D250B">
        <w:t xml:space="preserve"> in practice, it is very difficult to model the impact on our income. </w:t>
      </w:r>
      <w:r w:rsidR="001E4073" w:rsidRPr="008D250B">
        <w:t>We have therefore made no assumptions at this stage about increased income arising from either Pay to Stay o</w:t>
      </w:r>
      <w:r w:rsidR="001E4073">
        <w:t>r</w:t>
      </w:r>
      <w:r w:rsidR="001E4073" w:rsidRPr="008D250B">
        <w:t xml:space="preserve"> Right to Buy</w:t>
      </w:r>
      <w:r w:rsidR="001E4073">
        <w:t>.</w:t>
      </w:r>
      <w:r w:rsidR="001E4073" w:rsidRPr="008D250B">
        <w:t xml:space="preserve"> In that sense, this update should be seen as the first assessment rather than a final analysis.</w:t>
      </w:r>
    </w:p>
    <w:p w:rsidR="0009566D" w:rsidRDefault="0009566D">
      <w:pPr>
        <w:pStyle w:val="BodyText"/>
        <w:rPr>
          <w:highlight w:val="cyan"/>
        </w:rPr>
      </w:pPr>
    </w:p>
    <w:p w:rsidR="001E73FF" w:rsidRPr="008D250B" w:rsidRDefault="0009566D">
      <w:pPr>
        <w:pStyle w:val="BodyText"/>
      </w:pPr>
      <w:r w:rsidRPr="008D250B">
        <w:t>The financial modelling outlined in the paper s</w:t>
      </w:r>
      <w:r w:rsidR="00C033D8" w:rsidRPr="008D250B">
        <w:t xml:space="preserve">hows how Hexagon can continue to operate within the financial risk appetite set by the Board, despite the reductions in rental income announced in the Summer Budget. </w:t>
      </w:r>
    </w:p>
    <w:p w:rsidR="00C033D8" w:rsidRPr="008D250B" w:rsidRDefault="00C033D8">
      <w:pPr>
        <w:pStyle w:val="BodyText"/>
      </w:pPr>
    </w:p>
    <w:p w:rsidR="0009566D" w:rsidRPr="008D250B" w:rsidRDefault="0009566D">
      <w:pPr>
        <w:pStyle w:val="BodyText"/>
      </w:pPr>
      <w:r w:rsidRPr="008D250B">
        <w:t>The paper confirms that despite the changes, we can complete the 2015-18 development programme (circa 110 homes over 3 years</w:t>
      </w:r>
      <w:r w:rsidR="00026247" w:rsidRPr="008D250B">
        <w:t>).</w:t>
      </w:r>
      <w:r w:rsidRPr="008D250B">
        <w:t xml:space="preserve"> We have at this stage assumed no further development from 2018 onwards</w:t>
      </w:r>
      <w:r w:rsidR="00855113">
        <w:t>.</w:t>
      </w:r>
      <w:r w:rsidRPr="008D250B">
        <w:t xml:space="preserve"> As in previous years, we will evaluate our ability to carry on developing in the light of our actual financial performance and further Government announcements </w:t>
      </w:r>
      <w:r w:rsidR="00026247" w:rsidRPr="008D250B">
        <w:lastRenderedPageBreak/>
        <w:t>concerning</w:t>
      </w:r>
      <w:r w:rsidRPr="008D250B">
        <w:t xml:space="preserve"> what we anticipate wi</w:t>
      </w:r>
      <w:r w:rsidR="004F2B1E" w:rsidRPr="008D250B">
        <w:t xml:space="preserve">ll be further reductions to </w:t>
      </w:r>
      <w:r w:rsidRPr="008D250B">
        <w:t xml:space="preserve">grant available to build new affordable rented </w:t>
      </w:r>
      <w:r w:rsidR="007137C8" w:rsidRPr="008D250B">
        <w:t>homes.</w:t>
      </w:r>
      <w:r w:rsidRPr="008D250B">
        <w:t xml:space="preserve">      </w:t>
      </w:r>
    </w:p>
    <w:p w:rsidR="0009566D" w:rsidRDefault="0009566D">
      <w:pPr>
        <w:pStyle w:val="BodyText"/>
        <w:rPr>
          <w:highlight w:val="cyan"/>
        </w:rPr>
      </w:pPr>
    </w:p>
    <w:p w:rsidR="001E73FF" w:rsidRDefault="004F2B1E" w:rsidP="0071443D">
      <w:pPr>
        <w:pStyle w:val="BodyText"/>
      </w:pPr>
      <w:r w:rsidRPr="008D250B">
        <w:t>The paper goes on to m</w:t>
      </w:r>
      <w:r w:rsidR="00C033D8" w:rsidRPr="008D250B">
        <w:t>odel a combination of further negative financial factors to help develop a mitigation plan</w:t>
      </w:r>
      <w:r>
        <w:t xml:space="preserve"> that will come back to the Board </w:t>
      </w:r>
      <w:r w:rsidR="0071443D">
        <w:t>at our next meeting in November.</w:t>
      </w:r>
      <w:r>
        <w:t xml:space="preserve"> </w:t>
      </w:r>
    </w:p>
    <w:p w:rsidR="001E73FF" w:rsidRDefault="001E73FF">
      <w:pPr>
        <w:pStyle w:val="Heading4"/>
        <w:rPr>
          <w:i/>
          <w:sz w:val="24"/>
        </w:rPr>
      </w:pPr>
      <w:r>
        <w:rPr>
          <w:i/>
        </w:rPr>
        <w:t>Recommendation</w:t>
      </w:r>
    </w:p>
    <w:p w:rsidR="001E73FF" w:rsidRDefault="001E73FF">
      <w:pPr>
        <w:rPr>
          <w:rFonts w:ascii="Arial" w:hAnsi="Arial"/>
          <w:sz w:val="24"/>
        </w:rPr>
      </w:pPr>
    </w:p>
    <w:p w:rsidR="001E73FF" w:rsidRDefault="00C033D8">
      <w:pPr>
        <w:jc w:val="both"/>
        <w:rPr>
          <w:rFonts w:ascii="Arial" w:hAnsi="Arial"/>
          <w:sz w:val="24"/>
        </w:rPr>
      </w:pPr>
      <w:r>
        <w:rPr>
          <w:rFonts w:ascii="Arial" w:hAnsi="Arial"/>
          <w:sz w:val="24"/>
        </w:rPr>
        <w:t>The Board is recommended to approve the revised financial forecast, and the changes in assumption contained therein.</w:t>
      </w:r>
    </w:p>
    <w:p w:rsidR="001E73FF" w:rsidRDefault="001E73FF">
      <w:pPr>
        <w:pBdr>
          <w:bottom w:val="single" w:sz="12" w:space="1" w:color="auto"/>
        </w:pBdr>
        <w:rPr>
          <w:rFonts w:ascii="Arial" w:hAnsi="Arial"/>
          <w:sz w:val="24"/>
        </w:rPr>
      </w:pPr>
    </w:p>
    <w:p w:rsidR="001E73FF" w:rsidRDefault="001E73FF">
      <w:pPr>
        <w:rPr>
          <w:rFonts w:ascii="Arial" w:hAnsi="Arial"/>
          <w:sz w:val="24"/>
        </w:rPr>
      </w:pPr>
    </w:p>
    <w:tbl>
      <w:tblPr>
        <w:tblStyle w:val="TableGrid"/>
        <w:tblW w:w="0" w:type="auto"/>
        <w:tblLayout w:type="fixed"/>
        <w:tblLook w:val="04A0" w:firstRow="1" w:lastRow="0" w:firstColumn="1" w:lastColumn="0" w:noHBand="0" w:noVBand="1"/>
      </w:tblPr>
      <w:tblGrid>
        <w:gridCol w:w="606"/>
        <w:gridCol w:w="7724"/>
      </w:tblGrid>
      <w:tr w:rsidR="000C59DE" w:rsidTr="00694F38">
        <w:tc>
          <w:tcPr>
            <w:tcW w:w="606" w:type="dxa"/>
          </w:tcPr>
          <w:p w:rsidR="000C59DE" w:rsidRPr="00F8162E" w:rsidRDefault="000C59DE">
            <w:pPr>
              <w:rPr>
                <w:rFonts w:ascii="Arial" w:hAnsi="Arial"/>
                <w:b/>
                <w:i/>
                <w:sz w:val="28"/>
              </w:rPr>
            </w:pPr>
            <w:r w:rsidRPr="000C59DE">
              <w:rPr>
                <w:rFonts w:ascii="Arial" w:hAnsi="Arial"/>
                <w:b/>
                <w:i/>
                <w:sz w:val="28"/>
              </w:rPr>
              <w:t>1.0</w:t>
            </w:r>
          </w:p>
        </w:tc>
        <w:tc>
          <w:tcPr>
            <w:tcW w:w="7724" w:type="dxa"/>
          </w:tcPr>
          <w:p w:rsidR="000C59DE" w:rsidRDefault="00F8162E">
            <w:pPr>
              <w:rPr>
                <w:rFonts w:ascii="Arial" w:hAnsi="Arial"/>
                <w:b/>
                <w:i/>
                <w:sz w:val="28"/>
              </w:rPr>
            </w:pPr>
            <w:r w:rsidRPr="00F8162E">
              <w:rPr>
                <w:rFonts w:ascii="Arial" w:hAnsi="Arial"/>
                <w:b/>
                <w:i/>
                <w:sz w:val="28"/>
              </w:rPr>
              <w:t>Introduction</w:t>
            </w:r>
          </w:p>
          <w:p w:rsidR="0071443D" w:rsidRPr="00F8162E" w:rsidRDefault="0071443D">
            <w:pPr>
              <w:rPr>
                <w:rFonts w:ascii="Arial" w:hAnsi="Arial"/>
                <w:b/>
                <w:i/>
                <w:sz w:val="28"/>
              </w:rPr>
            </w:pPr>
          </w:p>
        </w:tc>
      </w:tr>
      <w:tr w:rsidR="000C59DE" w:rsidTr="00694F38">
        <w:tc>
          <w:tcPr>
            <w:tcW w:w="606" w:type="dxa"/>
          </w:tcPr>
          <w:p w:rsidR="000C59DE" w:rsidRDefault="000C59DE">
            <w:pPr>
              <w:rPr>
                <w:rFonts w:ascii="Arial" w:hAnsi="Arial"/>
                <w:sz w:val="24"/>
              </w:rPr>
            </w:pPr>
            <w:r>
              <w:rPr>
                <w:rFonts w:ascii="Arial" w:hAnsi="Arial"/>
                <w:sz w:val="24"/>
              </w:rPr>
              <w:t>1.1</w:t>
            </w:r>
          </w:p>
        </w:tc>
        <w:tc>
          <w:tcPr>
            <w:tcW w:w="7724" w:type="dxa"/>
          </w:tcPr>
          <w:p w:rsidR="000C59DE" w:rsidRDefault="002B00A5" w:rsidP="002B00A5">
            <w:pPr>
              <w:rPr>
                <w:rFonts w:ascii="Arial" w:hAnsi="Arial"/>
                <w:sz w:val="24"/>
              </w:rPr>
            </w:pPr>
            <w:r>
              <w:rPr>
                <w:rFonts w:ascii="Arial" w:hAnsi="Arial"/>
                <w:sz w:val="24"/>
              </w:rPr>
              <w:t xml:space="preserve">The Government announced in the </w:t>
            </w:r>
            <w:r w:rsidR="00F8162E">
              <w:rPr>
                <w:rFonts w:ascii="Arial" w:hAnsi="Arial"/>
                <w:sz w:val="24"/>
              </w:rPr>
              <w:t>Summer Budget</w:t>
            </w:r>
            <w:r>
              <w:rPr>
                <w:rFonts w:ascii="Arial" w:hAnsi="Arial"/>
                <w:sz w:val="24"/>
              </w:rPr>
              <w:t xml:space="preserve"> that housing association rents would decrease by 1% a year for the next four years. The</w:t>
            </w:r>
            <w:r w:rsidR="00F8162E">
              <w:rPr>
                <w:rFonts w:ascii="Arial" w:hAnsi="Arial"/>
                <w:sz w:val="24"/>
              </w:rPr>
              <w:t xml:space="preserve"> impact </w:t>
            </w:r>
            <w:r>
              <w:rPr>
                <w:rFonts w:ascii="Arial" w:hAnsi="Arial"/>
                <w:sz w:val="24"/>
              </w:rPr>
              <w:t xml:space="preserve">on Hexagon’s </w:t>
            </w:r>
            <w:r w:rsidRPr="002B00A5">
              <w:rPr>
                <w:rFonts w:ascii="Arial" w:hAnsi="Arial"/>
                <w:sz w:val="24"/>
              </w:rPr>
              <w:t>finances (£6.4m over the four</w:t>
            </w:r>
            <w:r>
              <w:rPr>
                <w:rFonts w:ascii="Arial" w:hAnsi="Arial"/>
                <w:sz w:val="24"/>
              </w:rPr>
              <w:t xml:space="preserve"> years to March 2020 alone) were </w:t>
            </w:r>
            <w:r w:rsidR="00F8162E">
              <w:rPr>
                <w:rFonts w:ascii="Arial" w:hAnsi="Arial"/>
                <w:sz w:val="24"/>
              </w:rPr>
              <w:t>reported to July Board.</w:t>
            </w:r>
            <w:r>
              <w:rPr>
                <w:rFonts w:ascii="Arial" w:hAnsi="Arial"/>
                <w:sz w:val="24"/>
              </w:rPr>
              <w:t xml:space="preserve"> </w:t>
            </w:r>
            <w:r w:rsidR="00E3518D">
              <w:rPr>
                <w:rFonts w:ascii="Arial" w:hAnsi="Arial"/>
                <w:sz w:val="24"/>
              </w:rPr>
              <w:t xml:space="preserve"> </w:t>
            </w:r>
            <w:r>
              <w:rPr>
                <w:rFonts w:ascii="Arial" w:hAnsi="Arial"/>
                <w:sz w:val="24"/>
              </w:rPr>
              <w:t xml:space="preserve">This meant that, as at July, the financial </w:t>
            </w:r>
            <w:r w:rsidR="00F8162E">
              <w:rPr>
                <w:rFonts w:ascii="Arial" w:hAnsi="Arial"/>
                <w:sz w:val="24"/>
              </w:rPr>
              <w:t>forecast</w:t>
            </w:r>
            <w:r>
              <w:rPr>
                <w:rFonts w:ascii="Arial" w:hAnsi="Arial"/>
                <w:sz w:val="24"/>
              </w:rPr>
              <w:t xml:space="preserve"> was not within the Board’s </w:t>
            </w:r>
            <w:r w:rsidR="00F8162E">
              <w:rPr>
                <w:rFonts w:ascii="Arial" w:hAnsi="Arial"/>
                <w:sz w:val="24"/>
              </w:rPr>
              <w:t>stated financial risk appetite.</w:t>
            </w:r>
          </w:p>
          <w:p w:rsidR="0071443D" w:rsidRDefault="0071443D" w:rsidP="002B00A5">
            <w:pPr>
              <w:rPr>
                <w:rFonts w:ascii="Arial" w:hAnsi="Arial"/>
                <w:sz w:val="24"/>
              </w:rPr>
            </w:pPr>
          </w:p>
        </w:tc>
      </w:tr>
      <w:tr w:rsidR="00F8162E" w:rsidTr="00694F38">
        <w:tc>
          <w:tcPr>
            <w:tcW w:w="606" w:type="dxa"/>
          </w:tcPr>
          <w:p w:rsidR="00F8162E" w:rsidRDefault="00F8162E">
            <w:pPr>
              <w:rPr>
                <w:rFonts w:ascii="Arial" w:hAnsi="Arial"/>
                <w:sz w:val="24"/>
              </w:rPr>
            </w:pPr>
            <w:r>
              <w:rPr>
                <w:rFonts w:ascii="Arial" w:hAnsi="Arial"/>
                <w:sz w:val="24"/>
              </w:rPr>
              <w:t>1.2</w:t>
            </w:r>
          </w:p>
        </w:tc>
        <w:tc>
          <w:tcPr>
            <w:tcW w:w="7724" w:type="dxa"/>
          </w:tcPr>
          <w:p w:rsidR="00F8162E" w:rsidRDefault="002B00A5" w:rsidP="008D250B">
            <w:pPr>
              <w:rPr>
                <w:rFonts w:ascii="Arial" w:hAnsi="Arial"/>
                <w:sz w:val="24"/>
              </w:rPr>
            </w:pPr>
            <w:r>
              <w:rPr>
                <w:rFonts w:ascii="Arial" w:hAnsi="Arial"/>
                <w:sz w:val="24"/>
              </w:rPr>
              <w:t xml:space="preserve">The HCA require submission of a </w:t>
            </w:r>
            <w:r w:rsidR="00F8162E" w:rsidRPr="00F8162E">
              <w:rPr>
                <w:rFonts w:ascii="Arial" w:hAnsi="Arial"/>
                <w:sz w:val="24"/>
              </w:rPr>
              <w:t>revised 30 year financial forecast  by</w:t>
            </w:r>
            <w:r>
              <w:rPr>
                <w:rFonts w:ascii="Arial" w:hAnsi="Arial"/>
                <w:sz w:val="24"/>
              </w:rPr>
              <w:t xml:space="preserve"> the</w:t>
            </w:r>
            <w:r w:rsidR="00F8162E" w:rsidRPr="00F8162E">
              <w:rPr>
                <w:rFonts w:ascii="Arial" w:hAnsi="Arial"/>
                <w:sz w:val="24"/>
              </w:rPr>
              <w:t xml:space="preserve"> end October.</w:t>
            </w:r>
          </w:p>
          <w:p w:rsidR="0071443D" w:rsidRDefault="0071443D" w:rsidP="008D250B">
            <w:pPr>
              <w:rPr>
                <w:rFonts w:ascii="Arial" w:hAnsi="Arial"/>
                <w:sz w:val="24"/>
              </w:rPr>
            </w:pPr>
          </w:p>
        </w:tc>
      </w:tr>
      <w:tr w:rsidR="000C59DE" w:rsidTr="00694F38">
        <w:tc>
          <w:tcPr>
            <w:tcW w:w="606" w:type="dxa"/>
          </w:tcPr>
          <w:p w:rsidR="000C59DE" w:rsidRDefault="00F8162E" w:rsidP="0030662F">
            <w:pPr>
              <w:rPr>
                <w:rFonts w:ascii="Arial" w:hAnsi="Arial"/>
                <w:sz w:val="24"/>
              </w:rPr>
            </w:pPr>
            <w:r>
              <w:rPr>
                <w:rFonts w:ascii="Arial" w:hAnsi="Arial"/>
                <w:sz w:val="24"/>
              </w:rPr>
              <w:t>1.</w:t>
            </w:r>
            <w:r w:rsidR="0030662F">
              <w:rPr>
                <w:rFonts w:ascii="Arial" w:hAnsi="Arial"/>
                <w:sz w:val="24"/>
              </w:rPr>
              <w:t>3</w:t>
            </w:r>
          </w:p>
        </w:tc>
        <w:tc>
          <w:tcPr>
            <w:tcW w:w="7724" w:type="dxa"/>
          </w:tcPr>
          <w:p w:rsidR="0071443D" w:rsidRDefault="00F8162E" w:rsidP="002B00A5">
            <w:pPr>
              <w:rPr>
                <w:rFonts w:ascii="Arial" w:hAnsi="Arial"/>
                <w:sz w:val="24"/>
              </w:rPr>
            </w:pPr>
            <w:r>
              <w:rPr>
                <w:rFonts w:ascii="Arial" w:hAnsi="Arial"/>
                <w:sz w:val="24"/>
              </w:rPr>
              <w:t xml:space="preserve">DGs have looked at the financial forecast, and considered what changes could be made to bring the organisation back to within the financial risk appetite.  </w:t>
            </w:r>
            <w:r w:rsidR="002B00A5">
              <w:rPr>
                <w:rFonts w:ascii="Arial" w:hAnsi="Arial"/>
                <w:sz w:val="24"/>
              </w:rPr>
              <w:t xml:space="preserve">These comprise </w:t>
            </w:r>
            <w:r w:rsidR="0030662F">
              <w:rPr>
                <w:rFonts w:ascii="Arial" w:hAnsi="Arial"/>
                <w:sz w:val="24"/>
              </w:rPr>
              <w:t xml:space="preserve">changes in economic assumptions and </w:t>
            </w:r>
            <w:r w:rsidR="002B00A5">
              <w:rPr>
                <w:rFonts w:ascii="Arial" w:hAnsi="Arial"/>
                <w:sz w:val="24"/>
              </w:rPr>
              <w:t xml:space="preserve">changes to </w:t>
            </w:r>
            <w:r w:rsidR="0030662F">
              <w:rPr>
                <w:rFonts w:ascii="Arial" w:hAnsi="Arial"/>
                <w:sz w:val="24"/>
              </w:rPr>
              <w:t>assumptions about future Board decisions.</w:t>
            </w:r>
          </w:p>
          <w:p w:rsidR="000C59DE" w:rsidRDefault="0030662F" w:rsidP="002B00A5">
            <w:pPr>
              <w:rPr>
                <w:rFonts w:ascii="Arial" w:hAnsi="Arial"/>
                <w:sz w:val="24"/>
              </w:rPr>
            </w:pPr>
            <w:r>
              <w:rPr>
                <w:rFonts w:ascii="Arial" w:hAnsi="Arial"/>
                <w:sz w:val="24"/>
              </w:rPr>
              <w:t xml:space="preserve"> </w:t>
            </w:r>
          </w:p>
        </w:tc>
      </w:tr>
      <w:tr w:rsidR="000C59DE" w:rsidTr="00694F38">
        <w:tc>
          <w:tcPr>
            <w:tcW w:w="606" w:type="dxa"/>
          </w:tcPr>
          <w:p w:rsidR="000C59DE" w:rsidRDefault="0030662F">
            <w:pPr>
              <w:rPr>
                <w:rFonts w:ascii="Arial" w:hAnsi="Arial"/>
                <w:sz w:val="24"/>
              </w:rPr>
            </w:pPr>
            <w:r>
              <w:rPr>
                <w:rFonts w:ascii="Arial" w:hAnsi="Arial"/>
                <w:sz w:val="24"/>
              </w:rPr>
              <w:t>1.4</w:t>
            </w:r>
          </w:p>
        </w:tc>
        <w:tc>
          <w:tcPr>
            <w:tcW w:w="7724" w:type="dxa"/>
          </w:tcPr>
          <w:p w:rsidR="004F2B1E" w:rsidRPr="008D250B" w:rsidRDefault="004F2B1E">
            <w:pPr>
              <w:rPr>
                <w:rFonts w:ascii="Arial" w:hAnsi="Arial"/>
                <w:sz w:val="24"/>
              </w:rPr>
            </w:pPr>
            <w:r w:rsidRPr="008D250B">
              <w:rPr>
                <w:rFonts w:ascii="Arial" w:hAnsi="Arial"/>
                <w:sz w:val="24"/>
              </w:rPr>
              <w:t xml:space="preserve">It is important to emphasise that the impact of the 4 year rent reduction is cumulative (as rents reduce by -1% over 4 years) but the impact is more gradual in the early years of the plan. The full force of the reduction is felt in 2020 in terms of pressure on our EBIDTAMRI ratio and this </w:t>
            </w:r>
            <w:r w:rsidR="006B01DE" w:rsidRPr="008D250B">
              <w:rPr>
                <w:rFonts w:ascii="Arial" w:hAnsi="Arial"/>
                <w:sz w:val="24"/>
              </w:rPr>
              <w:t xml:space="preserve">area </w:t>
            </w:r>
            <w:r w:rsidRPr="008D250B">
              <w:rPr>
                <w:rFonts w:ascii="Arial" w:hAnsi="Arial"/>
                <w:sz w:val="24"/>
              </w:rPr>
              <w:t xml:space="preserve">has been the key focus in developing our response. </w:t>
            </w:r>
          </w:p>
          <w:p w:rsidR="004F2B1E" w:rsidRDefault="004F2B1E">
            <w:pPr>
              <w:rPr>
                <w:rFonts w:ascii="Arial" w:hAnsi="Arial"/>
                <w:sz w:val="24"/>
                <w:highlight w:val="cyan"/>
              </w:rPr>
            </w:pPr>
          </w:p>
          <w:p w:rsidR="006B01DE" w:rsidRPr="008D250B" w:rsidRDefault="004F2B1E">
            <w:pPr>
              <w:rPr>
                <w:rFonts w:ascii="Arial" w:hAnsi="Arial"/>
                <w:sz w:val="24"/>
              </w:rPr>
            </w:pPr>
            <w:r w:rsidRPr="008D250B">
              <w:rPr>
                <w:rFonts w:ascii="Arial" w:hAnsi="Arial"/>
                <w:sz w:val="24"/>
              </w:rPr>
              <w:t>It is also important to emphasise tha</w:t>
            </w:r>
            <w:r w:rsidR="006B01DE" w:rsidRPr="008D250B">
              <w:rPr>
                <w:rFonts w:ascii="Arial" w:hAnsi="Arial"/>
                <w:sz w:val="24"/>
              </w:rPr>
              <w:t>t we will</w:t>
            </w:r>
            <w:r w:rsidR="0030662F" w:rsidRPr="008D250B">
              <w:rPr>
                <w:rFonts w:ascii="Arial" w:hAnsi="Arial"/>
                <w:sz w:val="24"/>
              </w:rPr>
              <w:t xml:space="preserve"> have some time to take </w:t>
            </w:r>
            <w:r w:rsidR="006B01DE" w:rsidRPr="008D250B">
              <w:rPr>
                <w:rFonts w:ascii="Arial" w:hAnsi="Arial"/>
                <w:sz w:val="24"/>
              </w:rPr>
              <w:t xml:space="preserve">a </w:t>
            </w:r>
            <w:r w:rsidR="0030662F" w:rsidRPr="008D250B">
              <w:rPr>
                <w:rFonts w:ascii="Arial" w:hAnsi="Arial"/>
                <w:sz w:val="24"/>
              </w:rPr>
              <w:t>series of decisions to keep the organisation on track financially</w:t>
            </w:r>
            <w:r w:rsidR="006B01DE" w:rsidRPr="008D250B">
              <w:rPr>
                <w:rFonts w:ascii="Arial" w:hAnsi="Arial"/>
                <w:sz w:val="24"/>
              </w:rPr>
              <w:t xml:space="preserve"> as part of our annual budget setting process over the next 4 years</w:t>
            </w:r>
            <w:r w:rsidR="0030662F" w:rsidRPr="008D250B">
              <w:rPr>
                <w:rFonts w:ascii="Arial" w:hAnsi="Arial"/>
                <w:sz w:val="24"/>
              </w:rPr>
              <w:t xml:space="preserve">. </w:t>
            </w:r>
          </w:p>
          <w:p w:rsidR="006B01DE" w:rsidRPr="008D250B" w:rsidRDefault="006B01DE">
            <w:pPr>
              <w:rPr>
                <w:rFonts w:ascii="Arial" w:hAnsi="Arial"/>
                <w:sz w:val="24"/>
              </w:rPr>
            </w:pPr>
          </w:p>
          <w:p w:rsidR="000C59DE" w:rsidRDefault="0030662F" w:rsidP="008D250B">
            <w:pPr>
              <w:rPr>
                <w:rFonts w:ascii="Arial" w:hAnsi="Arial"/>
                <w:sz w:val="24"/>
              </w:rPr>
            </w:pPr>
            <w:r w:rsidRPr="008D250B">
              <w:rPr>
                <w:rFonts w:ascii="Arial" w:hAnsi="Arial"/>
                <w:sz w:val="24"/>
              </w:rPr>
              <w:t xml:space="preserve">This is particularly </w:t>
            </w:r>
            <w:r w:rsidR="006B01DE" w:rsidRPr="008D250B">
              <w:rPr>
                <w:rFonts w:ascii="Arial" w:hAnsi="Arial"/>
                <w:sz w:val="24"/>
              </w:rPr>
              <w:t>true in the context of</w:t>
            </w:r>
            <w:r w:rsidRPr="008D250B">
              <w:rPr>
                <w:rFonts w:ascii="Arial" w:hAnsi="Arial"/>
                <w:sz w:val="24"/>
              </w:rPr>
              <w:t xml:space="preserve"> further changes such as </w:t>
            </w:r>
            <w:r w:rsidR="006B01DE" w:rsidRPr="008D250B">
              <w:rPr>
                <w:rFonts w:ascii="Arial" w:hAnsi="Arial"/>
                <w:sz w:val="24"/>
              </w:rPr>
              <w:t>R</w:t>
            </w:r>
            <w:r w:rsidRPr="008D250B">
              <w:rPr>
                <w:rFonts w:ascii="Arial" w:hAnsi="Arial"/>
                <w:sz w:val="24"/>
              </w:rPr>
              <w:t xml:space="preserve">ight to </w:t>
            </w:r>
            <w:r w:rsidR="006B01DE" w:rsidRPr="008D250B">
              <w:rPr>
                <w:rFonts w:ascii="Arial" w:hAnsi="Arial"/>
                <w:sz w:val="24"/>
              </w:rPr>
              <w:t>B</w:t>
            </w:r>
            <w:r w:rsidRPr="008D250B">
              <w:rPr>
                <w:rFonts w:ascii="Arial" w:hAnsi="Arial"/>
                <w:sz w:val="24"/>
              </w:rPr>
              <w:t xml:space="preserve">uy and </w:t>
            </w:r>
            <w:r w:rsidR="006B01DE" w:rsidRPr="008D250B">
              <w:rPr>
                <w:rFonts w:ascii="Arial" w:hAnsi="Arial"/>
                <w:sz w:val="24"/>
              </w:rPr>
              <w:t>P</w:t>
            </w:r>
            <w:r w:rsidRPr="008D250B">
              <w:rPr>
                <w:rFonts w:ascii="Arial" w:hAnsi="Arial"/>
                <w:sz w:val="24"/>
              </w:rPr>
              <w:t xml:space="preserve">ay to </w:t>
            </w:r>
            <w:r w:rsidR="006B01DE" w:rsidRPr="008D250B">
              <w:rPr>
                <w:rFonts w:ascii="Arial" w:hAnsi="Arial"/>
                <w:sz w:val="24"/>
              </w:rPr>
              <w:t>S</w:t>
            </w:r>
            <w:r w:rsidRPr="008D250B">
              <w:rPr>
                <w:rFonts w:ascii="Arial" w:hAnsi="Arial"/>
                <w:sz w:val="24"/>
              </w:rPr>
              <w:t>tay where we have insufficient information to model the impact in the financial forecast</w:t>
            </w:r>
            <w:r w:rsidR="006B01DE" w:rsidRPr="008D250B">
              <w:rPr>
                <w:rFonts w:ascii="Arial" w:hAnsi="Arial"/>
                <w:sz w:val="24"/>
              </w:rPr>
              <w:t xml:space="preserve"> at this early stage.</w:t>
            </w:r>
            <w:r w:rsidR="006B01DE">
              <w:rPr>
                <w:rFonts w:ascii="Arial" w:hAnsi="Arial"/>
                <w:sz w:val="24"/>
              </w:rPr>
              <w:t xml:space="preserve"> </w:t>
            </w:r>
          </w:p>
          <w:p w:rsidR="0071443D" w:rsidRDefault="0071443D" w:rsidP="008D250B">
            <w:pPr>
              <w:rPr>
                <w:rFonts w:ascii="Arial" w:hAnsi="Arial"/>
                <w:sz w:val="24"/>
              </w:rPr>
            </w:pPr>
          </w:p>
        </w:tc>
      </w:tr>
      <w:tr w:rsidR="000C59DE" w:rsidTr="00694F38">
        <w:tc>
          <w:tcPr>
            <w:tcW w:w="606" w:type="dxa"/>
          </w:tcPr>
          <w:p w:rsidR="000C59DE" w:rsidRPr="00E3518D" w:rsidRDefault="0030662F">
            <w:pPr>
              <w:rPr>
                <w:rFonts w:ascii="Arial" w:hAnsi="Arial"/>
                <w:b/>
                <w:i/>
                <w:sz w:val="28"/>
              </w:rPr>
            </w:pPr>
            <w:r w:rsidRPr="00E3518D">
              <w:rPr>
                <w:rFonts w:ascii="Arial" w:hAnsi="Arial"/>
                <w:b/>
                <w:i/>
                <w:sz w:val="28"/>
              </w:rPr>
              <w:t>2.0</w:t>
            </w:r>
          </w:p>
        </w:tc>
        <w:tc>
          <w:tcPr>
            <w:tcW w:w="7724" w:type="dxa"/>
          </w:tcPr>
          <w:p w:rsidR="000C59DE" w:rsidRDefault="0030662F">
            <w:pPr>
              <w:rPr>
                <w:rFonts w:ascii="Arial" w:hAnsi="Arial"/>
                <w:b/>
                <w:i/>
                <w:sz w:val="28"/>
              </w:rPr>
            </w:pPr>
            <w:r w:rsidRPr="00E3518D">
              <w:rPr>
                <w:rFonts w:ascii="Arial" w:hAnsi="Arial"/>
                <w:b/>
                <w:i/>
                <w:sz w:val="28"/>
              </w:rPr>
              <w:t>Changes to the financial forecast since May 2015</w:t>
            </w:r>
          </w:p>
          <w:p w:rsidR="0071443D" w:rsidRPr="00E3518D" w:rsidRDefault="0071443D">
            <w:pPr>
              <w:rPr>
                <w:rFonts w:ascii="Arial" w:hAnsi="Arial"/>
                <w:b/>
                <w:i/>
                <w:sz w:val="28"/>
              </w:rPr>
            </w:pPr>
          </w:p>
        </w:tc>
      </w:tr>
      <w:tr w:rsidR="000C59DE" w:rsidTr="00694F38">
        <w:tc>
          <w:tcPr>
            <w:tcW w:w="606" w:type="dxa"/>
          </w:tcPr>
          <w:p w:rsidR="000C59DE" w:rsidRDefault="0030662F">
            <w:pPr>
              <w:rPr>
                <w:rFonts w:ascii="Arial" w:hAnsi="Arial"/>
                <w:sz w:val="24"/>
              </w:rPr>
            </w:pPr>
            <w:r>
              <w:rPr>
                <w:rFonts w:ascii="Arial" w:hAnsi="Arial"/>
                <w:sz w:val="24"/>
              </w:rPr>
              <w:t>2.1</w:t>
            </w:r>
          </w:p>
        </w:tc>
        <w:tc>
          <w:tcPr>
            <w:tcW w:w="7724" w:type="dxa"/>
          </w:tcPr>
          <w:p w:rsidR="000C59DE" w:rsidRDefault="0030662F">
            <w:pPr>
              <w:rPr>
                <w:rFonts w:ascii="Arial" w:hAnsi="Arial"/>
                <w:sz w:val="24"/>
              </w:rPr>
            </w:pPr>
            <w:r>
              <w:rPr>
                <w:rFonts w:ascii="Arial" w:hAnsi="Arial"/>
                <w:sz w:val="24"/>
              </w:rPr>
              <w:t>The financial forecast has been amended for the things we now know:</w:t>
            </w:r>
          </w:p>
          <w:p w:rsidR="0030662F" w:rsidRDefault="0030662F" w:rsidP="0030662F">
            <w:pPr>
              <w:pStyle w:val="ListParagraph"/>
              <w:numPr>
                <w:ilvl w:val="0"/>
                <w:numId w:val="1"/>
              </w:numPr>
              <w:rPr>
                <w:rFonts w:ascii="Arial" w:hAnsi="Arial"/>
                <w:sz w:val="24"/>
              </w:rPr>
            </w:pPr>
            <w:r>
              <w:rPr>
                <w:rFonts w:ascii="Arial" w:hAnsi="Arial"/>
                <w:sz w:val="24"/>
              </w:rPr>
              <w:t>Rent reductions</w:t>
            </w:r>
          </w:p>
          <w:p w:rsidR="0030662F" w:rsidRDefault="0030662F" w:rsidP="0030662F">
            <w:pPr>
              <w:pStyle w:val="ListParagraph"/>
              <w:numPr>
                <w:ilvl w:val="0"/>
                <w:numId w:val="1"/>
              </w:numPr>
              <w:rPr>
                <w:rFonts w:ascii="Arial" w:hAnsi="Arial"/>
                <w:sz w:val="24"/>
              </w:rPr>
            </w:pPr>
            <w:r>
              <w:rPr>
                <w:rFonts w:ascii="Arial" w:hAnsi="Arial"/>
                <w:sz w:val="24"/>
              </w:rPr>
              <w:t>Actual (rather than estimated) interest rate on the AHF bond loan</w:t>
            </w:r>
          </w:p>
          <w:p w:rsidR="0030662F" w:rsidRDefault="0030662F" w:rsidP="0071443D">
            <w:pPr>
              <w:pStyle w:val="ListParagraph"/>
              <w:numPr>
                <w:ilvl w:val="0"/>
                <w:numId w:val="1"/>
              </w:numPr>
              <w:rPr>
                <w:rFonts w:ascii="Arial" w:hAnsi="Arial"/>
                <w:sz w:val="24"/>
              </w:rPr>
            </w:pPr>
            <w:r>
              <w:rPr>
                <w:rFonts w:ascii="Arial" w:hAnsi="Arial"/>
                <w:sz w:val="24"/>
              </w:rPr>
              <w:lastRenderedPageBreak/>
              <w:t>Actual (rather than estimated) contribution to the increased pension scheme deficit following the 2014 actuarial valuation</w:t>
            </w:r>
          </w:p>
          <w:p w:rsidR="0071443D" w:rsidRDefault="0071443D" w:rsidP="0071443D">
            <w:pPr>
              <w:pStyle w:val="ListParagraph"/>
              <w:rPr>
                <w:rFonts w:ascii="Arial" w:hAnsi="Arial"/>
                <w:sz w:val="24"/>
              </w:rPr>
            </w:pPr>
          </w:p>
          <w:p w:rsidR="0071443D" w:rsidRPr="0071443D" w:rsidRDefault="0071443D" w:rsidP="0071443D">
            <w:pPr>
              <w:pStyle w:val="ListParagraph"/>
              <w:rPr>
                <w:rFonts w:ascii="Arial" w:hAnsi="Arial"/>
                <w:sz w:val="24"/>
              </w:rPr>
            </w:pPr>
          </w:p>
        </w:tc>
      </w:tr>
      <w:tr w:rsidR="000C59DE" w:rsidTr="00694F38">
        <w:tc>
          <w:tcPr>
            <w:tcW w:w="606" w:type="dxa"/>
          </w:tcPr>
          <w:p w:rsidR="000C59DE" w:rsidRDefault="0030662F">
            <w:pPr>
              <w:rPr>
                <w:rFonts w:ascii="Arial" w:hAnsi="Arial"/>
                <w:sz w:val="24"/>
              </w:rPr>
            </w:pPr>
            <w:r>
              <w:rPr>
                <w:rFonts w:ascii="Arial" w:hAnsi="Arial"/>
                <w:sz w:val="24"/>
              </w:rPr>
              <w:lastRenderedPageBreak/>
              <w:t>2.2</w:t>
            </w:r>
          </w:p>
        </w:tc>
        <w:tc>
          <w:tcPr>
            <w:tcW w:w="7724" w:type="dxa"/>
          </w:tcPr>
          <w:p w:rsidR="000F1C17" w:rsidRDefault="000F1C17">
            <w:pPr>
              <w:rPr>
                <w:rFonts w:ascii="Arial" w:hAnsi="Arial"/>
                <w:sz w:val="24"/>
              </w:rPr>
            </w:pPr>
            <w:r>
              <w:rPr>
                <w:rFonts w:ascii="Arial" w:hAnsi="Arial"/>
                <w:sz w:val="24"/>
              </w:rPr>
              <w:t>Changes to economic assumptions</w:t>
            </w:r>
          </w:p>
          <w:p w:rsidR="000F1C17" w:rsidRPr="0071443D" w:rsidRDefault="000F1C17">
            <w:pPr>
              <w:rPr>
                <w:rFonts w:ascii="Arial" w:hAnsi="Arial"/>
              </w:rPr>
            </w:pPr>
          </w:p>
          <w:p w:rsidR="000C59DE" w:rsidRPr="000F1C17" w:rsidRDefault="0030662F" w:rsidP="000F1C17">
            <w:pPr>
              <w:pStyle w:val="ListParagraph"/>
              <w:numPr>
                <w:ilvl w:val="0"/>
                <w:numId w:val="5"/>
              </w:numPr>
              <w:rPr>
                <w:rFonts w:ascii="Arial" w:hAnsi="Arial"/>
                <w:sz w:val="24"/>
              </w:rPr>
            </w:pPr>
            <w:r w:rsidRPr="000F1C17">
              <w:rPr>
                <w:rFonts w:ascii="Arial" w:hAnsi="Arial"/>
                <w:sz w:val="24"/>
              </w:rPr>
              <w:t>Routine changes</w:t>
            </w:r>
            <w:r w:rsidR="002B00A5" w:rsidRPr="000F1C17">
              <w:rPr>
                <w:rFonts w:ascii="Arial" w:hAnsi="Arial"/>
                <w:sz w:val="24"/>
              </w:rPr>
              <w:t xml:space="preserve"> have been made </w:t>
            </w:r>
            <w:r w:rsidRPr="000F1C17">
              <w:rPr>
                <w:rFonts w:ascii="Arial" w:hAnsi="Arial"/>
                <w:sz w:val="24"/>
              </w:rPr>
              <w:t>to forecast interest and inflation rates to 2020.</w:t>
            </w:r>
          </w:p>
          <w:p w:rsidR="0030662F" w:rsidRDefault="000F1C17" w:rsidP="008D250B">
            <w:pPr>
              <w:pStyle w:val="ListParagraph"/>
              <w:numPr>
                <w:ilvl w:val="0"/>
                <w:numId w:val="5"/>
              </w:numPr>
              <w:rPr>
                <w:rFonts w:ascii="Arial" w:hAnsi="Arial"/>
                <w:sz w:val="24"/>
              </w:rPr>
            </w:pPr>
            <w:r w:rsidRPr="000F1C17">
              <w:rPr>
                <w:rFonts w:ascii="Arial" w:hAnsi="Arial"/>
                <w:sz w:val="24"/>
              </w:rPr>
              <w:t>A s</w:t>
            </w:r>
            <w:r w:rsidR="0030662F" w:rsidRPr="000F1C17">
              <w:rPr>
                <w:rFonts w:ascii="Arial" w:hAnsi="Arial"/>
                <w:sz w:val="24"/>
              </w:rPr>
              <w:t>ignificant change</w:t>
            </w:r>
            <w:r w:rsidRPr="000F1C17">
              <w:rPr>
                <w:rFonts w:ascii="Arial" w:hAnsi="Arial"/>
                <w:sz w:val="24"/>
              </w:rPr>
              <w:t xml:space="preserve"> has been made</w:t>
            </w:r>
            <w:r w:rsidR="0030662F" w:rsidRPr="000F1C17">
              <w:rPr>
                <w:rFonts w:ascii="Arial" w:hAnsi="Arial"/>
                <w:sz w:val="24"/>
              </w:rPr>
              <w:t xml:space="preserve"> to </w:t>
            </w:r>
            <w:r w:rsidRPr="000F1C17">
              <w:rPr>
                <w:rFonts w:ascii="Arial" w:hAnsi="Arial"/>
                <w:sz w:val="24"/>
              </w:rPr>
              <w:t xml:space="preserve">the assumption </w:t>
            </w:r>
            <w:r>
              <w:rPr>
                <w:rFonts w:ascii="Arial" w:hAnsi="Arial"/>
                <w:sz w:val="24"/>
              </w:rPr>
              <w:t xml:space="preserve">on </w:t>
            </w:r>
            <w:r w:rsidRPr="000F1C17">
              <w:rPr>
                <w:rFonts w:ascii="Arial" w:hAnsi="Arial"/>
                <w:sz w:val="24"/>
              </w:rPr>
              <w:t>interest rates (LIBOR) after 2020</w:t>
            </w:r>
            <w:r w:rsidR="0030662F" w:rsidRPr="000F1C17">
              <w:rPr>
                <w:rFonts w:ascii="Arial" w:hAnsi="Arial"/>
                <w:sz w:val="24"/>
              </w:rPr>
              <w:t xml:space="preserve">.  This is </w:t>
            </w:r>
            <w:r w:rsidRPr="000F1C17">
              <w:rPr>
                <w:rFonts w:ascii="Arial" w:hAnsi="Arial"/>
                <w:sz w:val="24"/>
              </w:rPr>
              <w:t>because the previous LIBOR</w:t>
            </w:r>
            <w:r w:rsidR="0030662F" w:rsidRPr="000F1C17">
              <w:rPr>
                <w:rFonts w:ascii="Arial" w:hAnsi="Arial"/>
                <w:sz w:val="24"/>
              </w:rPr>
              <w:t xml:space="preserve"> rate</w:t>
            </w:r>
            <w:r w:rsidRPr="000F1C17">
              <w:rPr>
                <w:rFonts w:ascii="Arial" w:hAnsi="Arial"/>
                <w:sz w:val="24"/>
              </w:rPr>
              <w:t xml:space="preserve"> of 5.8%</w:t>
            </w:r>
            <w:r w:rsidR="0030662F" w:rsidRPr="000F1C17">
              <w:rPr>
                <w:rFonts w:ascii="Arial" w:hAnsi="Arial"/>
                <w:sz w:val="24"/>
              </w:rPr>
              <w:t xml:space="preserve"> was calculated using the average difference between interest and inflation rates for </w:t>
            </w:r>
            <w:r>
              <w:rPr>
                <w:rFonts w:ascii="Arial" w:hAnsi="Arial"/>
                <w:sz w:val="24"/>
              </w:rPr>
              <w:t>1997 to 2007</w:t>
            </w:r>
            <w:r w:rsidR="0030662F" w:rsidRPr="000F1C17">
              <w:rPr>
                <w:rFonts w:ascii="Arial" w:hAnsi="Arial"/>
                <w:sz w:val="24"/>
              </w:rPr>
              <w:t xml:space="preserve">. This is now increasingly out of date, so we have substituted </w:t>
            </w:r>
            <w:r w:rsidR="00480586" w:rsidRPr="000F1C17">
              <w:rPr>
                <w:rFonts w:ascii="Arial" w:hAnsi="Arial"/>
                <w:sz w:val="24"/>
              </w:rPr>
              <w:t>an assumption of 4.25%, which is what our treasury advisors have recommended for all of their clients.  This means that the financial forecast is</w:t>
            </w:r>
            <w:r w:rsidR="000D3D6B">
              <w:rPr>
                <w:rFonts w:ascii="Arial" w:hAnsi="Arial"/>
                <w:sz w:val="24"/>
              </w:rPr>
              <w:t xml:space="preserve"> </w:t>
            </w:r>
            <w:r w:rsidR="00480586" w:rsidRPr="000F1C17">
              <w:rPr>
                <w:rFonts w:ascii="Arial" w:hAnsi="Arial"/>
                <w:sz w:val="24"/>
              </w:rPr>
              <w:t xml:space="preserve">more realistic. </w:t>
            </w:r>
          </w:p>
          <w:p w:rsidR="000D3D6B" w:rsidRPr="000F1C17" w:rsidRDefault="000D3D6B" w:rsidP="008D250B">
            <w:pPr>
              <w:pStyle w:val="ListParagraph"/>
              <w:rPr>
                <w:rFonts w:ascii="Arial" w:hAnsi="Arial"/>
                <w:sz w:val="24"/>
              </w:rPr>
            </w:pPr>
          </w:p>
        </w:tc>
      </w:tr>
      <w:tr w:rsidR="000C59DE" w:rsidTr="00694F38">
        <w:tc>
          <w:tcPr>
            <w:tcW w:w="606" w:type="dxa"/>
          </w:tcPr>
          <w:p w:rsidR="000C59DE" w:rsidRDefault="00E3518D">
            <w:pPr>
              <w:rPr>
                <w:rFonts w:ascii="Arial" w:hAnsi="Arial"/>
                <w:sz w:val="24"/>
              </w:rPr>
            </w:pPr>
            <w:r>
              <w:rPr>
                <w:rFonts w:ascii="Arial" w:hAnsi="Arial"/>
                <w:sz w:val="24"/>
              </w:rPr>
              <w:t>2.3</w:t>
            </w:r>
          </w:p>
        </w:tc>
        <w:tc>
          <w:tcPr>
            <w:tcW w:w="7724" w:type="dxa"/>
          </w:tcPr>
          <w:p w:rsidR="000C59DE" w:rsidRDefault="00E3518D">
            <w:pPr>
              <w:rPr>
                <w:rFonts w:ascii="Arial" w:hAnsi="Arial"/>
                <w:sz w:val="24"/>
              </w:rPr>
            </w:pPr>
            <w:r>
              <w:rPr>
                <w:rFonts w:ascii="Arial" w:hAnsi="Arial"/>
                <w:sz w:val="24"/>
              </w:rPr>
              <w:t>Changes to assumptions about future Board decisions:</w:t>
            </w:r>
          </w:p>
          <w:p w:rsidR="00E3518D" w:rsidRDefault="00E3518D" w:rsidP="00E3518D">
            <w:pPr>
              <w:pStyle w:val="ListParagraph"/>
              <w:numPr>
                <w:ilvl w:val="0"/>
                <w:numId w:val="2"/>
              </w:numPr>
              <w:rPr>
                <w:rFonts w:ascii="Arial" w:hAnsi="Arial"/>
                <w:sz w:val="24"/>
              </w:rPr>
            </w:pPr>
            <w:r>
              <w:rPr>
                <w:rFonts w:ascii="Arial" w:hAnsi="Arial"/>
                <w:sz w:val="24"/>
              </w:rPr>
              <w:t xml:space="preserve">Given the reduction in rental income which </w:t>
            </w:r>
            <w:r w:rsidR="00855113">
              <w:rPr>
                <w:rFonts w:ascii="Arial" w:hAnsi="Arial"/>
                <w:sz w:val="24"/>
              </w:rPr>
              <w:t>a</w:t>
            </w:r>
            <w:r>
              <w:rPr>
                <w:rFonts w:ascii="Arial" w:hAnsi="Arial"/>
                <w:sz w:val="24"/>
              </w:rPr>
              <w:t>ffects the whole sector, the Board is unlikely to approve salary inflation of CP</w:t>
            </w:r>
            <w:r w:rsidR="000F1C17">
              <w:rPr>
                <w:rFonts w:ascii="Arial" w:hAnsi="Arial"/>
                <w:sz w:val="24"/>
              </w:rPr>
              <w:t>I</w:t>
            </w:r>
            <w:r>
              <w:rPr>
                <w:rFonts w:ascii="Arial" w:hAnsi="Arial"/>
                <w:sz w:val="24"/>
              </w:rPr>
              <w:t xml:space="preserve"> +1.7%. The assumption has been reduced to CPI +1%. </w:t>
            </w:r>
          </w:p>
          <w:p w:rsidR="00E3518D" w:rsidRDefault="00E3518D" w:rsidP="00E3518D">
            <w:pPr>
              <w:pStyle w:val="ListParagraph"/>
              <w:numPr>
                <w:ilvl w:val="0"/>
                <w:numId w:val="2"/>
              </w:numPr>
              <w:rPr>
                <w:rFonts w:ascii="Arial" w:hAnsi="Arial"/>
                <w:sz w:val="24"/>
              </w:rPr>
            </w:pPr>
            <w:r>
              <w:rPr>
                <w:rFonts w:ascii="Arial" w:hAnsi="Arial"/>
                <w:sz w:val="24"/>
              </w:rPr>
              <w:t xml:space="preserve">The cyclical painting programme to be reduced so that each rented home is painted every 7 years, rather than every 6 years, from 16/17 to 19/20. The Property Services Director advises that this would have some impact on the appearance of some properties, but </w:t>
            </w:r>
            <w:r w:rsidR="006B01DE">
              <w:rPr>
                <w:rFonts w:ascii="Arial" w:hAnsi="Arial"/>
                <w:sz w:val="24"/>
              </w:rPr>
              <w:t xml:space="preserve">limited </w:t>
            </w:r>
            <w:r>
              <w:rPr>
                <w:rFonts w:ascii="Arial" w:hAnsi="Arial"/>
                <w:sz w:val="24"/>
              </w:rPr>
              <w:t>material impact on the underlying condition.</w:t>
            </w:r>
          </w:p>
          <w:p w:rsidR="0071443D" w:rsidRDefault="0071443D" w:rsidP="00E3518D">
            <w:pPr>
              <w:rPr>
                <w:rFonts w:ascii="Arial" w:hAnsi="Arial"/>
                <w:sz w:val="24"/>
              </w:rPr>
            </w:pPr>
          </w:p>
          <w:p w:rsidR="0071443D" w:rsidRDefault="00E3518D" w:rsidP="00E3518D">
            <w:pPr>
              <w:rPr>
                <w:rFonts w:ascii="Arial" w:hAnsi="Arial"/>
                <w:sz w:val="24"/>
              </w:rPr>
            </w:pPr>
            <w:r>
              <w:rPr>
                <w:rFonts w:ascii="Arial" w:hAnsi="Arial"/>
                <w:sz w:val="24"/>
              </w:rPr>
              <w:t>Each of these decisions will need to be taken as part of each annual budget round, so may not be necessary if savings can be found elsewhere.</w:t>
            </w:r>
          </w:p>
          <w:p w:rsidR="00E3518D" w:rsidRDefault="00E3518D" w:rsidP="00E3518D">
            <w:pPr>
              <w:rPr>
                <w:rFonts w:ascii="Arial" w:hAnsi="Arial"/>
                <w:sz w:val="24"/>
              </w:rPr>
            </w:pPr>
            <w:r>
              <w:rPr>
                <w:rFonts w:ascii="Arial" w:hAnsi="Arial"/>
                <w:sz w:val="24"/>
              </w:rPr>
              <w:t xml:space="preserve"> </w:t>
            </w:r>
          </w:p>
        </w:tc>
      </w:tr>
      <w:tr w:rsidR="000C59DE" w:rsidTr="00694F38">
        <w:tc>
          <w:tcPr>
            <w:tcW w:w="606" w:type="dxa"/>
          </w:tcPr>
          <w:p w:rsidR="000C59DE" w:rsidRDefault="00E3518D">
            <w:pPr>
              <w:rPr>
                <w:rFonts w:ascii="Arial" w:hAnsi="Arial"/>
                <w:sz w:val="24"/>
              </w:rPr>
            </w:pPr>
            <w:r>
              <w:rPr>
                <w:rFonts w:ascii="Arial" w:hAnsi="Arial"/>
                <w:sz w:val="24"/>
              </w:rPr>
              <w:t>2.4</w:t>
            </w:r>
          </w:p>
        </w:tc>
        <w:tc>
          <w:tcPr>
            <w:tcW w:w="7724" w:type="dxa"/>
          </w:tcPr>
          <w:p w:rsidR="000C59DE" w:rsidRDefault="00E3518D" w:rsidP="008D250B">
            <w:pPr>
              <w:rPr>
                <w:rFonts w:ascii="Arial" w:hAnsi="Arial"/>
                <w:sz w:val="24"/>
              </w:rPr>
            </w:pPr>
            <w:r>
              <w:rPr>
                <w:rFonts w:ascii="Arial" w:hAnsi="Arial"/>
                <w:sz w:val="24"/>
              </w:rPr>
              <w:t xml:space="preserve">The outcome of these changes to the financial </w:t>
            </w:r>
            <w:r w:rsidR="009F1593">
              <w:rPr>
                <w:rFonts w:ascii="Arial" w:hAnsi="Arial"/>
                <w:sz w:val="24"/>
              </w:rPr>
              <w:t xml:space="preserve">forecast </w:t>
            </w:r>
            <w:r w:rsidR="000F1C17">
              <w:rPr>
                <w:rFonts w:ascii="Arial" w:hAnsi="Arial"/>
                <w:sz w:val="24"/>
              </w:rPr>
              <w:t>is</w:t>
            </w:r>
            <w:r w:rsidR="009F1593">
              <w:rPr>
                <w:rFonts w:ascii="Arial" w:hAnsi="Arial"/>
                <w:sz w:val="24"/>
              </w:rPr>
              <w:t xml:space="preserve"> set out in </w:t>
            </w:r>
            <w:r w:rsidR="009F1593" w:rsidRPr="0071443D">
              <w:rPr>
                <w:rFonts w:ascii="Arial" w:hAnsi="Arial"/>
                <w:b/>
                <w:sz w:val="24"/>
              </w:rPr>
              <w:t>Appendix A</w:t>
            </w:r>
            <w:r w:rsidR="009C60EF">
              <w:rPr>
                <w:rFonts w:ascii="Arial" w:hAnsi="Arial"/>
                <w:sz w:val="24"/>
              </w:rPr>
              <w:t xml:space="preserve">. The table below shows how they meet the </w:t>
            </w:r>
            <w:r w:rsidR="009F1593">
              <w:rPr>
                <w:rFonts w:ascii="Arial" w:hAnsi="Arial"/>
                <w:sz w:val="24"/>
              </w:rPr>
              <w:t xml:space="preserve">Board’s stated financial risk appetite. </w:t>
            </w:r>
            <w:r w:rsidR="006B01DE">
              <w:rPr>
                <w:rFonts w:ascii="Arial" w:hAnsi="Arial"/>
                <w:sz w:val="24"/>
              </w:rPr>
              <w:t xml:space="preserve"> </w:t>
            </w:r>
          </w:p>
          <w:p w:rsidR="009C60EF" w:rsidRDefault="009C60EF" w:rsidP="008D250B">
            <w:pPr>
              <w:rPr>
                <w:rFonts w:ascii="Arial" w:hAnsi="Arial"/>
                <w:sz w:val="24"/>
              </w:rPr>
            </w:pPr>
          </w:p>
          <w:tbl>
            <w:tblPr>
              <w:tblStyle w:val="TableGrid"/>
              <w:tblW w:w="0" w:type="auto"/>
              <w:tblLayout w:type="fixed"/>
              <w:tblLook w:val="04A0" w:firstRow="1" w:lastRow="0" w:firstColumn="1" w:lastColumn="0" w:noHBand="0" w:noVBand="1"/>
            </w:tblPr>
            <w:tblGrid>
              <w:gridCol w:w="2083"/>
              <w:gridCol w:w="2551"/>
              <w:gridCol w:w="2552"/>
            </w:tblGrid>
            <w:tr w:rsidR="001E4073" w:rsidTr="008D250B">
              <w:tc>
                <w:tcPr>
                  <w:tcW w:w="2083" w:type="dxa"/>
                </w:tcPr>
                <w:p w:rsidR="001E4073" w:rsidRPr="0071443D" w:rsidRDefault="001E4073" w:rsidP="009C60EF">
                  <w:pPr>
                    <w:rPr>
                      <w:rFonts w:ascii="Arial" w:hAnsi="Arial"/>
                      <w:b/>
                      <w:sz w:val="22"/>
                      <w:szCs w:val="22"/>
                    </w:rPr>
                  </w:pPr>
                  <w:r w:rsidRPr="0071443D">
                    <w:rPr>
                      <w:rFonts w:ascii="Arial" w:hAnsi="Arial"/>
                      <w:b/>
                      <w:sz w:val="22"/>
                      <w:szCs w:val="22"/>
                    </w:rPr>
                    <w:t>Financial Risk</w:t>
                  </w:r>
                </w:p>
              </w:tc>
              <w:tc>
                <w:tcPr>
                  <w:tcW w:w="2551" w:type="dxa"/>
                </w:tcPr>
                <w:p w:rsidR="001E4073" w:rsidRPr="0071443D" w:rsidRDefault="001E4073" w:rsidP="009C60EF">
                  <w:pPr>
                    <w:rPr>
                      <w:rFonts w:ascii="Arial" w:hAnsi="Arial"/>
                      <w:b/>
                      <w:sz w:val="22"/>
                      <w:szCs w:val="22"/>
                    </w:rPr>
                  </w:pPr>
                  <w:r w:rsidRPr="0071443D">
                    <w:rPr>
                      <w:rFonts w:ascii="Arial" w:hAnsi="Arial"/>
                      <w:b/>
                      <w:sz w:val="22"/>
                      <w:szCs w:val="22"/>
                    </w:rPr>
                    <w:t>Board’s risk appetite</w:t>
                  </w:r>
                </w:p>
              </w:tc>
              <w:tc>
                <w:tcPr>
                  <w:tcW w:w="2552" w:type="dxa"/>
                </w:tcPr>
                <w:p w:rsidR="001E4073" w:rsidRPr="0071443D" w:rsidRDefault="001E4073" w:rsidP="009C60EF">
                  <w:pPr>
                    <w:rPr>
                      <w:rFonts w:ascii="Arial" w:hAnsi="Arial"/>
                      <w:b/>
                      <w:sz w:val="22"/>
                      <w:szCs w:val="22"/>
                    </w:rPr>
                  </w:pPr>
                  <w:r w:rsidRPr="0071443D">
                    <w:rPr>
                      <w:rFonts w:ascii="Arial" w:hAnsi="Arial"/>
                      <w:b/>
                      <w:sz w:val="22"/>
                      <w:szCs w:val="22"/>
                    </w:rPr>
                    <w:t>Sept 15 plan</w:t>
                  </w:r>
                </w:p>
              </w:tc>
            </w:tr>
            <w:tr w:rsidR="001E4073" w:rsidTr="008D250B">
              <w:tc>
                <w:tcPr>
                  <w:tcW w:w="2083" w:type="dxa"/>
                </w:tcPr>
                <w:p w:rsidR="001E4073" w:rsidRDefault="001E4073" w:rsidP="009C60EF">
                  <w:pPr>
                    <w:rPr>
                      <w:rFonts w:ascii="Arial" w:hAnsi="Arial"/>
                      <w:sz w:val="24"/>
                    </w:rPr>
                  </w:pPr>
                  <w:r>
                    <w:rPr>
                      <w:rFonts w:ascii="Arial" w:hAnsi="Arial"/>
                      <w:sz w:val="24"/>
                    </w:rPr>
                    <w:t>Running out of cash</w:t>
                  </w:r>
                </w:p>
              </w:tc>
              <w:tc>
                <w:tcPr>
                  <w:tcW w:w="2551" w:type="dxa"/>
                </w:tcPr>
                <w:p w:rsidR="001E4073" w:rsidRDefault="001E4073" w:rsidP="009C60EF">
                  <w:pPr>
                    <w:rPr>
                      <w:rFonts w:ascii="Arial" w:hAnsi="Arial"/>
                      <w:sz w:val="24"/>
                    </w:rPr>
                  </w:pPr>
                  <w:r>
                    <w:rPr>
                      <w:rFonts w:ascii="Arial" w:hAnsi="Arial"/>
                      <w:sz w:val="24"/>
                    </w:rPr>
                    <w:t>New facilities to be in place 18 months ahead of need</w:t>
                  </w:r>
                </w:p>
              </w:tc>
              <w:tc>
                <w:tcPr>
                  <w:tcW w:w="2552" w:type="dxa"/>
                </w:tcPr>
                <w:p w:rsidR="001E4073" w:rsidRDefault="001E4073" w:rsidP="009C60EF">
                  <w:pPr>
                    <w:rPr>
                      <w:rFonts w:ascii="Arial" w:hAnsi="Arial"/>
                      <w:sz w:val="24"/>
                    </w:rPr>
                  </w:pPr>
                  <w:r>
                    <w:rPr>
                      <w:rFonts w:ascii="Arial" w:hAnsi="Arial"/>
                      <w:sz w:val="24"/>
                    </w:rPr>
                    <w:t>The plan is fully funded once the planned AHF EIB loan is secured *.</w:t>
                  </w:r>
                </w:p>
              </w:tc>
            </w:tr>
            <w:tr w:rsidR="001E4073" w:rsidTr="008D250B">
              <w:tc>
                <w:tcPr>
                  <w:tcW w:w="2083" w:type="dxa"/>
                </w:tcPr>
                <w:p w:rsidR="001E4073" w:rsidRDefault="001E4073" w:rsidP="009C60EF">
                  <w:pPr>
                    <w:rPr>
                      <w:rFonts w:ascii="Arial" w:hAnsi="Arial"/>
                      <w:sz w:val="24"/>
                    </w:rPr>
                  </w:pPr>
                  <w:r>
                    <w:rPr>
                      <w:rFonts w:ascii="Arial" w:hAnsi="Arial"/>
                      <w:sz w:val="24"/>
                    </w:rPr>
                    <w:t>Breaking an interest cover covenant</w:t>
                  </w:r>
                </w:p>
              </w:tc>
              <w:tc>
                <w:tcPr>
                  <w:tcW w:w="2551" w:type="dxa"/>
                </w:tcPr>
                <w:p w:rsidR="001E4073" w:rsidRDefault="001E4073" w:rsidP="009C60EF">
                  <w:pPr>
                    <w:rPr>
                      <w:rFonts w:ascii="Arial" w:hAnsi="Arial"/>
                      <w:sz w:val="24"/>
                    </w:rPr>
                  </w:pPr>
                  <w:r>
                    <w:rPr>
                      <w:rFonts w:ascii="Arial" w:hAnsi="Arial"/>
                      <w:sz w:val="24"/>
                    </w:rPr>
                    <w:t>EBITDAMRI should not fall below 110% in any year of the financial forecast</w:t>
                  </w:r>
                </w:p>
              </w:tc>
              <w:tc>
                <w:tcPr>
                  <w:tcW w:w="2552" w:type="dxa"/>
                </w:tcPr>
                <w:p w:rsidR="001E4073" w:rsidRDefault="001E4073" w:rsidP="009C60EF">
                  <w:pPr>
                    <w:rPr>
                      <w:rFonts w:ascii="Arial" w:hAnsi="Arial"/>
                      <w:sz w:val="24"/>
                    </w:rPr>
                  </w:pPr>
                  <w:r>
                    <w:rPr>
                      <w:rFonts w:ascii="Arial" w:hAnsi="Arial"/>
                      <w:sz w:val="24"/>
                    </w:rPr>
                    <w:t>Minimum EBITDAMRI of 126% forecast in 20/21</w:t>
                  </w:r>
                </w:p>
              </w:tc>
            </w:tr>
            <w:tr w:rsidR="001E4073" w:rsidTr="008D250B">
              <w:tc>
                <w:tcPr>
                  <w:tcW w:w="2083" w:type="dxa"/>
                </w:tcPr>
                <w:p w:rsidR="001E4073" w:rsidRDefault="001E4073" w:rsidP="009C60EF">
                  <w:pPr>
                    <w:rPr>
                      <w:rFonts w:ascii="Arial" w:hAnsi="Arial"/>
                      <w:sz w:val="24"/>
                    </w:rPr>
                  </w:pPr>
                  <w:r>
                    <w:rPr>
                      <w:rFonts w:ascii="Arial" w:hAnsi="Arial"/>
                      <w:sz w:val="24"/>
                    </w:rPr>
                    <w:t>Breaking a gearing covenant</w:t>
                  </w:r>
                </w:p>
              </w:tc>
              <w:tc>
                <w:tcPr>
                  <w:tcW w:w="2551" w:type="dxa"/>
                </w:tcPr>
                <w:p w:rsidR="001E4073" w:rsidRDefault="001E4073" w:rsidP="008D250B">
                  <w:pPr>
                    <w:rPr>
                      <w:rFonts w:ascii="Arial" w:hAnsi="Arial"/>
                      <w:sz w:val="24"/>
                    </w:rPr>
                  </w:pPr>
                  <w:r>
                    <w:rPr>
                      <w:rFonts w:ascii="Arial" w:hAnsi="Arial"/>
                      <w:sz w:val="24"/>
                    </w:rPr>
                    <w:t>Gearing ratio should not rise above 56.7% in any one year of the financial forecast</w:t>
                  </w:r>
                </w:p>
              </w:tc>
              <w:tc>
                <w:tcPr>
                  <w:tcW w:w="2552" w:type="dxa"/>
                </w:tcPr>
                <w:p w:rsidR="001E4073" w:rsidRDefault="001E4073" w:rsidP="009C60EF">
                  <w:pPr>
                    <w:rPr>
                      <w:rFonts w:ascii="Arial" w:hAnsi="Arial"/>
                      <w:sz w:val="24"/>
                    </w:rPr>
                  </w:pPr>
                  <w:r>
                    <w:rPr>
                      <w:rFonts w:ascii="Arial" w:hAnsi="Arial"/>
                      <w:sz w:val="24"/>
                    </w:rPr>
                    <w:t>Maximum HBOS gearing ratio of 55.4% forecast for Mar 2017</w:t>
                  </w:r>
                </w:p>
                <w:p w:rsidR="001E4073" w:rsidRDefault="001E4073" w:rsidP="009C60EF">
                  <w:pPr>
                    <w:rPr>
                      <w:rFonts w:ascii="Arial" w:hAnsi="Arial"/>
                      <w:sz w:val="24"/>
                    </w:rPr>
                  </w:pPr>
                </w:p>
              </w:tc>
            </w:tr>
          </w:tbl>
          <w:p w:rsidR="002C4A20" w:rsidRPr="008D250B" w:rsidRDefault="002C4A20" w:rsidP="008D250B">
            <w:pPr>
              <w:pStyle w:val="ListParagraph"/>
              <w:ind w:left="0"/>
              <w:rPr>
                <w:rFonts w:ascii="Arial" w:hAnsi="Arial"/>
              </w:rPr>
            </w:pPr>
            <w:r w:rsidRPr="008D250B">
              <w:rPr>
                <w:rFonts w:ascii="Arial" w:hAnsi="Arial"/>
              </w:rPr>
              <w:t>*This loan will come to the November Board for approval</w:t>
            </w:r>
          </w:p>
          <w:p w:rsidR="0071443D" w:rsidRDefault="0071443D" w:rsidP="008D250B">
            <w:pPr>
              <w:rPr>
                <w:rFonts w:ascii="Arial" w:hAnsi="Arial"/>
                <w:sz w:val="24"/>
              </w:rPr>
            </w:pPr>
          </w:p>
          <w:p w:rsidR="009C60EF" w:rsidRDefault="002C4A20" w:rsidP="008D250B">
            <w:pPr>
              <w:rPr>
                <w:rFonts w:ascii="Arial" w:hAnsi="Arial"/>
                <w:sz w:val="24"/>
              </w:rPr>
            </w:pPr>
            <w:r>
              <w:rPr>
                <w:rFonts w:ascii="Arial" w:hAnsi="Arial"/>
                <w:sz w:val="24"/>
              </w:rPr>
              <w:t>Other aspects of the risk appetite (such as capital at risk and meeting the budgeted surplus) are monitored outside the financial forecast.</w:t>
            </w:r>
          </w:p>
        </w:tc>
      </w:tr>
      <w:tr w:rsidR="000C59DE" w:rsidTr="00694F38">
        <w:tc>
          <w:tcPr>
            <w:tcW w:w="606" w:type="dxa"/>
          </w:tcPr>
          <w:p w:rsidR="000C59DE" w:rsidRDefault="009F1593">
            <w:pPr>
              <w:rPr>
                <w:rFonts w:ascii="Arial" w:hAnsi="Arial"/>
                <w:sz w:val="24"/>
              </w:rPr>
            </w:pPr>
            <w:r>
              <w:rPr>
                <w:rFonts w:ascii="Arial" w:hAnsi="Arial"/>
                <w:sz w:val="24"/>
              </w:rPr>
              <w:lastRenderedPageBreak/>
              <w:t>2.5</w:t>
            </w:r>
          </w:p>
        </w:tc>
        <w:tc>
          <w:tcPr>
            <w:tcW w:w="7724" w:type="dxa"/>
          </w:tcPr>
          <w:p w:rsidR="000C59DE" w:rsidRPr="008D250B" w:rsidRDefault="009F1593">
            <w:pPr>
              <w:rPr>
                <w:rFonts w:ascii="Arial" w:hAnsi="Arial"/>
                <w:sz w:val="24"/>
              </w:rPr>
            </w:pPr>
            <w:r w:rsidRPr="008D250B">
              <w:rPr>
                <w:rFonts w:ascii="Arial" w:hAnsi="Arial"/>
                <w:sz w:val="24"/>
              </w:rPr>
              <w:t>What has not been changed:</w:t>
            </w:r>
          </w:p>
          <w:p w:rsidR="009270D2" w:rsidRDefault="00B55714">
            <w:pPr>
              <w:rPr>
                <w:rFonts w:ascii="Arial" w:hAnsi="Arial"/>
                <w:sz w:val="24"/>
              </w:rPr>
            </w:pPr>
            <w:r>
              <w:rPr>
                <w:rFonts w:ascii="Arial" w:hAnsi="Arial"/>
                <w:sz w:val="24"/>
              </w:rPr>
              <w:t xml:space="preserve">Either the </w:t>
            </w:r>
            <w:r w:rsidR="009F1593">
              <w:rPr>
                <w:rFonts w:ascii="Arial" w:hAnsi="Arial"/>
                <w:sz w:val="24"/>
              </w:rPr>
              <w:t xml:space="preserve">15/18 </w:t>
            </w:r>
            <w:r>
              <w:rPr>
                <w:rFonts w:ascii="Arial" w:hAnsi="Arial"/>
                <w:sz w:val="24"/>
              </w:rPr>
              <w:t xml:space="preserve">or the Building the Pipeline </w:t>
            </w:r>
            <w:r w:rsidR="009F1593">
              <w:rPr>
                <w:rFonts w:ascii="Arial" w:hAnsi="Arial"/>
                <w:sz w:val="24"/>
              </w:rPr>
              <w:t>development programme</w:t>
            </w:r>
            <w:r>
              <w:rPr>
                <w:rFonts w:ascii="Arial" w:hAnsi="Arial"/>
                <w:sz w:val="24"/>
              </w:rPr>
              <w:t>s</w:t>
            </w:r>
            <w:r w:rsidR="009F1593">
              <w:rPr>
                <w:rFonts w:ascii="Arial" w:hAnsi="Arial"/>
                <w:sz w:val="24"/>
              </w:rPr>
              <w:t>, as</w:t>
            </w:r>
            <w:r>
              <w:rPr>
                <w:rFonts w:ascii="Arial" w:hAnsi="Arial"/>
                <w:sz w:val="24"/>
              </w:rPr>
              <w:t xml:space="preserve"> the</w:t>
            </w:r>
            <w:r w:rsidR="009F1593">
              <w:rPr>
                <w:rFonts w:ascii="Arial" w:hAnsi="Arial"/>
                <w:sz w:val="24"/>
              </w:rPr>
              <w:t xml:space="preserve"> financial forecast shows that we can still afford to do th</w:t>
            </w:r>
            <w:r>
              <w:rPr>
                <w:rFonts w:ascii="Arial" w:hAnsi="Arial"/>
                <w:sz w:val="24"/>
              </w:rPr>
              <w:t>ese</w:t>
            </w:r>
            <w:r w:rsidR="009F1593">
              <w:rPr>
                <w:rFonts w:ascii="Arial" w:hAnsi="Arial"/>
                <w:sz w:val="24"/>
              </w:rPr>
              <w:t>.</w:t>
            </w:r>
          </w:p>
          <w:p w:rsidR="009270D2" w:rsidRDefault="009270D2">
            <w:pPr>
              <w:rPr>
                <w:rFonts w:ascii="Arial" w:hAnsi="Arial"/>
                <w:sz w:val="24"/>
              </w:rPr>
            </w:pPr>
          </w:p>
          <w:p w:rsidR="009270D2" w:rsidRDefault="009F1593">
            <w:pPr>
              <w:rPr>
                <w:rFonts w:ascii="Arial" w:hAnsi="Arial"/>
                <w:sz w:val="24"/>
              </w:rPr>
            </w:pPr>
            <w:r>
              <w:rPr>
                <w:rFonts w:ascii="Arial" w:hAnsi="Arial"/>
                <w:sz w:val="24"/>
              </w:rPr>
              <w:t xml:space="preserve"> </w:t>
            </w:r>
            <w:r w:rsidR="009270D2">
              <w:rPr>
                <w:rFonts w:ascii="Arial" w:hAnsi="Arial"/>
                <w:sz w:val="24"/>
              </w:rPr>
              <w:t>It should be noted that the remaining “uncommitted” development programme (circa 110 homes over 3 years) is relatively small when compared to our overall housing stock of 4,100 homes, so the impact on overall “lost” income is</w:t>
            </w:r>
            <w:r w:rsidR="007137C8">
              <w:rPr>
                <w:rFonts w:ascii="Arial" w:hAnsi="Arial"/>
                <w:sz w:val="24"/>
              </w:rPr>
              <w:t xml:space="preserve"> also relative. </w:t>
            </w:r>
            <w:r w:rsidR="009270D2">
              <w:rPr>
                <w:rFonts w:ascii="Arial" w:hAnsi="Arial"/>
                <w:sz w:val="24"/>
              </w:rPr>
              <w:t xml:space="preserve">This is particularly true for the </w:t>
            </w:r>
            <w:r w:rsidR="007137C8">
              <w:rPr>
                <w:rFonts w:ascii="Arial" w:hAnsi="Arial"/>
                <w:sz w:val="24"/>
              </w:rPr>
              <w:t xml:space="preserve">15-18 </w:t>
            </w:r>
            <w:r w:rsidR="009270D2">
              <w:rPr>
                <w:rFonts w:ascii="Arial" w:hAnsi="Arial"/>
                <w:sz w:val="24"/>
              </w:rPr>
              <w:t>homes that have yet to be built</w:t>
            </w:r>
            <w:r w:rsidR="007137C8">
              <w:rPr>
                <w:rFonts w:ascii="Arial" w:hAnsi="Arial"/>
                <w:sz w:val="24"/>
              </w:rPr>
              <w:t xml:space="preserve"> and may be subject to fewer than four annual rent decreases. </w:t>
            </w:r>
            <w:r w:rsidR="009270D2">
              <w:rPr>
                <w:rFonts w:ascii="Arial" w:hAnsi="Arial"/>
                <w:sz w:val="24"/>
              </w:rPr>
              <w:t xml:space="preserve"> </w:t>
            </w:r>
          </w:p>
          <w:p w:rsidR="009F1593" w:rsidRDefault="009270D2">
            <w:pPr>
              <w:rPr>
                <w:rFonts w:ascii="Arial" w:hAnsi="Arial"/>
                <w:sz w:val="24"/>
              </w:rPr>
            </w:pPr>
            <w:r>
              <w:rPr>
                <w:rFonts w:ascii="Arial" w:hAnsi="Arial"/>
                <w:sz w:val="24"/>
              </w:rPr>
              <w:t xml:space="preserve">  </w:t>
            </w:r>
          </w:p>
          <w:p w:rsidR="00056908" w:rsidRDefault="00B55714">
            <w:pPr>
              <w:rPr>
                <w:rFonts w:ascii="Arial" w:hAnsi="Arial"/>
                <w:sz w:val="24"/>
              </w:rPr>
            </w:pPr>
            <w:r>
              <w:rPr>
                <w:rFonts w:ascii="Arial" w:hAnsi="Arial"/>
                <w:sz w:val="24"/>
              </w:rPr>
              <w:t>The assumption</w:t>
            </w:r>
            <w:r w:rsidR="00056908">
              <w:rPr>
                <w:rFonts w:ascii="Arial" w:hAnsi="Arial"/>
                <w:sz w:val="24"/>
              </w:rPr>
              <w:t xml:space="preserve"> that we will borrow a further £17m from AHF, funded by the EIB, as this is linked to the 15/18 development programme</w:t>
            </w:r>
          </w:p>
          <w:p w:rsidR="007137C8" w:rsidRDefault="007137C8">
            <w:pPr>
              <w:rPr>
                <w:rFonts w:ascii="Arial" w:hAnsi="Arial"/>
                <w:sz w:val="24"/>
              </w:rPr>
            </w:pPr>
          </w:p>
          <w:p w:rsidR="009F1593" w:rsidRDefault="009F1593">
            <w:pPr>
              <w:rPr>
                <w:rFonts w:ascii="Arial" w:hAnsi="Arial"/>
                <w:sz w:val="24"/>
              </w:rPr>
            </w:pPr>
            <w:r>
              <w:rPr>
                <w:rFonts w:ascii="Arial" w:hAnsi="Arial"/>
                <w:sz w:val="24"/>
              </w:rPr>
              <w:t>Right to buy</w:t>
            </w:r>
            <w:r w:rsidR="00B55714">
              <w:rPr>
                <w:rFonts w:ascii="Arial" w:hAnsi="Arial"/>
                <w:sz w:val="24"/>
              </w:rPr>
              <w:t xml:space="preserve"> has not been modelled as there is insufficient detail in the public realm to model the impact. Ditto for pay to stay.</w:t>
            </w:r>
            <w:r w:rsidR="009270D2">
              <w:rPr>
                <w:rFonts w:ascii="Arial" w:hAnsi="Arial"/>
                <w:sz w:val="24"/>
              </w:rPr>
              <w:t xml:space="preserve"> Our broad understanding from the information received so far is that all additional income, whether from Pay to Stay or from Right to Buy, will either be directed into new supply or repaid to the HCA or GLA. </w:t>
            </w:r>
          </w:p>
          <w:p w:rsidR="00855113" w:rsidRDefault="00855113">
            <w:pPr>
              <w:rPr>
                <w:rFonts w:ascii="Arial" w:hAnsi="Arial"/>
                <w:sz w:val="24"/>
              </w:rPr>
            </w:pPr>
          </w:p>
          <w:p w:rsidR="00855113" w:rsidRDefault="00855113">
            <w:pPr>
              <w:rPr>
                <w:rFonts w:ascii="Arial" w:hAnsi="Arial"/>
                <w:sz w:val="24"/>
              </w:rPr>
            </w:pPr>
            <w:r>
              <w:rPr>
                <w:rFonts w:ascii="Arial" w:hAnsi="Arial"/>
                <w:sz w:val="24"/>
              </w:rPr>
              <w:t>The current assumptions on rent arrears and bad debts have been retained, as we do not know how further cuts to housing benefit and working tax credits will affect our income. The current assumptions are that:</w:t>
            </w:r>
          </w:p>
          <w:p w:rsidR="00855113" w:rsidRDefault="00855113" w:rsidP="008D250B">
            <w:pPr>
              <w:pStyle w:val="ListParagraph"/>
              <w:numPr>
                <w:ilvl w:val="0"/>
                <w:numId w:val="6"/>
              </w:numPr>
              <w:rPr>
                <w:rFonts w:ascii="Arial" w:hAnsi="Arial"/>
                <w:sz w:val="24"/>
              </w:rPr>
            </w:pPr>
            <w:r>
              <w:rPr>
                <w:rFonts w:ascii="Arial" w:hAnsi="Arial"/>
                <w:sz w:val="24"/>
              </w:rPr>
              <w:t>Rent arrears will double by March 2020</w:t>
            </w:r>
          </w:p>
          <w:p w:rsidR="00855113" w:rsidRPr="008D250B" w:rsidRDefault="00855113" w:rsidP="008D250B">
            <w:pPr>
              <w:pStyle w:val="ListParagraph"/>
              <w:numPr>
                <w:ilvl w:val="0"/>
                <w:numId w:val="6"/>
              </w:numPr>
              <w:rPr>
                <w:rFonts w:ascii="Arial" w:hAnsi="Arial"/>
                <w:sz w:val="24"/>
              </w:rPr>
            </w:pPr>
            <w:r>
              <w:rPr>
                <w:rFonts w:ascii="Arial" w:hAnsi="Arial"/>
                <w:sz w:val="24"/>
              </w:rPr>
              <w:t>Bad debt losses will increase from 1.32% to 3% for all general needs and supported housing tenancies</w:t>
            </w:r>
          </w:p>
          <w:p w:rsidR="009F1593" w:rsidRDefault="009F1593">
            <w:pPr>
              <w:rPr>
                <w:rFonts w:ascii="Arial" w:hAnsi="Arial"/>
                <w:sz w:val="24"/>
              </w:rPr>
            </w:pPr>
          </w:p>
        </w:tc>
      </w:tr>
      <w:tr w:rsidR="000C59DE" w:rsidTr="00694F38">
        <w:tc>
          <w:tcPr>
            <w:tcW w:w="606" w:type="dxa"/>
          </w:tcPr>
          <w:p w:rsidR="000C59DE" w:rsidRPr="000E160F" w:rsidRDefault="000E160F">
            <w:pPr>
              <w:rPr>
                <w:rFonts w:ascii="Arial" w:hAnsi="Arial"/>
                <w:b/>
                <w:i/>
                <w:sz w:val="28"/>
              </w:rPr>
            </w:pPr>
            <w:r w:rsidRPr="000E160F">
              <w:rPr>
                <w:rFonts w:ascii="Arial" w:hAnsi="Arial"/>
                <w:b/>
                <w:i/>
                <w:sz w:val="28"/>
              </w:rPr>
              <w:t>3.0</w:t>
            </w:r>
          </w:p>
        </w:tc>
        <w:tc>
          <w:tcPr>
            <w:tcW w:w="7724" w:type="dxa"/>
          </w:tcPr>
          <w:p w:rsidR="000C59DE" w:rsidRDefault="000E160F">
            <w:pPr>
              <w:rPr>
                <w:rFonts w:ascii="Arial" w:hAnsi="Arial"/>
                <w:b/>
                <w:i/>
                <w:sz w:val="28"/>
              </w:rPr>
            </w:pPr>
            <w:r w:rsidRPr="000E160F">
              <w:rPr>
                <w:rFonts w:ascii="Arial" w:hAnsi="Arial"/>
                <w:b/>
                <w:i/>
                <w:sz w:val="28"/>
              </w:rPr>
              <w:t>Stress testing the plan</w:t>
            </w:r>
          </w:p>
          <w:p w:rsidR="0071443D" w:rsidRPr="000E160F" w:rsidRDefault="0071443D">
            <w:pPr>
              <w:rPr>
                <w:rFonts w:ascii="Arial" w:hAnsi="Arial"/>
                <w:b/>
                <w:i/>
                <w:sz w:val="28"/>
              </w:rPr>
            </w:pPr>
          </w:p>
        </w:tc>
      </w:tr>
      <w:tr w:rsidR="000C59DE" w:rsidTr="00694F38">
        <w:tc>
          <w:tcPr>
            <w:tcW w:w="606" w:type="dxa"/>
          </w:tcPr>
          <w:p w:rsidR="000C59DE" w:rsidRDefault="000E160F">
            <w:pPr>
              <w:rPr>
                <w:rFonts w:ascii="Arial" w:hAnsi="Arial"/>
                <w:sz w:val="24"/>
              </w:rPr>
            </w:pPr>
            <w:r>
              <w:rPr>
                <w:rFonts w:ascii="Arial" w:hAnsi="Arial"/>
                <w:sz w:val="24"/>
              </w:rPr>
              <w:t>3.1</w:t>
            </w:r>
          </w:p>
        </w:tc>
        <w:tc>
          <w:tcPr>
            <w:tcW w:w="7724" w:type="dxa"/>
          </w:tcPr>
          <w:p w:rsidR="000C59DE" w:rsidRDefault="000E15B3">
            <w:pPr>
              <w:rPr>
                <w:rFonts w:ascii="Arial" w:hAnsi="Arial"/>
                <w:sz w:val="24"/>
              </w:rPr>
            </w:pPr>
            <w:r w:rsidRPr="000E15B3">
              <w:rPr>
                <w:rFonts w:ascii="Arial" w:hAnsi="Arial"/>
                <w:sz w:val="24"/>
              </w:rPr>
              <w:t>From 15/16 onwards, the Regulator expects registered providers (RPs) to “carry out detailed and robust stress testing against identified risks across a range of scenarios and putting appropriate mitigation strategies in place”. Further guidance in the Code of Practice indicates that RPs should explore those conditions which could lead to failure of the business, even if planned mitigations and controls are successfully implemented.  Stress testing should employ scenarios that are designed to assess resilience</w:t>
            </w:r>
          </w:p>
          <w:p w:rsidR="0071443D" w:rsidRDefault="0071443D">
            <w:pPr>
              <w:rPr>
                <w:rFonts w:ascii="Arial" w:hAnsi="Arial"/>
                <w:sz w:val="24"/>
              </w:rPr>
            </w:pPr>
          </w:p>
        </w:tc>
      </w:tr>
      <w:tr w:rsidR="000C59DE" w:rsidTr="00694F38">
        <w:tc>
          <w:tcPr>
            <w:tcW w:w="606" w:type="dxa"/>
          </w:tcPr>
          <w:p w:rsidR="000C59DE" w:rsidRDefault="000E15B3">
            <w:pPr>
              <w:rPr>
                <w:rFonts w:ascii="Arial" w:hAnsi="Arial"/>
                <w:sz w:val="24"/>
              </w:rPr>
            </w:pPr>
            <w:r>
              <w:rPr>
                <w:rFonts w:ascii="Arial" w:hAnsi="Arial"/>
                <w:sz w:val="24"/>
              </w:rPr>
              <w:t>3.2</w:t>
            </w:r>
          </w:p>
        </w:tc>
        <w:tc>
          <w:tcPr>
            <w:tcW w:w="7724" w:type="dxa"/>
          </w:tcPr>
          <w:p w:rsidR="000E15B3" w:rsidRPr="009454F1" w:rsidRDefault="000E15B3" w:rsidP="000E15B3">
            <w:pPr>
              <w:rPr>
                <w:rFonts w:ascii="Arial" w:hAnsi="Arial"/>
                <w:b/>
                <w:sz w:val="24"/>
              </w:rPr>
            </w:pPr>
            <w:r w:rsidRPr="009454F1">
              <w:rPr>
                <w:rFonts w:ascii="Arial" w:hAnsi="Arial"/>
                <w:b/>
                <w:sz w:val="24"/>
              </w:rPr>
              <w:t xml:space="preserve">If one only thing goes wrong, what breaks the plan, and when? </w:t>
            </w:r>
          </w:p>
          <w:p w:rsidR="000E15B3" w:rsidRPr="000E15B3" w:rsidRDefault="000E15B3" w:rsidP="000E15B3">
            <w:pPr>
              <w:rPr>
                <w:rFonts w:ascii="Arial" w:hAnsi="Arial"/>
                <w:sz w:val="24"/>
              </w:rPr>
            </w:pPr>
          </w:p>
          <w:p w:rsidR="000C59DE" w:rsidRDefault="000E15B3" w:rsidP="000E15B3">
            <w:pPr>
              <w:rPr>
                <w:rFonts w:ascii="Arial" w:hAnsi="Arial"/>
                <w:sz w:val="24"/>
              </w:rPr>
            </w:pPr>
            <w:r w:rsidRPr="000E15B3">
              <w:rPr>
                <w:rFonts w:ascii="Arial" w:hAnsi="Arial"/>
                <w:sz w:val="24"/>
              </w:rPr>
              <w:t>The first step is to change a single variable (without any mitigating actions), until the plan breaches a covenant. The stress test is timed to start from April 2016, as this is the point when all of the 15/18 programme has been committed (other than 2 small shared ownership schemes). The results are summarised below</w:t>
            </w:r>
            <w:r>
              <w:rPr>
                <w:rFonts w:ascii="Arial" w:hAnsi="Arial"/>
                <w:sz w:val="24"/>
              </w:rPr>
              <w:t>:</w:t>
            </w:r>
          </w:p>
          <w:p w:rsidR="000E15B3" w:rsidRDefault="000E15B3" w:rsidP="000E15B3">
            <w:pPr>
              <w:rPr>
                <w:rFonts w:ascii="Arial" w:hAnsi="Arial"/>
                <w:sz w:val="24"/>
              </w:rPr>
            </w:pPr>
          </w:p>
          <w:p w:rsidR="0071443D" w:rsidRDefault="0071443D" w:rsidP="000E15B3">
            <w:pPr>
              <w:rPr>
                <w:rFonts w:ascii="Arial" w:hAnsi="Arial"/>
                <w:sz w:val="24"/>
              </w:rPr>
            </w:pPr>
          </w:p>
          <w:tbl>
            <w:tblPr>
              <w:tblStyle w:val="TableGrid"/>
              <w:tblW w:w="7653" w:type="dxa"/>
              <w:tblLayout w:type="fixed"/>
              <w:tblLook w:val="01E0" w:firstRow="1" w:lastRow="1" w:firstColumn="1" w:lastColumn="1" w:noHBand="0" w:noVBand="0"/>
            </w:tblPr>
            <w:tblGrid>
              <w:gridCol w:w="2551"/>
              <w:gridCol w:w="2551"/>
              <w:gridCol w:w="2551"/>
            </w:tblGrid>
            <w:tr w:rsidR="000E15B3" w:rsidRPr="00D962A4" w:rsidTr="00694F38">
              <w:tc>
                <w:tcPr>
                  <w:tcW w:w="2551" w:type="dxa"/>
                </w:tcPr>
                <w:p w:rsidR="000E15B3" w:rsidRPr="0071443D" w:rsidRDefault="000E15B3" w:rsidP="006D55C7">
                  <w:pPr>
                    <w:rPr>
                      <w:rFonts w:ascii="Arial" w:hAnsi="Arial"/>
                      <w:b/>
                      <w:sz w:val="24"/>
                    </w:rPr>
                  </w:pPr>
                  <w:r w:rsidRPr="0071443D">
                    <w:rPr>
                      <w:rFonts w:ascii="Arial" w:hAnsi="Arial"/>
                      <w:b/>
                      <w:sz w:val="24"/>
                    </w:rPr>
                    <w:t xml:space="preserve">What </w:t>
                  </w:r>
                </w:p>
              </w:tc>
              <w:tc>
                <w:tcPr>
                  <w:tcW w:w="2551" w:type="dxa"/>
                </w:tcPr>
                <w:p w:rsidR="000E15B3" w:rsidRPr="0071443D" w:rsidRDefault="000E15B3" w:rsidP="006D55C7">
                  <w:pPr>
                    <w:rPr>
                      <w:rFonts w:ascii="Arial" w:hAnsi="Arial"/>
                      <w:b/>
                      <w:sz w:val="24"/>
                    </w:rPr>
                  </w:pPr>
                  <w:r w:rsidRPr="0071443D">
                    <w:rPr>
                      <w:rFonts w:ascii="Arial" w:hAnsi="Arial"/>
                      <w:b/>
                      <w:sz w:val="24"/>
                    </w:rPr>
                    <w:t>What breaks the plan</w:t>
                  </w:r>
                </w:p>
              </w:tc>
              <w:tc>
                <w:tcPr>
                  <w:tcW w:w="2551" w:type="dxa"/>
                </w:tcPr>
                <w:p w:rsidR="000E15B3" w:rsidRPr="0071443D" w:rsidRDefault="000E15B3" w:rsidP="006D55C7">
                  <w:pPr>
                    <w:rPr>
                      <w:rFonts w:ascii="Arial" w:hAnsi="Arial"/>
                      <w:b/>
                      <w:sz w:val="24"/>
                    </w:rPr>
                  </w:pPr>
                  <w:r w:rsidRPr="0071443D">
                    <w:rPr>
                      <w:rFonts w:ascii="Arial" w:hAnsi="Arial"/>
                      <w:b/>
                      <w:sz w:val="24"/>
                    </w:rPr>
                    <w:t>What breaks, and when</w:t>
                  </w:r>
                </w:p>
              </w:tc>
            </w:tr>
            <w:tr w:rsidR="000E15B3" w:rsidRPr="00D962A4" w:rsidTr="00694F38">
              <w:tc>
                <w:tcPr>
                  <w:tcW w:w="2551" w:type="dxa"/>
                </w:tcPr>
                <w:p w:rsidR="000E15B3" w:rsidRPr="00AD6600" w:rsidRDefault="000E15B3" w:rsidP="006D55C7">
                  <w:pPr>
                    <w:rPr>
                      <w:rFonts w:ascii="Arial" w:hAnsi="Arial"/>
                      <w:sz w:val="24"/>
                    </w:rPr>
                  </w:pPr>
                  <w:r w:rsidRPr="00AD6600">
                    <w:rPr>
                      <w:rFonts w:ascii="Arial" w:hAnsi="Arial"/>
                      <w:sz w:val="24"/>
                    </w:rPr>
                    <w:t>LIBOR rates increase sharply at April 2016</w:t>
                  </w:r>
                </w:p>
              </w:tc>
              <w:tc>
                <w:tcPr>
                  <w:tcW w:w="2551" w:type="dxa"/>
                </w:tcPr>
                <w:p w:rsidR="000E15B3" w:rsidRPr="00AD6600" w:rsidRDefault="000E15B3" w:rsidP="00BC4858">
                  <w:pPr>
                    <w:rPr>
                      <w:rFonts w:ascii="Arial" w:hAnsi="Arial"/>
                      <w:sz w:val="24"/>
                    </w:rPr>
                  </w:pPr>
                  <w:r w:rsidRPr="00AD6600">
                    <w:rPr>
                      <w:rFonts w:ascii="Arial" w:hAnsi="Arial"/>
                      <w:sz w:val="24"/>
                    </w:rPr>
                    <w:t xml:space="preserve">LIBOR rises to </w:t>
                  </w:r>
                  <w:r w:rsidR="00BC4858">
                    <w:rPr>
                      <w:rFonts w:ascii="Arial" w:hAnsi="Arial"/>
                      <w:sz w:val="24"/>
                    </w:rPr>
                    <w:t>11</w:t>
                  </w:r>
                  <w:r w:rsidRPr="00AD6600">
                    <w:rPr>
                      <w:rFonts w:ascii="Arial" w:hAnsi="Arial"/>
                      <w:sz w:val="24"/>
                    </w:rPr>
                    <w:t xml:space="preserve">%, and remains there </w:t>
                  </w:r>
                </w:p>
              </w:tc>
              <w:tc>
                <w:tcPr>
                  <w:tcW w:w="2551" w:type="dxa"/>
                </w:tcPr>
                <w:p w:rsidR="000E15B3" w:rsidRPr="00AD6600" w:rsidRDefault="000E15B3" w:rsidP="00BC4858">
                  <w:pPr>
                    <w:rPr>
                      <w:rFonts w:ascii="Arial" w:hAnsi="Arial"/>
                      <w:sz w:val="24"/>
                    </w:rPr>
                  </w:pPr>
                  <w:r w:rsidRPr="00AD6600">
                    <w:rPr>
                      <w:rFonts w:ascii="Arial" w:hAnsi="Arial"/>
                      <w:sz w:val="24"/>
                    </w:rPr>
                    <w:t xml:space="preserve">Interest cover drops to </w:t>
                  </w:r>
                  <w:r w:rsidR="00BC4858">
                    <w:rPr>
                      <w:rFonts w:ascii="Arial" w:hAnsi="Arial"/>
                      <w:sz w:val="24"/>
                    </w:rPr>
                    <w:t>109</w:t>
                  </w:r>
                  <w:r w:rsidRPr="00AD6600">
                    <w:rPr>
                      <w:rFonts w:ascii="Arial" w:hAnsi="Arial"/>
                      <w:sz w:val="24"/>
                    </w:rPr>
                    <w:t>% in 2</w:t>
                  </w:r>
                  <w:r w:rsidR="00BC4858">
                    <w:rPr>
                      <w:rFonts w:ascii="Arial" w:hAnsi="Arial"/>
                      <w:sz w:val="24"/>
                    </w:rPr>
                    <w:t>1/22</w:t>
                  </w:r>
                  <w:r w:rsidRPr="00AD6600">
                    <w:rPr>
                      <w:rFonts w:ascii="Arial" w:hAnsi="Arial"/>
                      <w:sz w:val="24"/>
                    </w:rPr>
                    <w:t xml:space="preserve"> and never recovers</w:t>
                  </w:r>
                </w:p>
              </w:tc>
            </w:tr>
            <w:tr w:rsidR="000E15B3" w:rsidRPr="00D962A4" w:rsidTr="00694F38">
              <w:tc>
                <w:tcPr>
                  <w:tcW w:w="2551" w:type="dxa"/>
                </w:tcPr>
                <w:p w:rsidR="000E15B3" w:rsidRPr="00AD6600" w:rsidRDefault="000E15B3" w:rsidP="006D55C7">
                  <w:pPr>
                    <w:rPr>
                      <w:rFonts w:ascii="Arial" w:hAnsi="Arial"/>
                      <w:sz w:val="24"/>
                    </w:rPr>
                  </w:pPr>
                  <w:r w:rsidRPr="00AD6600">
                    <w:rPr>
                      <w:rFonts w:ascii="Arial" w:hAnsi="Arial"/>
                      <w:sz w:val="24"/>
                    </w:rPr>
                    <w:t>Salary and maintenance costs increase sharply at April 2016, and continue to do so</w:t>
                  </w:r>
                </w:p>
              </w:tc>
              <w:tc>
                <w:tcPr>
                  <w:tcW w:w="2551" w:type="dxa"/>
                </w:tcPr>
                <w:p w:rsidR="000E15B3" w:rsidRPr="00AD6600" w:rsidRDefault="000E15B3" w:rsidP="00A5440A">
                  <w:pPr>
                    <w:rPr>
                      <w:rFonts w:ascii="Arial" w:hAnsi="Arial"/>
                      <w:sz w:val="24"/>
                    </w:rPr>
                  </w:pPr>
                  <w:r w:rsidRPr="00AD6600">
                    <w:rPr>
                      <w:rFonts w:ascii="Arial" w:hAnsi="Arial"/>
                      <w:sz w:val="24"/>
                    </w:rPr>
                    <w:t xml:space="preserve">Salary/maintenance cost inflation rises to </w:t>
                  </w:r>
                  <w:r w:rsidR="00A5440A">
                    <w:rPr>
                      <w:rFonts w:ascii="Arial" w:hAnsi="Arial"/>
                      <w:sz w:val="24"/>
                    </w:rPr>
                    <w:t>10</w:t>
                  </w:r>
                  <w:r w:rsidRPr="00AD6600">
                    <w:rPr>
                      <w:rFonts w:ascii="Arial" w:hAnsi="Arial"/>
                      <w:sz w:val="24"/>
                    </w:rPr>
                    <w:t>% and stays there.</w:t>
                  </w:r>
                </w:p>
              </w:tc>
              <w:tc>
                <w:tcPr>
                  <w:tcW w:w="2551" w:type="dxa"/>
                </w:tcPr>
                <w:p w:rsidR="000E15B3" w:rsidRPr="00AD6600" w:rsidRDefault="00A5440A" w:rsidP="007F1748">
                  <w:pPr>
                    <w:rPr>
                      <w:rFonts w:ascii="Arial" w:hAnsi="Arial"/>
                      <w:sz w:val="24"/>
                    </w:rPr>
                  </w:pPr>
                  <w:r>
                    <w:rPr>
                      <w:rFonts w:ascii="Arial" w:hAnsi="Arial"/>
                      <w:sz w:val="24"/>
                    </w:rPr>
                    <w:t>Gearing ratio rises to 62.6% in 202</w:t>
                  </w:r>
                  <w:r w:rsidR="007F1748">
                    <w:rPr>
                      <w:rFonts w:ascii="Arial" w:hAnsi="Arial"/>
                      <w:sz w:val="24"/>
                    </w:rPr>
                    <w:t>6</w:t>
                  </w:r>
                  <w:r>
                    <w:rPr>
                      <w:rFonts w:ascii="Arial" w:hAnsi="Arial"/>
                      <w:sz w:val="24"/>
                    </w:rPr>
                    <w:t xml:space="preserve"> and </w:t>
                  </w:r>
                  <w:r w:rsidR="000E15B3" w:rsidRPr="00AD6600">
                    <w:rPr>
                      <w:rFonts w:ascii="Arial" w:hAnsi="Arial"/>
                      <w:sz w:val="24"/>
                    </w:rPr>
                    <w:t xml:space="preserve">Interest cover drops to </w:t>
                  </w:r>
                  <w:r w:rsidR="007F1748">
                    <w:rPr>
                      <w:rFonts w:ascii="Arial" w:hAnsi="Arial"/>
                      <w:sz w:val="24"/>
                    </w:rPr>
                    <w:t>100</w:t>
                  </w:r>
                  <w:r w:rsidR="000E15B3" w:rsidRPr="00AD6600">
                    <w:rPr>
                      <w:rFonts w:ascii="Arial" w:hAnsi="Arial"/>
                      <w:sz w:val="24"/>
                    </w:rPr>
                    <w:t>% in 202</w:t>
                  </w:r>
                  <w:r w:rsidR="007F1748">
                    <w:rPr>
                      <w:rFonts w:ascii="Arial" w:hAnsi="Arial"/>
                      <w:sz w:val="24"/>
                    </w:rPr>
                    <w:t xml:space="preserve">6/7. Neither </w:t>
                  </w:r>
                  <w:r w:rsidR="000E15B3" w:rsidRPr="00AD6600">
                    <w:rPr>
                      <w:rFonts w:ascii="Arial" w:hAnsi="Arial"/>
                      <w:sz w:val="24"/>
                    </w:rPr>
                    <w:t>recover</w:t>
                  </w:r>
                  <w:r w:rsidR="007F1748">
                    <w:rPr>
                      <w:rFonts w:ascii="Arial" w:hAnsi="Arial"/>
                      <w:sz w:val="24"/>
                    </w:rPr>
                    <w:t>.</w:t>
                  </w:r>
                </w:p>
              </w:tc>
            </w:tr>
            <w:tr w:rsidR="000E15B3" w:rsidRPr="00D962A4" w:rsidTr="00694F38">
              <w:tc>
                <w:tcPr>
                  <w:tcW w:w="2551" w:type="dxa"/>
                </w:tcPr>
                <w:p w:rsidR="000E15B3" w:rsidRPr="00AD6600" w:rsidRDefault="0090047D" w:rsidP="0090047D">
                  <w:pPr>
                    <w:rPr>
                      <w:rFonts w:ascii="Arial" w:hAnsi="Arial"/>
                      <w:sz w:val="24"/>
                    </w:rPr>
                  </w:pPr>
                  <w:r>
                    <w:rPr>
                      <w:rFonts w:ascii="Arial" w:hAnsi="Arial"/>
                      <w:sz w:val="24"/>
                    </w:rPr>
                    <w:t xml:space="preserve">1% rent reduction continues after </w:t>
                  </w:r>
                  <w:r w:rsidR="000E15B3" w:rsidRPr="00AD6600">
                    <w:rPr>
                      <w:rFonts w:ascii="Arial" w:hAnsi="Arial"/>
                      <w:sz w:val="24"/>
                    </w:rPr>
                    <w:t xml:space="preserve"> April 20</w:t>
                  </w:r>
                  <w:r>
                    <w:rPr>
                      <w:rFonts w:ascii="Arial" w:hAnsi="Arial"/>
                      <w:sz w:val="24"/>
                    </w:rPr>
                    <w:t>20</w:t>
                  </w:r>
                </w:p>
              </w:tc>
              <w:tc>
                <w:tcPr>
                  <w:tcW w:w="2551" w:type="dxa"/>
                </w:tcPr>
                <w:p w:rsidR="000E15B3" w:rsidRPr="00AD6600" w:rsidRDefault="0090047D" w:rsidP="00EA0DCF">
                  <w:pPr>
                    <w:rPr>
                      <w:rFonts w:ascii="Arial" w:hAnsi="Arial"/>
                      <w:sz w:val="24"/>
                    </w:rPr>
                  </w:pPr>
                  <w:r>
                    <w:rPr>
                      <w:rFonts w:ascii="Arial" w:hAnsi="Arial"/>
                      <w:sz w:val="24"/>
                    </w:rPr>
                    <w:t xml:space="preserve">1% rent reductions </w:t>
                  </w:r>
                  <w:r w:rsidR="000E15B3" w:rsidRPr="00AD6600">
                    <w:rPr>
                      <w:rFonts w:ascii="Arial" w:hAnsi="Arial"/>
                      <w:sz w:val="24"/>
                    </w:rPr>
                    <w:t xml:space="preserve"> continue for</w:t>
                  </w:r>
                  <w:r w:rsidR="00EA0DCF">
                    <w:rPr>
                      <w:rFonts w:ascii="Arial" w:hAnsi="Arial"/>
                      <w:sz w:val="24"/>
                    </w:rPr>
                    <w:t xml:space="preserve"> a further 10</w:t>
                  </w:r>
                  <w:r w:rsidR="000E15B3" w:rsidRPr="00AD6600">
                    <w:rPr>
                      <w:rFonts w:ascii="Arial" w:hAnsi="Arial"/>
                      <w:sz w:val="24"/>
                    </w:rPr>
                    <w:t xml:space="preserve"> years</w:t>
                  </w:r>
                  <w:r w:rsidR="00EA0DCF">
                    <w:rPr>
                      <w:rFonts w:ascii="Arial" w:hAnsi="Arial"/>
                      <w:sz w:val="24"/>
                    </w:rPr>
                    <w:t>, before reverting to CPI +1% in 2030/31</w:t>
                  </w:r>
                </w:p>
              </w:tc>
              <w:tc>
                <w:tcPr>
                  <w:tcW w:w="2551" w:type="dxa"/>
                </w:tcPr>
                <w:p w:rsidR="000E15B3" w:rsidRPr="00AD6600" w:rsidRDefault="000E15B3" w:rsidP="00A64965">
                  <w:pPr>
                    <w:rPr>
                      <w:rFonts w:ascii="Arial" w:hAnsi="Arial"/>
                      <w:sz w:val="24"/>
                    </w:rPr>
                  </w:pPr>
                  <w:r w:rsidRPr="00AD6600">
                    <w:rPr>
                      <w:rFonts w:ascii="Arial" w:hAnsi="Arial"/>
                      <w:sz w:val="24"/>
                    </w:rPr>
                    <w:t>Interest cover drops to</w:t>
                  </w:r>
                  <w:r w:rsidR="001E3D7C" w:rsidRPr="00AD6600">
                    <w:rPr>
                      <w:rFonts w:ascii="Arial" w:hAnsi="Arial"/>
                      <w:sz w:val="24"/>
                    </w:rPr>
                    <w:t xml:space="preserve"> </w:t>
                  </w:r>
                  <w:r w:rsidR="00EA0DCF">
                    <w:rPr>
                      <w:rFonts w:ascii="Arial" w:hAnsi="Arial"/>
                      <w:sz w:val="24"/>
                    </w:rPr>
                    <w:t>108</w:t>
                  </w:r>
                  <w:r w:rsidRPr="00AD6600">
                    <w:rPr>
                      <w:rFonts w:ascii="Arial" w:hAnsi="Arial"/>
                      <w:sz w:val="24"/>
                    </w:rPr>
                    <w:t>% in 20</w:t>
                  </w:r>
                  <w:r w:rsidR="00EA0DCF">
                    <w:rPr>
                      <w:rFonts w:ascii="Arial" w:hAnsi="Arial"/>
                      <w:sz w:val="24"/>
                    </w:rPr>
                    <w:t>41/2</w:t>
                  </w:r>
                </w:p>
              </w:tc>
            </w:tr>
            <w:tr w:rsidR="000E15B3" w:rsidRPr="00D962A4" w:rsidTr="00694F38">
              <w:tc>
                <w:tcPr>
                  <w:tcW w:w="2551" w:type="dxa"/>
                </w:tcPr>
                <w:p w:rsidR="000E15B3" w:rsidRPr="00AD6600" w:rsidRDefault="000E15B3" w:rsidP="006D55C7">
                  <w:pPr>
                    <w:rPr>
                      <w:rFonts w:ascii="Arial" w:hAnsi="Arial"/>
                      <w:sz w:val="24"/>
                    </w:rPr>
                  </w:pPr>
                  <w:r w:rsidRPr="00AD6600">
                    <w:rPr>
                      <w:rFonts w:ascii="Arial" w:hAnsi="Arial"/>
                      <w:sz w:val="24"/>
                    </w:rPr>
                    <w:t>Bad debts in general needs increase from the 1.32% -3% assumed in the plan</w:t>
                  </w:r>
                </w:p>
              </w:tc>
              <w:tc>
                <w:tcPr>
                  <w:tcW w:w="2551" w:type="dxa"/>
                </w:tcPr>
                <w:p w:rsidR="000E15B3" w:rsidRPr="00AD6600" w:rsidRDefault="000E15B3" w:rsidP="00A64965">
                  <w:pPr>
                    <w:rPr>
                      <w:rFonts w:ascii="Arial" w:hAnsi="Arial"/>
                      <w:sz w:val="24"/>
                    </w:rPr>
                  </w:pPr>
                  <w:r w:rsidRPr="00AD6600">
                    <w:rPr>
                      <w:rFonts w:ascii="Arial" w:hAnsi="Arial"/>
                      <w:sz w:val="24"/>
                    </w:rPr>
                    <w:t>Bad debts in general needs rise to</w:t>
                  </w:r>
                  <w:r w:rsidR="001E3D7C" w:rsidRPr="00AD6600">
                    <w:rPr>
                      <w:rFonts w:ascii="Arial" w:hAnsi="Arial"/>
                      <w:sz w:val="24"/>
                    </w:rPr>
                    <w:t xml:space="preserve"> </w:t>
                  </w:r>
                  <w:r w:rsidR="00A64965">
                    <w:rPr>
                      <w:rFonts w:ascii="Arial" w:hAnsi="Arial"/>
                      <w:sz w:val="24"/>
                    </w:rPr>
                    <w:t>25%</w:t>
                  </w:r>
                  <w:r w:rsidRPr="00AD6600">
                    <w:rPr>
                      <w:rFonts w:ascii="Arial" w:hAnsi="Arial"/>
                      <w:sz w:val="24"/>
                    </w:rPr>
                    <w:t xml:space="preserve"> throughout the plan</w:t>
                  </w:r>
                </w:p>
              </w:tc>
              <w:tc>
                <w:tcPr>
                  <w:tcW w:w="2551" w:type="dxa"/>
                </w:tcPr>
                <w:p w:rsidR="000E15B3" w:rsidRPr="00AD6600" w:rsidRDefault="000E15B3" w:rsidP="00A64965">
                  <w:pPr>
                    <w:rPr>
                      <w:rFonts w:ascii="Arial" w:hAnsi="Arial"/>
                      <w:sz w:val="24"/>
                    </w:rPr>
                  </w:pPr>
                  <w:r w:rsidRPr="00AD6600">
                    <w:rPr>
                      <w:rFonts w:ascii="Arial" w:hAnsi="Arial"/>
                      <w:sz w:val="24"/>
                    </w:rPr>
                    <w:t>Gearing rises to</w:t>
                  </w:r>
                  <w:r w:rsidR="001E3D7C" w:rsidRPr="00AD6600">
                    <w:rPr>
                      <w:rFonts w:ascii="Arial" w:hAnsi="Arial"/>
                      <w:sz w:val="24"/>
                    </w:rPr>
                    <w:t xml:space="preserve"> </w:t>
                  </w:r>
                  <w:r w:rsidR="00A64965">
                    <w:rPr>
                      <w:rFonts w:ascii="Arial" w:hAnsi="Arial"/>
                      <w:sz w:val="24"/>
                    </w:rPr>
                    <w:t>61.3</w:t>
                  </w:r>
                  <w:r w:rsidRPr="00AD6600">
                    <w:rPr>
                      <w:rFonts w:ascii="Arial" w:hAnsi="Arial"/>
                      <w:sz w:val="24"/>
                    </w:rPr>
                    <w:t>% in March 20</w:t>
                  </w:r>
                  <w:r w:rsidR="00A64965">
                    <w:rPr>
                      <w:rFonts w:ascii="Arial" w:hAnsi="Arial"/>
                      <w:sz w:val="24"/>
                    </w:rPr>
                    <w:t>27</w:t>
                  </w:r>
                  <w:r w:rsidRPr="00AD6600">
                    <w:rPr>
                      <w:rFonts w:ascii="Arial" w:hAnsi="Arial"/>
                      <w:sz w:val="24"/>
                    </w:rPr>
                    <w:t xml:space="preserve"> and does not recover</w:t>
                  </w:r>
                </w:p>
              </w:tc>
            </w:tr>
            <w:tr w:rsidR="000E15B3" w:rsidRPr="00104336" w:rsidTr="00694F38">
              <w:tc>
                <w:tcPr>
                  <w:tcW w:w="2551" w:type="dxa"/>
                </w:tcPr>
                <w:p w:rsidR="000E15B3" w:rsidRPr="00AD6600" w:rsidRDefault="000E15B3" w:rsidP="006D55C7">
                  <w:pPr>
                    <w:rPr>
                      <w:rFonts w:ascii="Arial" w:hAnsi="Arial"/>
                      <w:sz w:val="24"/>
                    </w:rPr>
                  </w:pPr>
                  <w:r w:rsidRPr="00AD6600">
                    <w:rPr>
                      <w:rFonts w:ascii="Arial" w:hAnsi="Arial"/>
                      <w:sz w:val="24"/>
                    </w:rPr>
                    <w:t xml:space="preserve">House prices drop by in April 2016 and rise only gradually from there. </w:t>
                  </w:r>
                </w:p>
              </w:tc>
              <w:tc>
                <w:tcPr>
                  <w:tcW w:w="2551" w:type="dxa"/>
                </w:tcPr>
                <w:p w:rsidR="000E15B3" w:rsidRPr="00AD6600" w:rsidRDefault="000E15B3" w:rsidP="00994FD0">
                  <w:pPr>
                    <w:rPr>
                      <w:rFonts w:ascii="Arial" w:hAnsi="Arial"/>
                      <w:sz w:val="24"/>
                    </w:rPr>
                  </w:pPr>
                  <w:r w:rsidRPr="00AD6600">
                    <w:rPr>
                      <w:rFonts w:ascii="Arial" w:hAnsi="Arial"/>
                      <w:sz w:val="24"/>
                    </w:rPr>
                    <w:t>House prices drop by</w:t>
                  </w:r>
                  <w:r w:rsidR="001E3D7C" w:rsidRPr="00AD6600">
                    <w:rPr>
                      <w:rFonts w:ascii="Arial" w:hAnsi="Arial"/>
                      <w:sz w:val="24"/>
                    </w:rPr>
                    <w:t xml:space="preserve"> </w:t>
                  </w:r>
                  <w:r w:rsidR="00994FD0">
                    <w:rPr>
                      <w:rFonts w:ascii="Arial" w:hAnsi="Arial"/>
                      <w:sz w:val="24"/>
                    </w:rPr>
                    <w:t>60</w:t>
                  </w:r>
                  <w:r w:rsidRPr="00AD6600">
                    <w:rPr>
                      <w:rFonts w:ascii="Arial" w:hAnsi="Arial"/>
                      <w:sz w:val="24"/>
                    </w:rPr>
                    <w:t>% and recover only gradually</w:t>
                  </w:r>
                </w:p>
              </w:tc>
              <w:tc>
                <w:tcPr>
                  <w:tcW w:w="2551" w:type="dxa"/>
                </w:tcPr>
                <w:p w:rsidR="000E15B3" w:rsidRPr="00AD6600" w:rsidRDefault="000E15B3" w:rsidP="00994FD0">
                  <w:pPr>
                    <w:rPr>
                      <w:rFonts w:ascii="Arial" w:hAnsi="Arial"/>
                      <w:sz w:val="24"/>
                    </w:rPr>
                  </w:pPr>
                  <w:r w:rsidRPr="00AD6600">
                    <w:rPr>
                      <w:rFonts w:ascii="Arial" w:hAnsi="Arial"/>
                      <w:sz w:val="24"/>
                    </w:rPr>
                    <w:t>Interest cover drops to</w:t>
                  </w:r>
                  <w:r w:rsidR="001E3D7C" w:rsidRPr="00AD6600">
                    <w:rPr>
                      <w:rFonts w:ascii="Arial" w:hAnsi="Arial"/>
                      <w:sz w:val="24"/>
                    </w:rPr>
                    <w:t xml:space="preserve"> </w:t>
                  </w:r>
                  <w:r w:rsidR="00994FD0">
                    <w:rPr>
                      <w:rFonts w:ascii="Arial" w:hAnsi="Arial"/>
                      <w:sz w:val="24"/>
                    </w:rPr>
                    <w:t>108</w:t>
                  </w:r>
                  <w:r w:rsidRPr="00AD6600">
                    <w:rPr>
                      <w:rFonts w:ascii="Arial" w:hAnsi="Arial"/>
                      <w:sz w:val="24"/>
                    </w:rPr>
                    <w:t>% in 2017/18</w:t>
                  </w:r>
                </w:p>
              </w:tc>
            </w:tr>
            <w:tr w:rsidR="000E15B3" w:rsidRPr="00104336" w:rsidTr="00694F38">
              <w:tc>
                <w:tcPr>
                  <w:tcW w:w="2551" w:type="dxa"/>
                </w:tcPr>
                <w:p w:rsidR="000E15B3" w:rsidRPr="00AD6600" w:rsidRDefault="000E15B3" w:rsidP="006D55C7">
                  <w:pPr>
                    <w:rPr>
                      <w:rFonts w:ascii="Arial" w:hAnsi="Arial"/>
                      <w:sz w:val="24"/>
                    </w:rPr>
                  </w:pPr>
                  <w:r w:rsidRPr="00AD6600">
                    <w:rPr>
                      <w:rFonts w:ascii="Arial" w:hAnsi="Arial"/>
                      <w:sz w:val="24"/>
                    </w:rPr>
                    <w:t>Mortgage market closes, so cannot sell any properties</w:t>
                  </w:r>
                </w:p>
              </w:tc>
              <w:tc>
                <w:tcPr>
                  <w:tcW w:w="2551" w:type="dxa"/>
                </w:tcPr>
                <w:p w:rsidR="000E15B3" w:rsidRPr="00AD6600" w:rsidRDefault="000E15B3" w:rsidP="006D55C7">
                  <w:pPr>
                    <w:rPr>
                      <w:rFonts w:ascii="Arial" w:hAnsi="Arial"/>
                      <w:sz w:val="24"/>
                    </w:rPr>
                  </w:pPr>
                  <w:r w:rsidRPr="00AD6600">
                    <w:rPr>
                      <w:rFonts w:ascii="Arial" w:hAnsi="Arial"/>
                      <w:sz w:val="24"/>
                    </w:rPr>
                    <w:t>Unable to sell any properties (shared ownership, outright sales or voids) after Foxley and Birchfield.</w:t>
                  </w:r>
                </w:p>
                <w:p w:rsidR="000E15B3" w:rsidRPr="00AD6600" w:rsidRDefault="000E15B3" w:rsidP="006D55C7">
                  <w:pPr>
                    <w:rPr>
                      <w:rFonts w:ascii="Arial" w:hAnsi="Arial"/>
                      <w:sz w:val="24"/>
                    </w:rPr>
                  </w:pPr>
                  <w:r w:rsidRPr="00AD6600">
                    <w:rPr>
                      <w:rFonts w:ascii="Arial" w:hAnsi="Arial"/>
                      <w:sz w:val="24"/>
                    </w:rPr>
                    <w:t>This leaves 93 shared ownership units transferred to rent to home buy, and outright sales schemes completed but unsold for 5 years</w:t>
                  </w:r>
                </w:p>
              </w:tc>
              <w:tc>
                <w:tcPr>
                  <w:tcW w:w="2551" w:type="dxa"/>
                </w:tcPr>
                <w:p w:rsidR="000E15B3" w:rsidRPr="00AD6600" w:rsidRDefault="000E15B3" w:rsidP="008F6A8F">
                  <w:pPr>
                    <w:rPr>
                      <w:rFonts w:ascii="Arial" w:hAnsi="Arial"/>
                      <w:sz w:val="24"/>
                    </w:rPr>
                  </w:pPr>
                  <w:r w:rsidRPr="00AD6600">
                    <w:rPr>
                      <w:rFonts w:ascii="Arial" w:hAnsi="Arial"/>
                      <w:sz w:val="24"/>
                    </w:rPr>
                    <w:t>Does not break the plan, although would have to consider impairment charges</w:t>
                  </w:r>
                  <w:r w:rsidR="00CF437F">
                    <w:rPr>
                      <w:rFonts w:ascii="Arial" w:hAnsi="Arial"/>
                      <w:sz w:val="24"/>
                    </w:rPr>
                    <w:t xml:space="preserve"> and would need a further loan facility of £10m</w:t>
                  </w:r>
                  <w:r w:rsidR="008F6A8F">
                    <w:rPr>
                      <w:rFonts w:ascii="Arial" w:hAnsi="Arial"/>
                      <w:sz w:val="24"/>
                    </w:rPr>
                    <w:t xml:space="preserve"> within 2 years and then another £1</w:t>
                  </w:r>
                  <w:r w:rsidR="00CF437F">
                    <w:rPr>
                      <w:rFonts w:ascii="Arial" w:hAnsi="Arial"/>
                      <w:sz w:val="24"/>
                    </w:rPr>
                    <w:t>0m</w:t>
                  </w:r>
                  <w:r w:rsidR="008F6A8F">
                    <w:rPr>
                      <w:rFonts w:ascii="Arial" w:hAnsi="Arial"/>
                      <w:sz w:val="24"/>
                    </w:rPr>
                    <w:t xml:space="preserve"> by 2026.</w:t>
                  </w:r>
                </w:p>
              </w:tc>
            </w:tr>
            <w:tr w:rsidR="000E15B3" w:rsidRPr="00D962A4" w:rsidTr="00694F38">
              <w:tc>
                <w:tcPr>
                  <w:tcW w:w="2551" w:type="dxa"/>
                </w:tcPr>
                <w:p w:rsidR="000E15B3" w:rsidRPr="00AD6600" w:rsidRDefault="000E15B3" w:rsidP="006D55C7">
                  <w:pPr>
                    <w:rPr>
                      <w:rFonts w:ascii="Arial" w:hAnsi="Arial"/>
                      <w:sz w:val="24"/>
                    </w:rPr>
                  </w:pPr>
                  <w:r w:rsidRPr="00AD6600">
                    <w:rPr>
                      <w:rFonts w:ascii="Arial" w:hAnsi="Arial"/>
                      <w:sz w:val="24"/>
                    </w:rPr>
                    <w:t>Deflation, rather than inflation</w:t>
                  </w:r>
                </w:p>
              </w:tc>
              <w:tc>
                <w:tcPr>
                  <w:tcW w:w="2551" w:type="dxa"/>
                </w:tcPr>
                <w:p w:rsidR="000E15B3" w:rsidRPr="00AD6600" w:rsidRDefault="00A566CA" w:rsidP="001E3D7C">
                  <w:pPr>
                    <w:rPr>
                      <w:rFonts w:ascii="Arial" w:hAnsi="Arial"/>
                      <w:sz w:val="24"/>
                    </w:rPr>
                  </w:pPr>
                  <w:r w:rsidRPr="00A566CA">
                    <w:rPr>
                      <w:rFonts w:ascii="Arial" w:hAnsi="Arial"/>
                      <w:sz w:val="24"/>
                    </w:rPr>
                    <w:t>CPI drops to -10% and stays there, whilst LIBOR stays at 0.25% and salary inflation is 0%. Other costs drop.</w:t>
                  </w:r>
                </w:p>
              </w:tc>
              <w:tc>
                <w:tcPr>
                  <w:tcW w:w="2551" w:type="dxa"/>
                </w:tcPr>
                <w:p w:rsidR="000E15B3" w:rsidRPr="00AD6600" w:rsidRDefault="00A566CA" w:rsidP="001E3D7C">
                  <w:pPr>
                    <w:rPr>
                      <w:rFonts w:ascii="Arial" w:hAnsi="Arial"/>
                      <w:sz w:val="24"/>
                    </w:rPr>
                  </w:pPr>
                  <w:r>
                    <w:rPr>
                      <w:rFonts w:ascii="Arial" w:hAnsi="Arial"/>
                      <w:sz w:val="24"/>
                    </w:rPr>
                    <w:t>Does not break plan, because protected by having to put rents down by only 1% in first four years. Likely that rent settlement would be changed again in this scenario.</w:t>
                  </w:r>
                </w:p>
              </w:tc>
            </w:tr>
          </w:tbl>
          <w:p w:rsidR="000E15B3" w:rsidRDefault="000E15B3" w:rsidP="000E15B3">
            <w:pPr>
              <w:rPr>
                <w:rFonts w:ascii="Arial" w:hAnsi="Arial"/>
                <w:sz w:val="24"/>
              </w:rPr>
            </w:pPr>
          </w:p>
        </w:tc>
      </w:tr>
      <w:tr w:rsidR="00963BF9" w:rsidTr="00694F38">
        <w:tc>
          <w:tcPr>
            <w:tcW w:w="606" w:type="dxa"/>
          </w:tcPr>
          <w:p w:rsidR="00963BF9" w:rsidRDefault="00963BF9">
            <w:pPr>
              <w:rPr>
                <w:rFonts w:ascii="Arial" w:hAnsi="Arial"/>
                <w:sz w:val="24"/>
              </w:rPr>
            </w:pPr>
            <w:r>
              <w:rPr>
                <w:rFonts w:ascii="Arial" w:hAnsi="Arial"/>
                <w:sz w:val="24"/>
              </w:rPr>
              <w:t>3.3</w:t>
            </w:r>
          </w:p>
        </w:tc>
        <w:tc>
          <w:tcPr>
            <w:tcW w:w="7724" w:type="dxa"/>
          </w:tcPr>
          <w:p w:rsidR="00963BF9" w:rsidRDefault="00963BF9" w:rsidP="000E15B3">
            <w:pPr>
              <w:rPr>
                <w:rFonts w:ascii="Arial" w:hAnsi="Arial"/>
                <w:sz w:val="24"/>
              </w:rPr>
            </w:pPr>
            <w:r w:rsidRPr="008D250B">
              <w:rPr>
                <w:rFonts w:ascii="Arial" w:hAnsi="Arial"/>
                <w:sz w:val="24"/>
              </w:rPr>
              <w:t xml:space="preserve">Our lenders are keen to know the impact on the plan if </w:t>
            </w:r>
            <w:r>
              <w:rPr>
                <w:rFonts w:ascii="Arial" w:hAnsi="Arial"/>
                <w:sz w:val="24"/>
              </w:rPr>
              <w:t>r</w:t>
            </w:r>
            <w:r w:rsidRPr="00963BF9">
              <w:rPr>
                <w:rFonts w:ascii="Arial" w:hAnsi="Arial"/>
                <w:sz w:val="24"/>
              </w:rPr>
              <w:t>ent increases are restricted to CPI from Apr 2020, rather than reverting to CPI +1%</w:t>
            </w:r>
            <w:r>
              <w:rPr>
                <w:rFonts w:ascii="Arial" w:hAnsi="Arial"/>
                <w:sz w:val="24"/>
              </w:rPr>
              <w:t>.</w:t>
            </w:r>
          </w:p>
          <w:p w:rsidR="00963BF9" w:rsidRDefault="00963BF9" w:rsidP="000E15B3">
            <w:pPr>
              <w:rPr>
                <w:rFonts w:ascii="Arial" w:hAnsi="Arial"/>
                <w:b/>
                <w:sz w:val="24"/>
              </w:rPr>
            </w:pPr>
            <w:r>
              <w:rPr>
                <w:rFonts w:ascii="Arial" w:hAnsi="Arial"/>
                <w:sz w:val="24"/>
              </w:rPr>
              <w:t xml:space="preserve">This has been modelled as a separate scenario. The result is that the plan does </w:t>
            </w:r>
            <w:r w:rsidRPr="00963BF9">
              <w:rPr>
                <w:rFonts w:ascii="Arial" w:hAnsi="Arial"/>
                <w:sz w:val="24"/>
              </w:rPr>
              <w:t>not break, although interest cover drops to 240% in 2020/2</w:t>
            </w:r>
            <w:r>
              <w:rPr>
                <w:rFonts w:ascii="Arial" w:hAnsi="Arial"/>
                <w:sz w:val="24"/>
              </w:rPr>
              <w:t>1.</w:t>
            </w:r>
          </w:p>
          <w:p w:rsidR="0071443D" w:rsidRPr="009454F1" w:rsidRDefault="0071443D" w:rsidP="000E15B3">
            <w:pPr>
              <w:rPr>
                <w:rFonts w:ascii="Arial" w:hAnsi="Arial"/>
                <w:b/>
                <w:sz w:val="24"/>
              </w:rPr>
            </w:pPr>
          </w:p>
        </w:tc>
      </w:tr>
      <w:tr w:rsidR="000C59DE" w:rsidTr="00694F38">
        <w:tc>
          <w:tcPr>
            <w:tcW w:w="606" w:type="dxa"/>
          </w:tcPr>
          <w:p w:rsidR="000C59DE" w:rsidRDefault="00694F38" w:rsidP="008D250B">
            <w:pPr>
              <w:rPr>
                <w:rFonts w:ascii="Arial" w:hAnsi="Arial"/>
                <w:sz w:val="24"/>
              </w:rPr>
            </w:pPr>
            <w:r>
              <w:rPr>
                <w:rFonts w:ascii="Arial" w:hAnsi="Arial"/>
                <w:sz w:val="24"/>
              </w:rPr>
              <w:t>3.</w:t>
            </w:r>
            <w:r w:rsidR="00963BF9">
              <w:rPr>
                <w:rFonts w:ascii="Arial" w:hAnsi="Arial"/>
                <w:sz w:val="24"/>
              </w:rPr>
              <w:t>4</w:t>
            </w:r>
          </w:p>
        </w:tc>
        <w:tc>
          <w:tcPr>
            <w:tcW w:w="7724" w:type="dxa"/>
          </w:tcPr>
          <w:p w:rsidR="00694F38" w:rsidRPr="00694F38" w:rsidRDefault="00694F38" w:rsidP="00694F38">
            <w:pPr>
              <w:rPr>
                <w:rFonts w:ascii="Arial" w:hAnsi="Arial"/>
                <w:sz w:val="24"/>
              </w:rPr>
            </w:pPr>
            <w:r w:rsidRPr="009454F1">
              <w:rPr>
                <w:rFonts w:ascii="Arial" w:hAnsi="Arial"/>
                <w:b/>
                <w:sz w:val="24"/>
              </w:rPr>
              <w:t>What combination of problems breaks the plan?</w:t>
            </w:r>
            <w:r w:rsidRPr="00694F38">
              <w:rPr>
                <w:rFonts w:ascii="Arial" w:hAnsi="Arial"/>
                <w:sz w:val="24"/>
              </w:rPr>
              <w:t xml:space="preserve">  The next step is to use a combination of the factors to which the plan is the most vulnerable, as follows: </w:t>
            </w:r>
          </w:p>
          <w:p w:rsidR="00694F38" w:rsidRPr="00694F38" w:rsidRDefault="00694F38" w:rsidP="00694F38">
            <w:pPr>
              <w:rPr>
                <w:rFonts w:ascii="Arial" w:hAnsi="Arial"/>
                <w:sz w:val="24"/>
              </w:rPr>
            </w:pPr>
          </w:p>
          <w:p w:rsidR="00694F38" w:rsidRPr="00694F38" w:rsidRDefault="00694F38" w:rsidP="00694F38">
            <w:pPr>
              <w:rPr>
                <w:rFonts w:ascii="Arial" w:hAnsi="Arial"/>
                <w:sz w:val="24"/>
              </w:rPr>
            </w:pPr>
            <w:r w:rsidRPr="00694F38">
              <w:rPr>
                <w:rFonts w:ascii="Arial" w:hAnsi="Arial"/>
                <w:sz w:val="24"/>
              </w:rPr>
              <w:t>•</w:t>
            </w:r>
            <w:r w:rsidRPr="00694F38">
              <w:rPr>
                <w:rFonts w:ascii="Arial" w:hAnsi="Arial"/>
                <w:sz w:val="24"/>
              </w:rPr>
              <w:tab/>
              <w:t>Interest rates rise sharply</w:t>
            </w:r>
          </w:p>
          <w:p w:rsidR="00694F38" w:rsidRPr="00694F38" w:rsidRDefault="00694F38" w:rsidP="00694F38">
            <w:pPr>
              <w:rPr>
                <w:rFonts w:ascii="Arial" w:hAnsi="Arial"/>
                <w:sz w:val="24"/>
              </w:rPr>
            </w:pPr>
            <w:r w:rsidRPr="00694F38">
              <w:rPr>
                <w:rFonts w:ascii="Arial" w:hAnsi="Arial"/>
                <w:sz w:val="24"/>
              </w:rPr>
              <w:t>•</w:t>
            </w:r>
            <w:r w:rsidRPr="00694F38">
              <w:rPr>
                <w:rFonts w:ascii="Arial" w:hAnsi="Arial"/>
                <w:sz w:val="24"/>
              </w:rPr>
              <w:tab/>
              <w:t>Mortgage finance becomes scarce (affecting property sales)</w:t>
            </w:r>
          </w:p>
          <w:p w:rsidR="00694F38" w:rsidRPr="00694F38" w:rsidRDefault="00694F38" w:rsidP="00694F38">
            <w:pPr>
              <w:rPr>
                <w:rFonts w:ascii="Arial" w:hAnsi="Arial"/>
                <w:sz w:val="24"/>
              </w:rPr>
            </w:pPr>
            <w:r w:rsidRPr="00694F38">
              <w:rPr>
                <w:rFonts w:ascii="Arial" w:hAnsi="Arial"/>
                <w:sz w:val="24"/>
              </w:rPr>
              <w:t>•</w:t>
            </w:r>
            <w:r w:rsidRPr="00694F38">
              <w:rPr>
                <w:rFonts w:ascii="Arial" w:hAnsi="Arial"/>
                <w:sz w:val="24"/>
              </w:rPr>
              <w:tab/>
              <w:t>House prices drop</w:t>
            </w:r>
          </w:p>
          <w:p w:rsidR="00694F38" w:rsidRPr="00694F38" w:rsidRDefault="00694F38" w:rsidP="00694F38">
            <w:pPr>
              <w:rPr>
                <w:rFonts w:ascii="Arial" w:hAnsi="Arial"/>
                <w:sz w:val="24"/>
              </w:rPr>
            </w:pPr>
            <w:r w:rsidRPr="00694F38">
              <w:rPr>
                <w:rFonts w:ascii="Arial" w:hAnsi="Arial"/>
                <w:sz w:val="24"/>
              </w:rPr>
              <w:t>•</w:t>
            </w:r>
            <w:r w:rsidRPr="00694F38">
              <w:rPr>
                <w:rFonts w:ascii="Arial" w:hAnsi="Arial"/>
                <w:sz w:val="24"/>
              </w:rPr>
              <w:tab/>
              <w:t xml:space="preserve">Bad debts arise in shared ownership for the first time, as </w:t>
            </w:r>
            <w:r w:rsidR="0071443D">
              <w:rPr>
                <w:rFonts w:ascii="Arial" w:hAnsi="Arial"/>
                <w:sz w:val="24"/>
              </w:rPr>
              <w:tab/>
            </w:r>
            <w:r w:rsidRPr="00694F38">
              <w:rPr>
                <w:rFonts w:ascii="Arial" w:hAnsi="Arial"/>
                <w:sz w:val="24"/>
              </w:rPr>
              <w:t>leaseholders struggle to pay both mortgage payments and rent</w:t>
            </w:r>
          </w:p>
          <w:p w:rsidR="00694F38" w:rsidRDefault="00694F38" w:rsidP="00694F38">
            <w:pPr>
              <w:rPr>
                <w:rFonts w:ascii="Arial" w:hAnsi="Arial"/>
                <w:sz w:val="24"/>
              </w:rPr>
            </w:pPr>
            <w:r w:rsidRPr="00694F38">
              <w:rPr>
                <w:rFonts w:ascii="Arial" w:hAnsi="Arial"/>
                <w:sz w:val="24"/>
              </w:rPr>
              <w:t>•</w:t>
            </w:r>
            <w:r w:rsidRPr="00694F38">
              <w:rPr>
                <w:rFonts w:ascii="Arial" w:hAnsi="Arial"/>
                <w:sz w:val="24"/>
              </w:rPr>
              <w:tab/>
              <w:t xml:space="preserve">Bad debts rise in general needs because Universal Credit </w:t>
            </w:r>
            <w:r w:rsidR="0071443D">
              <w:rPr>
                <w:rFonts w:ascii="Arial" w:hAnsi="Arial"/>
                <w:sz w:val="24"/>
              </w:rPr>
              <w:tab/>
            </w:r>
            <w:r w:rsidRPr="00694F38">
              <w:rPr>
                <w:rFonts w:ascii="Arial" w:hAnsi="Arial"/>
                <w:sz w:val="24"/>
              </w:rPr>
              <w:t>strug</w:t>
            </w:r>
            <w:bookmarkStart w:id="0" w:name="_GoBack"/>
            <w:bookmarkEnd w:id="0"/>
            <w:r w:rsidRPr="00694F38">
              <w:rPr>
                <w:rFonts w:ascii="Arial" w:hAnsi="Arial"/>
                <w:sz w:val="24"/>
              </w:rPr>
              <w:t xml:space="preserve">gles to keep up with demand. </w:t>
            </w:r>
          </w:p>
          <w:p w:rsidR="00694F38" w:rsidRPr="00694F38" w:rsidRDefault="00694F38" w:rsidP="00694F38">
            <w:pPr>
              <w:pStyle w:val="ListParagraph"/>
              <w:numPr>
                <w:ilvl w:val="0"/>
                <w:numId w:val="4"/>
              </w:numPr>
              <w:rPr>
                <w:rFonts w:ascii="Arial" w:hAnsi="Arial"/>
                <w:sz w:val="24"/>
              </w:rPr>
            </w:pPr>
            <w:r w:rsidRPr="00694F38">
              <w:rPr>
                <w:rFonts w:ascii="Arial" w:hAnsi="Arial"/>
                <w:sz w:val="24"/>
              </w:rPr>
              <w:t xml:space="preserve">     The Government imposes a further 5 years of 1% rent </w:t>
            </w:r>
            <w:r w:rsidR="0071443D">
              <w:rPr>
                <w:rFonts w:ascii="Arial" w:hAnsi="Arial"/>
                <w:sz w:val="24"/>
              </w:rPr>
              <w:tab/>
            </w:r>
            <w:r w:rsidRPr="00694F38">
              <w:rPr>
                <w:rFonts w:ascii="Arial" w:hAnsi="Arial"/>
                <w:sz w:val="24"/>
              </w:rPr>
              <w:t xml:space="preserve">reductions, </w:t>
            </w:r>
          </w:p>
          <w:p w:rsidR="00694F38" w:rsidRPr="00694F38" w:rsidRDefault="00694F38" w:rsidP="00694F38">
            <w:pPr>
              <w:rPr>
                <w:rFonts w:ascii="Arial" w:hAnsi="Arial"/>
                <w:sz w:val="24"/>
              </w:rPr>
            </w:pPr>
          </w:p>
          <w:p w:rsidR="00694F38" w:rsidRPr="00694F38" w:rsidRDefault="00694F38" w:rsidP="0071443D">
            <w:pPr>
              <w:rPr>
                <w:rFonts w:ascii="Arial" w:hAnsi="Arial" w:cs="Arial"/>
                <w:sz w:val="24"/>
                <w:lang w:val="en-GB"/>
              </w:rPr>
            </w:pPr>
            <w:r w:rsidRPr="00694F38">
              <w:rPr>
                <w:rFonts w:ascii="Arial" w:hAnsi="Arial"/>
                <w:sz w:val="24"/>
                <w:lang w:val="en-GB"/>
              </w:rPr>
              <w:t>The following combination has been used:</w:t>
            </w:r>
          </w:p>
          <w:p w:rsidR="00694F38" w:rsidRPr="00694F38" w:rsidRDefault="00694F38" w:rsidP="00694F38">
            <w:pPr>
              <w:ind w:left="360"/>
              <w:rPr>
                <w:rFonts w:ascii="Arial" w:hAnsi="Arial" w:cs="Arial"/>
                <w:sz w:val="24"/>
                <w:lang w:val="en-GB"/>
              </w:rPr>
            </w:pPr>
          </w:p>
          <w:tbl>
            <w:tblPr>
              <w:tblStyle w:val="TableGrid"/>
              <w:tblW w:w="7435" w:type="dxa"/>
              <w:tblLayout w:type="fixed"/>
              <w:tblLook w:val="01E0" w:firstRow="1" w:lastRow="1" w:firstColumn="1" w:lastColumn="1" w:noHBand="0" w:noVBand="0"/>
            </w:tblPr>
            <w:tblGrid>
              <w:gridCol w:w="2508"/>
              <w:gridCol w:w="4927"/>
            </w:tblGrid>
            <w:tr w:rsidR="00694F38" w:rsidRPr="00694F38" w:rsidTr="00694F38">
              <w:tc>
                <w:tcPr>
                  <w:tcW w:w="2508" w:type="dxa"/>
                </w:tcPr>
                <w:p w:rsidR="00694F38" w:rsidRPr="0071443D" w:rsidRDefault="00694F38" w:rsidP="00694F38">
                  <w:pPr>
                    <w:rPr>
                      <w:rFonts w:ascii="Arial" w:hAnsi="Arial" w:cs="Arial"/>
                      <w:b/>
                      <w:sz w:val="24"/>
                      <w:lang w:val="en-GB"/>
                    </w:rPr>
                  </w:pPr>
                  <w:r w:rsidRPr="0071443D">
                    <w:rPr>
                      <w:rFonts w:ascii="Arial" w:hAnsi="Arial" w:cs="Arial"/>
                      <w:b/>
                      <w:sz w:val="24"/>
                      <w:lang w:val="en-GB"/>
                    </w:rPr>
                    <w:t xml:space="preserve">What </w:t>
                  </w:r>
                </w:p>
              </w:tc>
              <w:tc>
                <w:tcPr>
                  <w:tcW w:w="4927" w:type="dxa"/>
                </w:tcPr>
                <w:p w:rsidR="00694F38" w:rsidRPr="0071443D" w:rsidRDefault="00694F38" w:rsidP="00694F38">
                  <w:pPr>
                    <w:rPr>
                      <w:rFonts w:ascii="Arial" w:hAnsi="Arial" w:cs="Arial"/>
                      <w:b/>
                      <w:sz w:val="24"/>
                      <w:lang w:val="en-GB"/>
                    </w:rPr>
                  </w:pPr>
                  <w:r w:rsidRPr="0071443D">
                    <w:rPr>
                      <w:rFonts w:ascii="Arial" w:hAnsi="Arial" w:cs="Arial"/>
                      <w:b/>
                      <w:sz w:val="24"/>
                      <w:lang w:val="en-GB"/>
                    </w:rPr>
                    <w:t>Assumptions modelled</w:t>
                  </w:r>
                </w:p>
              </w:tc>
            </w:tr>
            <w:tr w:rsidR="00694F38" w:rsidRPr="00694F38" w:rsidTr="00694F38">
              <w:tc>
                <w:tcPr>
                  <w:tcW w:w="2508" w:type="dxa"/>
                </w:tcPr>
                <w:p w:rsidR="00694F38" w:rsidRPr="00694F38" w:rsidRDefault="00694F38" w:rsidP="00694F38">
                  <w:pPr>
                    <w:rPr>
                      <w:rFonts w:ascii="Arial" w:hAnsi="Arial" w:cs="Arial"/>
                      <w:sz w:val="24"/>
                      <w:lang w:val="en-GB"/>
                    </w:rPr>
                  </w:pPr>
                  <w:r w:rsidRPr="00694F38">
                    <w:rPr>
                      <w:rFonts w:ascii="Arial" w:hAnsi="Arial" w:cs="Arial"/>
                      <w:sz w:val="24"/>
                      <w:lang w:val="en-GB"/>
                    </w:rPr>
                    <w:t>LIBOR rates increase sharply at April 2016</w:t>
                  </w:r>
                </w:p>
              </w:tc>
              <w:tc>
                <w:tcPr>
                  <w:tcW w:w="4927" w:type="dxa"/>
                </w:tcPr>
                <w:p w:rsidR="00694F38" w:rsidRPr="00694F38" w:rsidRDefault="00694F38" w:rsidP="00374553">
                  <w:pPr>
                    <w:rPr>
                      <w:rFonts w:ascii="Arial" w:hAnsi="Arial" w:cs="Arial"/>
                      <w:sz w:val="24"/>
                      <w:lang w:val="en-GB"/>
                    </w:rPr>
                  </w:pPr>
                  <w:r w:rsidRPr="00694F38">
                    <w:rPr>
                      <w:rFonts w:ascii="Arial" w:hAnsi="Arial" w:cs="Arial"/>
                      <w:sz w:val="24"/>
                      <w:lang w:val="en-GB"/>
                    </w:rPr>
                    <w:t xml:space="preserve">LIBOR rises to </w:t>
                  </w:r>
                  <w:r w:rsidR="00374553">
                    <w:rPr>
                      <w:rFonts w:ascii="Arial" w:hAnsi="Arial" w:cs="Arial"/>
                      <w:sz w:val="24"/>
                      <w:lang w:val="en-GB"/>
                    </w:rPr>
                    <w:t>6</w:t>
                  </w:r>
                  <w:r w:rsidRPr="00694F38">
                    <w:rPr>
                      <w:rFonts w:ascii="Arial" w:hAnsi="Arial" w:cs="Arial"/>
                      <w:sz w:val="24"/>
                      <w:lang w:val="en-GB"/>
                    </w:rPr>
                    <w:t xml:space="preserve">% and remains there for 5 years, before dropping to </w:t>
                  </w:r>
                  <w:r>
                    <w:rPr>
                      <w:rFonts w:ascii="Arial" w:hAnsi="Arial" w:cs="Arial"/>
                      <w:sz w:val="24"/>
                      <w:lang w:val="en-GB"/>
                    </w:rPr>
                    <w:t>4.25</w:t>
                  </w:r>
                  <w:r w:rsidRPr="00694F38">
                    <w:rPr>
                      <w:rFonts w:ascii="Arial" w:hAnsi="Arial" w:cs="Arial"/>
                      <w:sz w:val="24"/>
                      <w:lang w:val="en-GB"/>
                    </w:rPr>
                    <w:t>%</w:t>
                  </w:r>
                </w:p>
              </w:tc>
            </w:tr>
            <w:tr w:rsidR="00694F38" w:rsidRPr="00694F38" w:rsidTr="00694F38">
              <w:tc>
                <w:tcPr>
                  <w:tcW w:w="2508" w:type="dxa"/>
                </w:tcPr>
                <w:p w:rsidR="00694F38" w:rsidRPr="00694F38" w:rsidRDefault="00694F38" w:rsidP="00694F38">
                  <w:pPr>
                    <w:rPr>
                      <w:rFonts w:ascii="Arial" w:hAnsi="Arial" w:cs="Arial"/>
                      <w:sz w:val="24"/>
                      <w:lang w:val="en-GB"/>
                    </w:rPr>
                  </w:pPr>
                  <w:r w:rsidRPr="00694F38">
                    <w:rPr>
                      <w:rFonts w:ascii="Arial" w:hAnsi="Arial" w:cs="Arial"/>
                      <w:sz w:val="24"/>
                      <w:lang w:val="en-GB"/>
                    </w:rPr>
                    <w:t>Bad debts in general needs increase from the 1.32% -3% assumed in the plan</w:t>
                  </w:r>
                </w:p>
              </w:tc>
              <w:tc>
                <w:tcPr>
                  <w:tcW w:w="4927" w:type="dxa"/>
                </w:tcPr>
                <w:p w:rsidR="00694F38" w:rsidRPr="00694F38" w:rsidRDefault="00694F38" w:rsidP="00694F38">
                  <w:pPr>
                    <w:rPr>
                      <w:rFonts w:ascii="Arial" w:hAnsi="Arial" w:cs="Arial"/>
                      <w:sz w:val="24"/>
                      <w:lang w:val="en-GB"/>
                    </w:rPr>
                  </w:pPr>
                  <w:r w:rsidRPr="00694F38">
                    <w:rPr>
                      <w:rFonts w:ascii="Arial" w:hAnsi="Arial" w:cs="Arial"/>
                      <w:sz w:val="24"/>
                      <w:lang w:val="en-GB"/>
                    </w:rPr>
                    <w:t xml:space="preserve">Bad debts in general needs rise to </w:t>
                  </w:r>
                  <w:r w:rsidR="00374553">
                    <w:rPr>
                      <w:rFonts w:ascii="Arial" w:hAnsi="Arial" w:cs="Arial"/>
                      <w:sz w:val="24"/>
                      <w:lang w:val="en-GB"/>
                    </w:rPr>
                    <w:t>7</w:t>
                  </w:r>
                  <w:r w:rsidRPr="00694F38">
                    <w:rPr>
                      <w:rFonts w:ascii="Arial" w:hAnsi="Arial" w:cs="Arial"/>
                      <w:sz w:val="24"/>
                      <w:lang w:val="en-GB"/>
                    </w:rPr>
                    <w:t xml:space="preserve">% for 5 years </w:t>
                  </w:r>
                </w:p>
                <w:p w:rsidR="00694F38" w:rsidRPr="00694F38" w:rsidRDefault="00694F38" w:rsidP="00694F38">
                  <w:pPr>
                    <w:rPr>
                      <w:rFonts w:ascii="Arial" w:hAnsi="Arial" w:cs="Arial"/>
                      <w:sz w:val="24"/>
                      <w:lang w:val="en-GB"/>
                    </w:rPr>
                  </w:pPr>
                  <w:r w:rsidRPr="00694F38">
                    <w:rPr>
                      <w:rFonts w:ascii="Arial" w:hAnsi="Arial" w:cs="Arial"/>
                      <w:sz w:val="24"/>
                      <w:lang w:val="en-GB"/>
                    </w:rPr>
                    <w:t>And from 0% to 5% in shared ownership for 5 years</w:t>
                  </w:r>
                </w:p>
                <w:p w:rsidR="00694F38" w:rsidRPr="00694F38" w:rsidRDefault="00694F38" w:rsidP="00694F38">
                  <w:pPr>
                    <w:rPr>
                      <w:rFonts w:ascii="Arial" w:hAnsi="Arial" w:cs="Arial"/>
                      <w:sz w:val="24"/>
                      <w:lang w:val="en-GB"/>
                    </w:rPr>
                  </w:pPr>
                  <w:r w:rsidRPr="00694F38">
                    <w:rPr>
                      <w:rFonts w:ascii="Arial" w:hAnsi="Arial" w:cs="Arial"/>
                      <w:sz w:val="24"/>
                      <w:lang w:val="en-GB"/>
                    </w:rPr>
                    <w:t>Rent arrears double in first year</w:t>
                  </w:r>
                </w:p>
              </w:tc>
            </w:tr>
            <w:tr w:rsidR="00694F38" w:rsidRPr="00694F38" w:rsidTr="00694F38">
              <w:tc>
                <w:tcPr>
                  <w:tcW w:w="2508" w:type="dxa"/>
                </w:tcPr>
                <w:p w:rsidR="00694F38" w:rsidRPr="00694F38" w:rsidRDefault="00694F38" w:rsidP="00694F38">
                  <w:pPr>
                    <w:rPr>
                      <w:rFonts w:ascii="Arial" w:hAnsi="Arial" w:cs="Arial"/>
                      <w:sz w:val="24"/>
                      <w:highlight w:val="yellow"/>
                      <w:lang w:val="en-GB"/>
                    </w:rPr>
                  </w:pPr>
                  <w:r w:rsidRPr="00694F38">
                    <w:rPr>
                      <w:rFonts w:ascii="Arial" w:hAnsi="Arial" w:cs="Arial"/>
                      <w:sz w:val="24"/>
                      <w:lang w:val="en-GB"/>
                    </w:rPr>
                    <w:t xml:space="preserve">House prices drop in April 2016 and rise only gradually from there. </w:t>
                  </w:r>
                </w:p>
              </w:tc>
              <w:tc>
                <w:tcPr>
                  <w:tcW w:w="4927" w:type="dxa"/>
                </w:tcPr>
                <w:p w:rsidR="00694F38" w:rsidRPr="00694F38" w:rsidRDefault="00374553" w:rsidP="00694F38">
                  <w:pPr>
                    <w:rPr>
                      <w:rFonts w:ascii="Arial" w:hAnsi="Arial" w:cs="Arial"/>
                      <w:sz w:val="24"/>
                      <w:lang w:val="en-GB"/>
                    </w:rPr>
                  </w:pPr>
                  <w:r>
                    <w:rPr>
                      <w:rFonts w:ascii="Arial" w:hAnsi="Arial" w:cs="Arial"/>
                      <w:sz w:val="24"/>
                      <w:lang w:val="en-GB"/>
                    </w:rPr>
                    <w:t>House prices drop by 1</w:t>
                  </w:r>
                  <w:r w:rsidR="00694F38" w:rsidRPr="00694F38">
                    <w:rPr>
                      <w:rFonts w:ascii="Arial" w:hAnsi="Arial" w:cs="Arial"/>
                      <w:sz w:val="24"/>
                      <w:lang w:val="en-GB"/>
                    </w:rPr>
                    <w:t>5% and recover only gradually</w:t>
                  </w:r>
                </w:p>
              </w:tc>
            </w:tr>
            <w:tr w:rsidR="00694F38" w:rsidRPr="00694F38" w:rsidTr="00694F38">
              <w:tc>
                <w:tcPr>
                  <w:tcW w:w="2508" w:type="dxa"/>
                </w:tcPr>
                <w:p w:rsidR="00694F38" w:rsidRPr="00694F38" w:rsidRDefault="00694F38" w:rsidP="00694F38">
                  <w:pPr>
                    <w:rPr>
                      <w:rFonts w:ascii="Arial" w:hAnsi="Arial" w:cs="Arial"/>
                      <w:sz w:val="24"/>
                      <w:highlight w:val="yellow"/>
                      <w:lang w:val="en-GB"/>
                    </w:rPr>
                  </w:pPr>
                  <w:r w:rsidRPr="00694F38">
                    <w:rPr>
                      <w:rFonts w:ascii="Arial" w:hAnsi="Arial" w:cs="Arial"/>
                      <w:sz w:val="24"/>
                      <w:lang w:val="en-GB"/>
                    </w:rPr>
                    <w:t>Mortgage market restricted so takes longer to sell properties</w:t>
                  </w:r>
                </w:p>
              </w:tc>
              <w:tc>
                <w:tcPr>
                  <w:tcW w:w="4927" w:type="dxa"/>
                </w:tcPr>
                <w:p w:rsidR="00694F38" w:rsidRPr="00694F38" w:rsidRDefault="00694F38" w:rsidP="00694F38">
                  <w:pPr>
                    <w:rPr>
                      <w:rFonts w:ascii="Arial" w:hAnsi="Arial" w:cs="Arial"/>
                      <w:sz w:val="24"/>
                      <w:lang w:val="en-GB"/>
                    </w:rPr>
                  </w:pPr>
                  <w:r w:rsidRPr="00694F38">
                    <w:rPr>
                      <w:rFonts w:ascii="Arial" w:hAnsi="Arial" w:cs="Arial"/>
                      <w:sz w:val="24"/>
                      <w:lang w:val="en-GB"/>
                    </w:rPr>
                    <w:t xml:space="preserve">No staircasing for 5 years </w:t>
                  </w:r>
                </w:p>
                <w:p w:rsidR="00694F38" w:rsidRPr="00694F38" w:rsidRDefault="00694F38" w:rsidP="00694F38">
                  <w:pPr>
                    <w:rPr>
                      <w:rFonts w:ascii="Arial" w:hAnsi="Arial" w:cs="Arial"/>
                      <w:sz w:val="24"/>
                      <w:lang w:val="en-GB"/>
                    </w:rPr>
                  </w:pPr>
                </w:p>
                <w:p w:rsidR="00694F38" w:rsidRPr="00694F38" w:rsidRDefault="00694F38" w:rsidP="00694F38">
                  <w:pPr>
                    <w:rPr>
                      <w:rFonts w:ascii="Arial" w:hAnsi="Arial" w:cs="Arial"/>
                      <w:sz w:val="24"/>
                      <w:lang w:val="en-GB"/>
                    </w:rPr>
                  </w:pPr>
                  <w:r w:rsidRPr="00694F38">
                    <w:rPr>
                      <w:rFonts w:ascii="Arial" w:hAnsi="Arial" w:cs="Arial"/>
                      <w:sz w:val="24"/>
                      <w:lang w:val="en-GB"/>
                    </w:rPr>
                    <w:t>Asset sales halve</w:t>
                  </w:r>
                </w:p>
                <w:p w:rsidR="00694F38" w:rsidRPr="00694F38" w:rsidRDefault="00694F38" w:rsidP="00694F38">
                  <w:pPr>
                    <w:rPr>
                      <w:rFonts w:ascii="Arial" w:hAnsi="Arial" w:cs="Arial"/>
                      <w:sz w:val="24"/>
                      <w:lang w:val="en-GB"/>
                    </w:rPr>
                  </w:pPr>
                </w:p>
                <w:p w:rsidR="00694F38" w:rsidRPr="00694F38" w:rsidRDefault="00694F38" w:rsidP="00694F38">
                  <w:pPr>
                    <w:rPr>
                      <w:rFonts w:ascii="Arial" w:hAnsi="Arial" w:cs="Arial"/>
                      <w:sz w:val="24"/>
                      <w:lang w:val="en-GB"/>
                    </w:rPr>
                  </w:pPr>
                  <w:r w:rsidRPr="00694F38">
                    <w:rPr>
                      <w:rFonts w:ascii="Arial" w:hAnsi="Arial" w:cs="Arial"/>
                      <w:sz w:val="24"/>
                      <w:lang w:val="en-GB"/>
                    </w:rPr>
                    <w:t>40 new shared ownership units take a year to sell</w:t>
                  </w:r>
                </w:p>
                <w:p w:rsidR="00694F38" w:rsidRPr="00694F38" w:rsidRDefault="00694F38" w:rsidP="00694F38">
                  <w:pPr>
                    <w:rPr>
                      <w:rFonts w:ascii="Arial" w:hAnsi="Arial" w:cs="Arial"/>
                      <w:sz w:val="24"/>
                      <w:lang w:val="en-GB"/>
                    </w:rPr>
                  </w:pPr>
                </w:p>
                <w:p w:rsidR="00694F38" w:rsidRPr="00694F38" w:rsidRDefault="00694F38" w:rsidP="00694F38">
                  <w:pPr>
                    <w:rPr>
                      <w:rFonts w:ascii="Arial" w:hAnsi="Arial" w:cs="Arial"/>
                      <w:sz w:val="24"/>
                      <w:lang w:val="en-GB"/>
                    </w:rPr>
                  </w:pPr>
                  <w:r w:rsidRPr="00694F38">
                    <w:rPr>
                      <w:rFonts w:ascii="Arial" w:hAnsi="Arial" w:cs="Arial"/>
                      <w:sz w:val="24"/>
                      <w:lang w:val="en-GB"/>
                    </w:rPr>
                    <w:t xml:space="preserve">40 new shared ownership units transferred to rent to home buy. </w:t>
                  </w:r>
                </w:p>
                <w:p w:rsidR="00694F38" w:rsidRPr="00694F38" w:rsidRDefault="00694F38" w:rsidP="00694F38">
                  <w:pPr>
                    <w:rPr>
                      <w:rFonts w:ascii="Arial" w:hAnsi="Arial" w:cs="Arial"/>
                      <w:sz w:val="24"/>
                      <w:lang w:val="en-GB"/>
                    </w:rPr>
                  </w:pPr>
                </w:p>
                <w:p w:rsidR="00694F38" w:rsidRPr="00694F38" w:rsidRDefault="00694F38" w:rsidP="00694F38">
                  <w:pPr>
                    <w:rPr>
                      <w:rFonts w:ascii="Arial" w:hAnsi="Arial" w:cs="Arial"/>
                      <w:sz w:val="24"/>
                      <w:lang w:val="en-GB"/>
                    </w:rPr>
                  </w:pPr>
                  <w:r w:rsidRPr="00694F38">
                    <w:rPr>
                      <w:rFonts w:ascii="Arial" w:hAnsi="Arial" w:cs="Arial"/>
                      <w:sz w:val="24"/>
                      <w:lang w:val="en-GB"/>
                    </w:rPr>
                    <w:t>Outright sales schemes mothballed from completion until sales begin again from April 2021.</w:t>
                  </w:r>
                </w:p>
              </w:tc>
            </w:tr>
            <w:tr w:rsidR="00694F38" w:rsidRPr="00694F38" w:rsidTr="00694F38">
              <w:tc>
                <w:tcPr>
                  <w:tcW w:w="2508" w:type="dxa"/>
                </w:tcPr>
                <w:p w:rsidR="00694F38" w:rsidRPr="00694F38" w:rsidRDefault="00694F38" w:rsidP="00592B65">
                  <w:pPr>
                    <w:rPr>
                      <w:rFonts w:ascii="Arial" w:hAnsi="Arial" w:cs="Arial"/>
                      <w:sz w:val="24"/>
                      <w:lang w:val="en-GB"/>
                    </w:rPr>
                  </w:pPr>
                  <w:r w:rsidRPr="00694F38">
                    <w:rPr>
                      <w:rFonts w:ascii="Arial" w:hAnsi="Arial" w:cs="Arial"/>
                      <w:sz w:val="24"/>
                      <w:lang w:val="en-GB"/>
                    </w:rPr>
                    <w:t xml:space="preserve">A further round of rent reductions is imposed </w:t>
                  </w:r>
                </w:p>
              </w:tc>
              <w:tc>
                <w:tcPr>
                  <w:tcW w:w="4927" w:type="dxa"/>
                </w:tcPr>
                <w:p w:rsidR="00694F38" w:rsidRPr="00694F38" w:rsidRDefault="00694F38" w:rsidP="00592B65">
                  <w:pPr>
                    <w:rPr>
                      <w:rFonts w:ascii="Arial" w:hAnsi="Arial" w:cs="Arial"/>
                      <w:sz w:val="24"/>
                      <w:lang w:val="en-GB"/>
                    </w:rPr>
                  </w:pPr>
                  <w:r w:rsidRPr="00694F38">
                    <w:rPr>
                      <w:rFonts w:ascii="Arial" w:hAnsi="Arial" w:cs="Arial"/>
                      <w:sz w:val="24"/>
                      <w:lang w:val="en-GB"/>
                    </w:rPr>
                    <w:t>1% rent reductions applied to all general needs and supported housing rents for a further five years to 24/25</w:t>
                  </w:r>
                </w:p>
              </w:tc>
            </w:tr>
          </w:tbl>
          <w:p w:rsidR="00694F38" w:rsidRPr="00694F38" w:rsidRDefault="00694F38" w:rsidP="00694F38">
            <w:pPr>
              <w:rPr>
                <w:rFonts w:ascii="Arial" w:hAnsi="Arial"/>
                <w:sz w:val="24"/>
              </w:rPr>
            </w:pPr>
          </w:p>
          <w:p w:rsidR="000C59DE" w:rsidRDefault="00694F38" w:rsidP="00B81AA5">
            <w:pPr>
              <w:rPr>
                <w:rFonts w:ascii="Arial" w:hAnsi="Arial"/>
                <w:sz w:val="24"/>
              </w:rPr>
            </w:pPr>
            <w:r w:rsidRPr="00694F38">
              <w:rPr>
                <w:rFonts w:ascii="Arial" w:hAnsi="Arial"/>
                <w:sz w:val="24"/>
              </w:rPr>
              <w:t xml:space="preserve">Under this </w:t>
            </w:r>
            <w:r w:rsidRPr="009454F1">
              <w:rPr>
                <w:rFonts w:ascii="Arial" w:hAnsi="Arial"/>
                <w:sz w:val="24"/>
              </w:rPr>
              <w:t xml:space="preserve">version, </w:t>
            </w:r>
            <w:r w:rsidRPr="009454F1">
              <w:rPr>
                <w:rFonts w:ascii="Arial" w:hAnsi="Arial"/>
                <w:i/>
                <w:sz w:val="24"/>
              </w:rPr>
              <w:t>and without any mitigating actions</w:t>
            </w:r>
            <w:r w:rsidRPr="009454F1">
              <w:rPr>
                <w:rFonts w:ascii="Arial" w:hAnsi="Arial"/>
                <w:sz w:val="24"/>
              </w:rPr>
              <w:t xml:space="preserve">, we would run out of cash in </w:t>
            </w:r>
            <w:r w:rsidR="009454F1" w:rsidRPr="009454F1">
              <w:rPr>
                <w:rFonts w:ascii="Arial" w:hAnsi="Arial"/>
                <w:sz w:val="24"/>
              </w:rPr>
              <w:t>January 2017</w:t>
            </w:r>
            <w:r w:rsidR="009454F1">
              <w:rPr>
                <w:rFonts w:ascii="Arial" w:hAnsi="Arial"/>
                <w:sz w:val="24"/>
              </w:rPr>
              <w:t xml:space="preserve">. </w:t>
            </w:r>
            <w:r w:rsidR="009454F1">
              <w:t xml:space="preserve"> </w:t>
            </w:r>
            <w:r w:rsidR="009454F1" w:rsidRPr="009454F1">
              <w:rPr>
                <w:rFonts w:ascii="Arial" w:hAnsi="Arial"/>
                <w:sz w:val="24"/>
              </w:rPr>
              <w:t>If we could arrange a new £20m loan by then, it would only</w:t>
            </w:r>
            <w:r w:rsidR="009454F1">
              <w:rPr>
                <w:rFonts w:ascii="Arial" w:hAnsi="Arial"/>
                <w:sz w:val="24"/>
              </w:rPr>
              <w:t xml:space="preserve"> last</w:t>
            </w:r>
            <w:r w:rsidR="009454F1" w:rsidRPr="009454F1">
              <w:rPr>
                <w:rFonts w:ascii="Arial" w:hAnsi="Arial"/>
                <w:sz w:val="24"/>
              </w:rPr>
              <w:t xml:space="preserve"> until </w:t>
            </w:r>
            <w:r w:rsidR="00374553">
              <w:rPr>
                <w:rFonts w:ascii="Arial" w:hAnsi="Arial"/>
                <w:sz w:val="24"/>
              </w:rPr>
              <w:t>February</w:t>
            </w:r>
            <w:r w:rsidR="009454F1" w:rsidRPr="009454F1">
              <w:rPr>
                <w:rFonts w:ascii="Arial" w:hAnsi="Arial"/>
                <w:sz w:val="24"/>
              </w:rPr>
              <w:t xml:space="preserve"> 201</w:t>
            </w:r>
            <w:r w:rsidR="00374553">
              <w:rPr>
                <w:rFonts w:ascii="Arial" w:hAnsi="Arial"/>
                <w:sz w:val="24"/>
              </w:rPr>
              <w:t>9</w:t>
            </w:r>
            <w:r w:rsidR="009454F1" w:rsidRPr="009454F1">
              <w:rPr>
                <w:rFonts w:ascii="Arial" w:hAnsi="Arial"/>
                <w:sz w:val="24"/>
              </w:rPr>
              <w:t xml:space="preserve">, after which ever larger loans would be needed.  </w:t>
            </w:r>
            <w:r w:rsidR="00374553">
              <w:rPr>
                <w:rFonts w:ascii="Arial" w:hAnsi="Arial"/>
                <w:sz w:val="24"/>
              </w:rPr>
              <w:t>T</w:t>
            </w:r>
            <w:r w:rsidR="009454F1" w:rsidRPr="009454F1">
              <w:rPr>
                <w:rFonts w:ascii="Arial" w:hAnsi="Arial"/>
                <w:sz w:val="24"/>
              </w:rPr>
              <w:t xml:space="preserve">he interest cover ratio </w:t>
            </w:r>
            <w:r w:rsidR="00374553">
              <w:rPr>
                <w:rFonts w:ascii="Arial" w:hAnsi="Arial"/>
                <w:sz w:val="24"/>
              </w:rPr>
              <w:t xml:space="preserve">does not break (although it dips to 116% </w:t>
            </w:r>
            <w:r w:rsidR="009454F1" w:rsidRPr="009454F1">
              <w:rPr>
                <w:rFonts w:ascii="Arial" w:hAnsi="Arial"/>
                <w:sz w:val="24"/>
              </w:rPr>
              <w:t>in 20</w:t>
            </w:r>
            <w:r w:rsidR="00374553">
              <w:rPr>
                <w:rFonts w:ascii="Arial" w:hAnsi="Arial"/>
                <w:sz w:val="24"/>
              </w:rPr>
              <w:t>20/21)</w:t>
            </w:r>
            <w:r w:rsidR="009454F1" w:rsidRPr="009454F1">
              <w:rPr>
                <w:rFonts w:ascii="Arial" w:hAnsi="Arial"/>
                <w:sz w:val="24"/>
              </w:rPr>
              <w:t xml:space="preserve">. The higher gearing ratio (which rises to 70% if HBOS is repaid) </w:t>
            </w:r>
            <w:r w:rsidR="009454F1">
              <w:rPr>
                <w:rFonts w:ascii="Arial" w:hAnsi="Arial"/>
                <w:sz w:val="24"/>
              </w:rPr>
              <w:t>would break in March 202</w:t>
            </w:r>
            <w:r w:rsidR="00374553">
              <w:rPr>
                <w:rFonts w:ascii="Arial" w:hAnsi="Arial"/>
                <w:sz w:val="24"/>
              </w:rPr>
              <w:t>9</w:t>
            </w:r>
            <w:r w:rsidR="009454F1" w:rsidRPr="009454F1">
              <w:rPr>
                <w:rFonts w:ascii="Arial" w:hAnsi="Arial"/>
                <w:sz w:val="24"/>
              </w:rPr>
              <w:t xml:space="preserve">.  </w:t>
            </w:r>
          </w:p>
          <w:p w:rsidR="0071443D" w:rsidRDefault="0071443D" w:rsidP="00B81AA5">
            <w:pPr>
              <w:rPr>
                <w:rFonts w:ascii="Arial" w:hAnsi="Arial"/>
                <w:sz w:val="24"/>
              </w:rPr>
            </w:pPr>
          </w:p>
        </w:tc>
      </w:tr>
      <w:tr w:rsidR="000C59DE" w:rsidTr="00694F38">
        <w:tc>
          <w:tcPr>
            <w:tcW w:w="606" w:type="dxa"/>
          </w:tcPr>
          <w:p w:rsidR="000C59DE" w:rsidRDefault="009454F1" w:rsidP="008D250B">
            <w:pPr>
              <w:rPr>
                <w:rFonts w:ascii="Arial" w:hAnsi="Arial"/>
                <w:sz w:val="24"/>
              </w:rPr>
            </w:pPr>
            <w:r>
              <w:rPr>
                <w:rFonts w:ascii="Arial" w:hAnsi="Arial"/>
                <w:sz w:val="24"/>
              </w:rPr>
              <w:t>3.</w:t>
            </w:r>
            <w:r w:rsidR="00963BF9">
              <w:rPr>
                <w:rFonts w:ascii="Arial" w:hAnsi="Arial"/>
                <w:sz w:val="24"/>
              </w:rPr>
              <w:t>5</w:t>
            </w:r>
          </w:p>
        </w:tc>
        <w:tc>
          <w:tcPr>
            <w:tcW w:w="7724" w:type="dxa"/>
          </w:tcPr>
          <w:p w:rsidR="007137C8" w:rsidRDefault="009454F1" w:rsidP="009454F1">
            <w:pPr>
              <w:rPr>
                <w:rFonts w:ascii="Arial" w:hAnsi="Arial"/>
                <w:sz w:val="24"/>
              </w:rPr>
            </w:pPr>
            <w:r w:rsidRPr="009454F1">
              <w:rPr>
                <w:rFonts w:ascii="Arial" w:hAnsi="Arial"/>
                <w:b/>
                <w:sz w:val="24"/>
              </w:rPr>
              <w:t>Possible mitigating actions</w:t>
            </w:r>
            <w:r>
              <w:rPr>
                <w:rFonts w:ascii="Arial" w:hAnsi="Arial"/>
                <w:sz w:val="24"/>
              </w:rPr>
              <w:t xml:space="preserve"> </w:t>
            </w:r>
          </w:p>
          <w:p w:rsidR="007137C8" w:rsidRDefault="007137C8" w:rsidP="009454F1">
            <w:pPr>
              <w:rPr>
                <w:rFonts w:ascii="Arial" w:hAnsi="Arial"/>
                <w:sz w:val="24"/>
              </w:rPr>
            </w:pPr>
          </w:p>
          <w:p w:rsidR="00566B31" w:rsidRDefault="007137C8" w:rsidP="009454F1">
            <w:pPr>
              <w:rPr>
                <w:rFonts w:ascii="Arial" w:hAnsi="Arial"/>
                <w:sz w:val="24"/>
              </w:rPr>
            </w:pPr>
            <w:r>
              <w:rPr>
                <w:rFonts w:ascii="Arial" w:hAnsi="Arial"/>
                <w:sz w:val="24"/>
              </w:rPr>
              <w:t xml:space="preserve">It should be emphasised that our first line of attack in meeting the new and more challenging </w:t>
            </w:r>
            <w:r w:rsidR="003658D7">
              <w:rPr>
                <w:rFonts w:ascii="Arial" w:hAnsi="Arial"/>
                <w:sz w:val="24"/>
              </w:rPr>
              <w:t xml:space="preserve">operating environment would be to redouble our efforts in respect of our Value for Money and efficiency agenda. We have a 3 year VFM Strategy and we will continue to push on this agenda. This subject is covered in more detail elsewhere in the agenda. </w:t>
            </w:r>
          </w:p>
          <w:p w:rsidR="00566B31" w:rsidRDefault="00566B31" w:rsidP="009454F1">
            <w:pPr>
              <w:rPr>
                <w:rFonts w:ascii="Arial" w:hAnsi="Arial"/>
                <w:sz w:val="24"/>
              </w:rPr>
            </w:pPr>
          </w:p>
          <w:p w:rsidR="007137C8" w:rsidRDefault="00566B31" w:rsidP="009454F1">
            <w:pPr>
              <w:rPr>
                <w:rFonts w:ascii="Arial" w:hAnsi="Arial"/>
                <w:sz w:val="24"/>
              </w:rPr>
            </w:pPr>
            <w:r>
              <w:rPr>
                <w:rFonts w:ascii="Arial" w:hAnsi="Arial"/>
                <w:sz w:val="24"/>
              </w:rPr>
              <w:t xml:space="preserve">If further savings are required to prevent Hexagon failing to acheive to any of the ratios agreed by the Board in defining its financial risk appetite, it is clear from the discussions held so far at Directors Group that there is a distinction to be made in respect of some of the business critical “must do” workplan items with other more “nice to do” items. </w:t>
            </w:r>
          </w:p>
          <w:p w:rsidR="00566B31" w:rsidRDefault="00566B31" w:rsidP="009454F1">
            <w:pPr>
              <w:rPr>
                <w:rFonts w:ascii="Arial" w:hAnsi="Arial"/>
                <w:sz w:val="24"/>
              </w:rPr>
            </w:pPr>
          </w:p>
          <w:p w:rsidR="003C01D6" w:rsidRDefault="00566B31" w:rsidP="009454F1">
            <w:pPr>
              <w:rPr>
                <w:rFonts w:ascii="Arial" w:hAnsi="Arial"/>
                <w:sz w:val="24"/>
              </w:rPr>
            </w:pPr>
            <w:r>
              <w:rPr>
                <w:rFonts w:ascii="Arial" w:hAnsi="Arial"/>
                <w:sz w:val="24"/>
              </w:rPr>
              <w:t xml:space="preserve">To take two clear examples, it would be folly to make too deep a cut to  core areas such as rent collection or essential responsive repairs. By the same token, some of the work we do flows directly from our </w:t>
            </w:r>
            <w:r w:rsidR="001E4073">
              <w:rPr>
                <w:rFonts w:ascii="Arial" w:hAnsi="Arial"/>
                <w:sz w:val="24"/>
              </w:rPr>
              <w:t>healthy</w:t>
            </w:r>
            <w:r>
              <w:rPr>
                <w:rFonts w:ascii="Arial" w:hAnsi="Arial"/>
                <w:sz w:val="24"/>
              </w:rPr>
              <w:t xml:space="preserve"> surpluses and this includes some of our Community Investment activities. Whilst no one should be in any doubt as to how we value this work, </w:t>
            </w:r>
            <w:r w:rsidR="003C01D6">
              <w:rPr>
                <w:rFonts w:ascii="Arial" w:hAnsi="Arial"/>
                <w:sz w:val="24"/>
              </w:rPr>
              <w:t xml:space="preserve">it is simply a fact that </w:t>
            </w:r>
            <w:r>
              <w:rPr>
                <w:rFonts w:ascii="Arial" w:hAnsi="Arial"/>
                <w:sz w:val="24"/>
              </w:rPr>
              <w:t xml:space="preserve">some of this work is not part of our core housing function, nor is it a regulatory requirement. Indeed some of the recent </w:t>
            </w:r>
            <w:r w:rsidR="003C01D6">
              <w:rPr>
                <w:rFonts w:ascii="Arial" w:hAnsi="Arial"/>
                <w:sz w:val="24"/>
              </w:rPr>
              <w:t>critical</w:t>
            </w:r>
            <w:r>
              <w:rPr>
                <w:rFonts w:ascii="Arial" w:hAnsi="Arial"/>
                <w:sz w:val="24"/>
              </w:rPr>
              <w:t xml:space="preserve"> press coverage of HA’s has highlighted some of the</w:t>
            </w:r>
            <w:r w:rsidR="003C01D6">
              <w:rPr>
                <w:rFonts w:ascii="Arial" w:hAnsi="Arial"/>
                <w:sz w:val="24"/>
              </w:rPr>
              <w:t>ir</w:t>
            </w:r>
            <w:r>
              <w:rPr>
                <w:rFonts w:ascii="Arial" w:hAnsi="Arial"/>
                <w:sz w:val="24"/>
              </w:rPr>
              <w:t xml:space="preserve"> C</w:t>
            </w:r>
            <w:r w:rsidR="003C01D6">
              <w:rPr>
                <w:rFonts w:ascii="Arial" w:hAnsi="Arial"/>
                <w:sz w:val="24"/>
              </w:rPr>
              <w:t xml:space="preserve">ommunity Development activities. </w:t>
            </w:r>
          </w:p>
          <w:p w:rsidR="003C01D6" w:rsidRDefault="003C01D6" w:rsidP="009454F1">
            <w:pPr>
              <w:rPr>
                <w:rFonts w:ascii="Arial" w:hAnsi="Arial"/>
                <w:sz w:val="24"/>
              </w:rPr>
            </w:pPr>
          </w:p>
          <w:p w:rsidR="00566B31" w:rsidRDefault="001E4073" w:rsidP="009454F1">
            <w:pPr>
              <w:rPr>
                <w:rFonts w:ascii="Arial" w:hAnsi="Arial"/>
                <w:sz w:val="24"/>
              </w:rPr>
            </w:pPr>
            <w:r>
              <w:rPr>
                <w:rFonts w:ascii="Arial" w:hAnsi="Arial"/>
                <w:sz w:val="24"/>
              </w:rPr>
              <w:t>What</w:t>
            </w:r>
            <w:r w:rsidR="003C01D6">
              <w:rPr>
                <w:rFonts w:ascii="Arial" w:hAnsi="Arial"/>
                <w:sz w:val="24"/>
              </w:rPr>
              <w:t xml:space="preserve"> is clear is that in moving forward, the Directors and the Board will need to be nimble and fleet afoot in responding to  emerging financial challenges. In so doing, distinguishing between core/essential </w:t>
            </w:r>
            <w:r>
              <w:rPr>
                <w:rFonts w:ascii="Arial" w:hAnsi="Arial"/>
                <w:sz w:val="24"/>
              </w:rPr>
              <w:t>vs. Desirable</w:t>
            </w:r>
            <w:r w:rsidR="003C01D6">
              <w:rPr>
                <w:rFonts w:ascii="Arial" w:hAnsi="Arial"/>
                <w:sz w:val="24"/>
              </w:rPr>
              <w:t xml:space="preserve"> but non- essential activities may become increasingly important. </w:t>
            </w:r>
            <w:r w:rsidR="00566B31">
              <w:rPr>
                <w:rFonts w:ascii="Arial" w:hAnsi="Arial"/>
                <w:sz w:val="24"/>
              </w:rPr>
              <w:t xml:space="preserve">  </w:t>
            </w:r>
          </w:p>
          <w:p w:rsidR="009454F1" w:rsidRDefault="009454F1" w:rsidP="009454F1">
            <w:pPr>
              <w:rPr>
                <w:rFonts w:ascii="Arial" w:hAnsi="Arial"/>
                <w:sz w:val="24"/>
              </w:rPr>
            </w:pPr>
            <w:r>
              <w:rPr>
                <w:rFonts w:ascii="Arial" w:hAnsi="Arial"/>
                <w:sz w:val="24"/>
              </w:rPr>
              <w:t xml:space="preserve"> </w:t>
            </w:r>
          </w:p>
          <w:p w:rsidR="009454F1" w:rsidRPr="009454F1" w:rsidRDefault="009454F1" w:rsidP="009454F1">
            <w:pPr>
              <w:rPr>
                <w:rFonts w:ascii="Arial" w:hAnsi="Arial"/>
                <w:sz w:val="24"/>
              </w:rPr>
            </w:pPr>
            <w:r w:rsidRPr="009454F1">
              <w:rPr>
                <w:rFonts w:ascii="Arial" w:hAnsi="Arial"/>
                <w:sz w:val="24"/>
              </w:rPr>
              <w:t xml:space="preserve">Under this scenario (which is not a forecast, merely a scenario to illustrate what it would take for Hexagon to fail financially) the Board would have to take swift action to prevent the organisation running out of cash and </w:t>
            </w:r>
            <w:r w:rsidR="00374553">
              <w:rPr>
                <w:rFonts w:ascii="Arial" w:hAnsi="Arial"/>
                <w:sz w:val="24"/>
              </w:rPr>
              <w:t xml:space="preserve">eventually </w:t>
            </w:r>
            <w:r w:rsidRPr="009454F1">
              <w:rPr>
                <w:rFonts w:ascii="Arial" w:hAnsi="Arial"/>
                <w:sz w:val="24"/>
              </w:rPr>
              <w:t xml:space="preserve">breaking the </w:t>
            </w:r>
            <w:r w:rsidR="00374553">
              <w:rPr>
                <w:rFonts w:ascii="Arial" w:hAnsi="Arial"/>
                <w:sz w:val="24"/>
              </w:rPr>
              <w:t>gearing</w:t>
            </w:r>
            <w:r w:rsidRPr="009454F1">
              <w:rPr>
                <w:rFonts w:ascii="Arial" w:hAnsi="Arial"/>
                <w:sz w:val="24"/>
              </w:rPr>
              <w:t xml:space="preserve"> covenant. This would mean looking at options which would be unpalatable in normal circumstances. The Board could: </w:t>
            </w:r>
          </w:p>
          <w:p w:rsidR="009454F1" w:rsidRPr="009454F1" w:rsidRDefault="009454F1" w:rsidP="009454F1">
            <w:pPr>
              <w:rPr>
                <w:rFonts w:ascii="Arial" w:hAnsi="Arial"/>
                <w:sz w:val="24"/>
              </w:rPr>
            </w:pPr>
          </w:p>
          <w:p w:rsidR="009454F1" w:rsidRPr="009454F1" w:rsidRDefault="009454F1" w:rsidP="009454F1">
            <w:pPr>
              <w:rPr>
                <w:rFonts w:ascii="Arial" w:hAnsi="Arial"/>
                <w:sz w:val="24"/>
              </w:rPr>
            </w:pPr>
            <w:r w:rsidRPr="009454F1">
              <w:rPr>
                <w:rFonts w:ascii="Arial" w:hAnsi="Arial"/>
                <w:sz w:val="24"/>
              </w:rPr>
              <w:t>•</w:t>
            </w:r>
            <w:r w:rsidRPr="009454F1">
              <w:rPr>
                <w:rFonts w:ascii="Arial" w:hAnsi="Arial"/>
                <w:sz w:val="24"/>
              </w:rPr>
              <w:tab/>
              <w:t>Cancel any uncommitted outright sales schemes</w:t>
            </w:r>
          </w:p>
          <w:p w:rsidR="009454F1" w:rsidRPr="009454F1" w:rsidRDefault="009454F1" w:rsidP="009454F1">
            <w:pPr>
              <w:rPr>
                <w:rFonts w:ascii="Arial" w:hAnsi="Arial"/>
                <w:sz w:val="24"/>
              </w:rPr>
            </w:pPr>
            <w:r w:rsidRPr="009454F1">
              <w:rPr>
                <w:rFonts w:ascii="Arial" w:hAnsi="Arial"/>
                <w:sz w:val="24"/>
              </w:rPr>
              <w:t>•</w:t>
            </w:r>
            <w:r w:rsidRPr="009454F1">
              <w:rPr>
                <w:rFonts w:ascii="Arial" w:hAnsi="Arial"/>
                <w:sz w:val="24"/>
              </w:rPr>
              <w:tab/>
              <w:t>Cancel the 2 uncommitted shared ownership schemes</w:t>
            </w:r>
          </w:p>
          <w:p w:rsidR="009454F1" w:rsidRPr="009454F1" w:rsidRDefault="009454F1" w:rsidP="009454F1">
            <w:pPr>
              <w:rPr>
                <w:rFonts w:ascii="Arial" w:hAnsi="Arial"/>
                <w:sz w:val="24"/>
              </w:rPr>
            </w:pPr>
            <w:r w:rsidRPr="009454F1">
              <w:rPr>
                <w:rFonts w:ascii="Arial" w:hAnsi="Arial"/>
                <w:sz w:val="24"/>
              </w:rPr>
              <w:t>•</w:t>
            </w:r>
            <w:r w:rsidRPr="009454F1">
              <w:rPr>
                <w:rFonts w:ascii="Arial" w:hAnsi="Arial"/>
                <w:sz w:val="24"/>
              </w:rPr>
              <w:tab/>
              <w:t>Try to arrange a sale and leaseback of the main office</w:t>
            </w:r>
          </w:p>
          <w:p w:rsidR="009454F1" w:rsidRPr="009454F1" w:rsidRDefault="009454F1" w:rsidP="009454F1">
            <w:pPr>
              <w:rPr>
                <w:rFonts w:ascii="Arial" w:hAnsi="Arial"/>
                <w:sz w:val="24"/>
              </w:rPr>
            </w:pPr>
            <w:r w:rsidRPr="009454F1">
              <w:rPr>
                <w:rFonts w:ascii="Arial" w:hAnsi="Arial"/>
                <w:sz w:val="24"/>
              </w:rPr>
              <w:t>•</w:t>
            </w:r>
            <w:r w:rsidRPr="009454F1">
              <w:rPr>
                <w:rFonts w:ascii="Arial" w:hAnsi="Arial"/>
                <w:sz w:val="24"/>
              </w:rPr>
              <w:tab/>
              <w:t xml:space="preserve">Reduce stock investment spending </w:t>
            </w:r>
          </w:p>
          <w:p w:rsidR="009454F1" w:rsidRPr="009454F1" w:rsidRDefault="009454F1" w:rsidP="009454F1">
            <w:pPr>
              <w:rPr>
                <w:rFonts w:ascii="Arial" w:hAnsi="Arial"/>
                <w:sz w:val="24"/>
              </w:rPr>
            </w:pPr>
            <w:r w:rsidRPr="009454F1">
              <w:rPr>
                <w:rFonts w:ascii="Arial" w:hAnsi="Arial"/>
                <w:sz w:val="24"/>
              </w:rPr>
              <w:t>•</w:t>
            </w:r>
            <w:r w:rsidRPr="009454F1">
              <w:rPr>
                <w:rFonts w:ascii="Arial" w:hAnsi="Arial"/>
                <w:sz w:val="24"/>
              </w:rPr>
              <w:tab/>
              <w:t>Skip cyclical maintenance for a year</w:t>
            </w:r>
          </w:p>
          <w:p w:rsidR="009454F1" w:rsidRPr="009454F1" w:rsidRDefault="009454F1" w:rsidP="009454F1">
            <w:pPr>
              <w:rPr>
                <w:rFonts w:ascii="Arial" w:hAnsi="Arial"/>
                <w:sz w:val="24"/>
              </w:rPr>
            </w:pPr>
            <w:r w:rsidRPr="009454F1">
              <w:rPr>
                <w:rFonts w:ascii="Arial" w:hAnsi="Arial"/>
                <w:sz w:val="24"/>
              </w:rPr>
              <w:t>•</w:t>
            </w:r>
            <w:r w:rsidRPr="009454F1">
              <w:rPr>
                <w:rFonts w:ascii="Arial" w:hAnsi="Arial"/>
                <w:sz w:val="24"/>
              </w:rPr>
              <w:tab/>
              <w:t>Cut IT capital spend</w:t>
            </w:r>
          </w:p>
          <w:p w:rsidR="009454F1" w:rsidRPr="009454F1" w:rsidRDefault="009454F1" w:rsidP="009454F1">
            <w:pPr>
              <w:rPr>
                <w:rFonts w:ascii="Arial" w:hAnsi="Arial"/>
                <w:sz w:val="24"/>
              </w:rPr>
            </w:pPr>
            <w:r w:rsidRPr="009454F1">
              <w:rPr>
                <w:rFonts w:ascii="Arial" w:hAnsi="Arial"/>
                <w:sz w:val="24"/>
              </w:rPr>
              <w:t>•</w:t>
            </w:r>
            <w:r w:rsidRPr="009454F1">
              <w:rPr>
                <w:rFonts w:ascii="Arial" w:hAnsi="Arial"/>
                <w:sz w:val="24"/>
              </w:rPr>
              <w:tab/>
              <w:t xml:space="preserve">Increase asset sales in the teeth of a difficult property market </w:t>
            </w:r>
          </w:p>
          <w:p w:rsidR="009454F1" w:rsidRPr="009454F1" w:rsidRDefault="009454F1" w:rsidP="009454F1">
            <w:pPr>
              <w:rPr>
                <w:rFonts w:ascii="Arial" w:hAnsi="Arial"/>
                <w:sz w:val="24"/>
              </w:rPr>
            </w:pPr>
            <w:r w:rsidRPr="009454F1">
              <w:rPr>
                <w:rFonts w:ascii="Arial" w:hAnsi="Arial"/>
                <w:sz w:val="24"/>
              </w:rPr>
              <w:t>•</w:t>
            </w:r>
            <w:r w:rsidRPr="009454F1">
              <w:rPr>
                <w:rFonts w:ascii="Arial" w:hAnsi="Arial"/>
                <w:sz w:val="24"/>
              </w:rPr>
              <w:tab/>
              <w:t>Close the community investment team</w:t>
            </w:r>
          </w:p>
          <w:p w:rsidR="009454F1" w:rsidRDefault="009454F1" w:rsidP="009454F1">
            <w:pPr>
              <w:rPr>
                <w:rFonts w:ascii="Arial" w:hAnsi="Arial"/>
                <w:sz w:val="24"/>
              </w:rPr>
            </w:pPr>
            <w:r w:rsidRPr="009454F1">
              <w:rPr>
                <w:rFonts w:ascii="Arial" w:hAnsi="Arial"/>
                <w:sz w:val="24"/>
              </w:rPr>
              <w:t>•</w:t>
            </w:r>
            <w:r w:rsidRPr="009454F1">
              <w:rPr>
                <w:rFonts w:ascii="Arial" w:hAnsi="Arial"/>
                <w:sz w:val="24"/>
              </w:rPr>
              <w:tab/>
            </w:r>
            <w:r w:rsidR="003C01D6">
              <w:rPr>
                <w:rFonts w:ascii="Arial" w:hAnsi="Arial"/>
                <w:sz w:val="24"/>
              </w:rPr>
              <w:t xml:space="preserve">Reductions to staffing levels in </w:t>
            </w:r>
            <w:r w:rsidRPr="009454F1">
              <w:rPr>
                <w:rFonts w:ascii="Arial" w:hAnsi="Arial"/>
                <w:sz w:val="24"/>
              </w:rPr>
              <w:t>resident involvement team</w:t>
            </w:r>
          </w:p>
          <w:p w:rsidR="006D14A4" w:rsidRPr="000B2690" w:rsidRDefault="000B2690" w:rsidP="000B2690">
            <w:pPr>
              <w:pStyle w:val="ListParagraph"/>
              <w:numPr>
                <w:ilvl w:val="0"/>
                <w:numId w:val="4"/>
              </w:numPr>
              <w:rPr>
                <w:rFonts w:ascii="Arial" w:hAnsi="Arial"/>
                <w:sz w:val="24"/>
              </w:rPr>
            </w:pPr>
            <w:r>
              <w:rPr>
                <w:rFonts w:ascii="Arial" w:hAnsi="Arial"/>
                <w:sz w:val="24"/>
              </w:rPr>
              <w:t xml:space="preserve">     Faster r</w:t>
            </w:r>
            <w:r w:rsidR="006D14A4" w:rsidRPr="000B2690">
              <w:rPr>
                <w:rFonts w:ascii="Arial" w:hAnsi="Arial"/>
                <w:sz w:val="24"/>
              </w:rPr>
              <w:t>eductions to staffing levels in development team</w:t>
            </w:r>
          </w:p>
          <w:p w:rsidR="000C59DE" w:rsidRDefault="009454F1" w:rsidP="009454F1">
            <w:pPr>
              <w:rPr>
                <w:rFonts w:ascii="Arial" w:hAnsi="Arial"/>
                <w:sz w:val="24"/>
              </w:rPr>
            </w:pPr>
            <w:r w:rsidRPr="009454F1">
              <w:rPr>
                <w:rFonts w:ascii="Arial" w:hAnsi="Arial"/>
                <w:sz w:val="24"/>
              </w:rPr>
              <w:t>•</w:t>
            </w:r>
            <w:r w:rsidRPr="009454F1">
              <w:rPr>
                <w:rFonts w:ascii="Arial" w:hAnsi="Arial"/>
                <w:sz w:val="24"/>
              </w:rPr>
              <w:tab/>
              <w:t>Sell the sundry debts to a debt factor, and explore whether it is possible to do the same with rent arrears.</w:t>
            </w:r>
          </w:p>
          <w:p w:rsidR="006D14A4" w:rsidRPr="000B2690" w:rsidRDefault="000B2690" w:rsidP="000B2690">
            <w:pPr>
              <w:pStyle w:val="ListParagraph"/>
              <w:numPr>
                <w:ilvl w:val="0"/>
                <w:numId w:val="4"/>
              </w:numPr>
              <w:rPr>
                <w:rFonts w:ascii="Arial" w:hAnsi="Arial"/>
                <w:sz w:val="24"/>
              </w:rPr>
            </w:pPr>
            <w:r>
              <w:rPr>
                <w:rFonts w:ascii="Arial" w:hAnsi="Arial"/>
                <w:sz w:val="24"/>
              </w:rPr>
              <w:t xml:space="preserve">     </w:t>
            </w:r>
            <w:r w:rsidR="006D14A4" w:rsidRPr="000B2690">
              <w:rPr>
                <w:rFonts w:ascii="Arial" w:hAnsi="Arial"/>
                <w:sz w:val="24"/>
              </w:rPr>
              <w:t>Cap salary increases at CPI</w:t>
            </w:r>
          </w:p>
          <w:p w:rsidR="003D2C82" w:rsidRDefault="003D2C82" w:rsidP="009454F1">
            <w:pPr>
              <w:rPr>
                <w:rFonts w:ascii="Arial" w:hAnsi="Arial"/>
                <w:sz w:val="24"/>
              </w:rPr>
            </w:pPr>
          </w:p>
          <w:p w:rsidR="003D2C82" w:rsidRDefault="003D2C82" w:rsidP="009454F1">
            <w:pPr>
              <w:rPr>
                <w:rFonts w:ascii="Arial" w:hAnsi="Arial"/>
                <w:sz w:val="24"/>
              </w:rPr>
            </w:pPr>
            <w:r>
              <w:rPr>
                <w:rFonts w:ascii="Arial" w:hAnsi="Arial"/>
                <w:sz w:val="24"/>
              </w:rPr>
              <w:t xml:space="preserve">A working group meeting to look at developing </w:t>
            </w:r>
            <w:r w:rsidR="00364395">
              <w:rPr>
                <w:rFonts w:ascii="Arial" w:hAnsi="Arial"/>
                <w:sz w:val="24"/>
              </w:rPr>
              <w:t xml:space="preserve">a </w:t>
            </w:r>
            <w:r>
              <w:rPr>
                <w:rFonts w:ascii="Arial" w:hAnsi="Arial"/>
                <w:sz w:val="24"/>
              </w:rPr>
              <w:t xml:space="preserve">mitigation plan in July 2015 was deferred following the Summer budget announcements. It is recommended that this group </w:t>
            </w:r>
            <w:r w:rsidR="00364395">
              <w:rPr>
                <w:rFonts w:ascii="Arial" w:hAnsi="Arial"/>
                <w:sz w:val="24"/>
              </w:rPr>
              <w:t xml:space="preserve">meet </w:t>
            </w:r>
            <w:r>
              <w:rPr>
                <w:rFonts w:ascii="Arial" w:hAnsi="Arial"/>
                <w:sz w:val="24"/>
              </w:rPr>
              <w:t xml:space="preserve">during late October/ early November to prepare a mitigation plan for the November Board meeting. </w:t>
            </w:r>
          </w:p>
          <w:p w:rsidR="0071443D" w:rsidRDefault="0071443D" w:rsidP="009454F1">
            <w:pPr>
              <w:rPr>
                <w:rFonts w:ascii="Arial" w:hAnsi="Arial"/>
                <w:sz w:val="24"/>
              </w:rPr>
            </w:pPr>
          </w:p>
        </w:tc>
      </w:tr>
      <w:tr w:rsidR="000C59DE" w:rsidTr="00694F38">
        <w:tc>
          <w:tcPr>
            <w:tcW w:w="606" w:type="dxa"/>
          </w:tcPr>
          <w:p w:rsidR="000C59DE" w:rsidRPr="000E160F" w:rsidRDefault="000E160F">
            <w:pPr>
              <w:rPr>
                <w:rFonts w:ascii="Arial" w:hAnsi="Arial"/>
                <w:b/>
                <w:i/>
                <w:sz w:val="28"/>
              </w:rPr>
            </w:pPr>
            <w:r w:rsidRPr="000E160F">
              <w:rPr>
                <w:rFonts w:ascii="Arial" w:hAnsi="Arial"/>
                <w:b/>
                <w:i/>
                <w:sz w:val="28"/>
              </w:rPr>
              <w:t>4.0</w:t>
            </w:r>
          </w:p>
        </w:tc>
        <w:tc>
          <w:tcPr>
            <w:tcW w:w="7724" w:type="dxa"/>
          </w:tcPr>
          <w:p w:rsidR="000C59DE" w:rsidRDefault="000E160F">
            <w:pPr>
              <w:rPr>
                <w:rFonts w:ascii="Arial" w:hAnsi="Arial"/>
                <w:b/>
                <w:i/>
                <w:sz w:val="28"/>
              </w:rPr>
            </w:pPr>
            <w:r w:rsidRPr="000E160F">
              <w:rPr>
                <w:rFonts w:ascii="Arial" w:hAnsi="Arial"/>
                <w:b/>
                <w:i/>
                <w:sz w:val="28"/>
              </w:rPr>
              <w:t>Translation to the HCA model</w:t>
            </w:r>
          </w:p>
          <w:p w:rsidR="0071443D" w:rsidRPr="000E160F" w:rsidRDefault="0071443D">
            <w:pPr>
              <w:rPr>
                <w:rFonts w:ascii="Arial" w:hAnsi="Arial"/>
                <w:b/>
                <w:i/>
                <w:sz w:val="28"/>
              </w:rPr>
            </w:pPr>
          </w:p>
        </w:tc>
      </w:tr>
      <w:tr w:rsidR="000C59DE" w:rsidTr="00694F38">
        <w:tc>
          <w:tcPr>
            <w:tcW w:w="606" w:type="dxa"/>
          </w:tcPr>
          <w:p w:rsidR="000C59DE" w:rsidRDefault="000C59DE">
            <w:pPr>
              <w:rPr>
                <w:rFonts w:ascii="Arial" w:hAnsi="Arial"/>
                <w:sz w:val="24"/>
              </w:rPr>
            </w:pPr>
          </w:p>
        </w:tc>
        <w:tc>
          <w:tcPr>
            <w:tcW w:w="7724" w:type="dxa"/>
          </w:tcPr>
          <w:p w:rsidR="000C59DE" w:rsidRDefault="00364395">
            <w:pPr>
              <w:rPr>
                <w:rFonts w:ascii="Arial" w:hAnsi="Arial"/>
                <w:sz w:val="24"/>
              </w:rPr>
            </w:pPr>
            <w:r w:rsidRPr="00364395">
              <w:rPr>
                <w:rFonts w:ascii="Arial" w:hAnsi="Arial"/>
                <w:sz w:val="24"/>
              </w:rPr>
              <w:t xml:space="preserve">The HCA require a FFR (Financial Forecast Return). If the Board approves the base case business plan recommended in this report, the plan will be translated into the FFR in time for submission by the deadline of 30 </w:t>
            </w:r>
            <w:r w:rsidR="003C01D6">
              <w:rPr>
                <w:rFonts w:ascii="Arial" w:hAnsi="Arial"/>
                <w:sz w:val="24"/>
              </w:rPr>
              <w:t>October.</w:t>
            </w:r>
            <w:r w:rsidRPr="00364395">
              <w:rPr>
                <w:rFonts w:ascii="Arial" w:hAnsi="Arial"/>
                <w:sz w:val="24"/>
              </w:rPr>
              <w:t xml:space="preserve">  </w:t>
            </w:r>
          </w:p>
        </w:tc>
      </w:tr>
    </w:tbl>
    <w:p w:rsidR="000C59DE" w:rsidRDefault="000C59DE">
      <w:pPr>
        <w:rPr>
          <w:rFonts w:ascii="Arial" w:hAnsi="Arial"/>
          <w:sz w:val="24"/>
        </w:rPr>
      </w:pPr>
    </w:p>
    <w:p w:rsidR="000E160F" w:rsidRDefault="000E160F">
      <w:pPr>
        <w:rPr>
          <w:rFonts w:ascii="Arial" w:hAnsi="Arial"/>
          <w:sz w:val="24"/>
        </w:rPr>
      </w:pPr>
    </w:p>
    <w:p w:rsidR="0071443D" w:rsidRPr="0071443D" w:rsidRDefault="0071443D" w:rsidP="0071443D">
      <w:pPr>
        <w:rPr>
          <w:rFonts w:ascii="Arial" w:hAnsi="Arial"/>
          <w:b/>
          <w:sz w:val="24"/>
        </w:rPr>
      </w:pPr>
      <w:r w:rsidRPr="0071443D">
        <w:rPr>
          <w:rFonts w:ascii="Arial" w:hAnsi="Arial"/>
          <w:b/>
          <w:sz w:val="24"/>
        </w:rPr>
        <w:t>Phil Newsam</w:t>
      </w:r>
    </w:p>
    <w:p w:rsidR="000E160F" w:rsidRPr="0071443D" w:rsidRDefault="000E160F">
      <w:pPr>
        <w:rPr>
          <w:rFonts w:ascii="Arial" w:hAnsi="Arial"/>
          <w:b/>
          <w:sz w:val="24"/>
        </w:rPr>
      </w:pPr>
      <w:r w:rsidRPr="0071443D">
        <w:rPr>
          <w:rFonts w:ascii="Arial" w:hAnsi="Arial"/>
          <w:b/>
          <w:sz w:val="24"/>
        </w:rPr>
        <w:t>Tom McCormack</w:t>
      </w:r>
    </w:p>
    <w:p w:rsidR="000C59DE" w:rsidRDefault="000C59DE">
      <w:pPr>
        <w:rPr>
          <w:rFonts w:ascii="Arial" w:hAnsi="Arial"/>
          <w:sz w:val="24"/>
        </w:rPr>
      </w:pPr>
    </w:p>
    <w:p w:rsidR="00863695" w:rsidRDefault="00863695">
      <w:pPr>
        <w:rPr>
          <w:rFonts w:ascii="Arial" w:hAnsi="Arial"/>
          <w:sz w:val="24"/>
        </w:rPr>
      </w:pPr>
    </w:p>
    <w:p w:rsidR="00863695" w:rsidRDefault="00863695">
      <w:pPr>
        <w:rPr>
          <w:rFonts w:ascii="Arial" w:hAnsi="Arial"/>
          <w:sz w:val="24"/>
        </w:rPr>
      </w:pPr>
    </w:p>
    <w:p w:rsidR="00511226" w:rsidRDefault="00511226">
      <w:pPr>
        <w:rPr>
          <w:sz w:val="24"/>
        </w:rPr>
      </w:pPr>
    </w:p>
    <w:sectPr w:rsidR="00511226" w:rsidSect="00863695">
      <w:footerReference w:type="default" r:id="rId8"/>
      <w:pgSz w:w="11906" w:h="16838"/>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31B" w:rsidRDefault="00BA731B">
      <w:r>
        <w:separator/>
      </w:r>
    </w:p>
  </w:endnote>
  <w:endnote w:type="continuationSeparator" w:id="0">
    <w:p w:rsidR="00BA731B" w:rsidRDefault="00B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3FF" w:rsidRDefault="001E73FF">
    <w:pPr>
      <w:pStyle w:val="Footer"/>
      <w:pBdr>
        <w:bottom w:val="single" w:sz="12" w:space="1" w:color="auto"/>
      </w:pBdr>
      <w:rPr>
        <w:lang w:val="en-GB"/>
      </w:rPr>
    </w:pPr>
  </w:p>
  <w:p w:rsidR="001E73FF" w:rsidRDefault="000B2690">
    <w:pPr>
      <w:pStyle w:val="Footer"/>
      <w:rPr>
        <w:sz w:val="22"/>
        <w:lang w:val="en-GB"/>
      </w:rPr>
    </w:pPr>
    <w:r>
      <w:rPr>
        <w:sz w:val="22"/>
        <w:lang w:val="en-GB"/>
      </w:rPr>
      <w:t>Financial forecast update</w:t>
    </w:r>
    <w:r w:rsidR="001E73FF">
      <w:rPr>
        <w:sz w:val="22"/>
        <w:lang w:val="en-GB"/>
      </w:rPr>
      <w:tab/>
    </w:r>
    <w:r w:rsidR="001E73FF">
      <w:rPr>
        <w:sz w:val="22"/>
        <w:lang w:val="en-GB"/>
      </w:rPr>
      <w:tab/>
    </w:r>
    <w:r w:rsidR="00FE3823">
      <w:rPr>
        <w:rStyle w:val="PageNumber"/>
      </w:rPr>
      <w:fldChar w:fldCharType="begin"/>
    </w:r>
    <w:r w:rsidR="001E73FF">
      <w:rPr>
        <w:rStyle w:val="PageNumber"/>
      </w:rPr>
      <w:instrText xml:space="preserve"> PAGE </w:instrText>
    </w:r>
    <w:r w:rsidR="00FE3823">
      <w:rPr>
        <w:rStyle w:val="PageNumber"/>
      </w:rPr>
      <w:fldChar w:fldCharType="separate"/>
    </w:r>
    <w:r w:rsidR="0071443D">
      <w:rPr>
        <w:rStyle w:val="PageNumber"/>
        <w:noProof/>
      </w:rPr>
      <w:t>5</w:t>
    </w:r>
    <w:r w:rsidR="00FE3823">
      <w:rPr>
        <w:rStyle w:val="PageNumber"/>
      </w:rPr>
      <w:fldChar w:fldCharType="end"/>
    </w:r>
  </w:p>
  <w:p w:rsidR="001E73FF" w:rsidRDefault="001E73FF">
    <w:pPr>
      <w:pStyle w:val="Footer"/>
      <w:rPr>
        <w:sz w:val="22"/>
        <w:lang w:val="en-GB"/>
      </w:rPr>
    </w:pPr>
    <w:r>
      <w:rPr>
        <w:sz w:val="22"/>
        <w:lang w:val="en-GB"/>
      </w:rPr>
      <w:t xml:space="preserve">Report to Board – </w:t>
    </w:r>
    <w:r w:rsidR="000B2690">
      <w:rPr>
        <w:sz w:val="22"/>
        <w:lang w:val="en-GB"/>
      </w:rPr>
      <w:t>29</w:t>
    </w:r>
    <w:r w:rsidR="000B2690" w:rsidRPr="000B2690">
      <w:rPr>
        <w:sz w:val="22"/>
        <w:vertAlign w:val="superscript"/>
        <w:lang w:val="en-GB"/>
      </w:rPr>
      <w:t>th</w:t>
    </w:r>
    <w:r w:rsidR="000B2690">
      <w:rPr>
        <w:sz w:val="22"/>
        <w:lang w:val="en-GB"/>
      </w:rPr>
      <w:t xml:space="preserve">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31B" w:rsidRDefault="00BA731B">
      <w:r>
        <w:separator/>
      </w:r>
    </w:p>
  </w:footnote>
  <w:footnote w:type="continuationSeparator" w:id="0">
    <w:p w:rsidR="00BA731B" w:rsidRDefault="00BA7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60BB"/>
    <w:multiLevelType w:val="hybridMultilevel"/>
    <w:tmpl w:val="870651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6D75B7E"/>
    <w:multiLevelType w:val="hybridMultilevel"/>
    <w:tmpl w:val="6992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765DC"/>
    <w:multiLevelType w:val="hybridMultilevel"/>
    <w:tmpl w:val="48EC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4D6018"/>
    <w:multiLevelType w:val="hybridMultilevel"/>
    <w:tmpl w:val="AB96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1F20AE"/>
    <w:multiLevelType w:val="hybridMultilevel"/>
    <w:tmpl w:val="1368F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3EE4853"/>
    <w:multiLevelType w:val="hybridMultilevel"/>
    <w:tmpl w:val="B5CE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54"/>
    <w:rsid w:val="00026247"/>
    <w:rsid w:val="00056908"/>
    <w:rsid w:val="0009566D"/>
    <w:rsid w:val="000B2690"/>
    <w:rsid w:val="000C59DE"/>
    <w:rsid w:val="000D3D6B"/>
    <w:rsid w:val="000E15B3"/>
    <w:rsid w:val="000E160F"/>
    <w:rsid w:val="000F1C17"/>
    <w:rsid w:val="00111E94"/>
    <w:rsid w:val="00192FE6"/>
    <w:rsid w:val="001E3D7C"/>
    <w:rsid w:val="001E4073"/>
    <w:rsid w:val="001E73FF"/>
    <w:rsid w:val="00226A43"/>
    <w:rsid w:val="002B00A5"/>
    <w:rsid w:val="002C4A20"/>
    <w:rsid w:val="0030662F"/>
    <w:rsid w:val="00364395"/>
    <w:rsid w:val="003658D7"/>
    <w:rsid w:val="00374553"/>
    <w:rsid w:val="003C01D6"/>
    <w:rsid w:val="003D2C82"/>
    <w:rsid w:val="00466D7D"/>
    <w:rsid w:val="00480586"/>
    <w:rsid w:val="004F2B1E"/>
    <w:rsid w:val="00511226"/>
    <w:rsid w:val="00566B31"/>
    <w:rsid w:val="005A4154"/>
    <w:rsid w:val="00694F38"/>
    <w:rsid w:val="006B01DE"/>
    <w:rsid w:val="006D14A4"/>
    <w:rsid w:val="007137C8"/>
    <w:rsid w:val="0071443D"/>
    <w:rsid w:val="0072753E"/>
    <w:rsid w:val="007F1748"/>
    <w:rsid w:val="00855113"/>
    <w:rsid w:val="00863695"/>
    <w:rsid w:val="008674C2"/>
    <w:rsid w:val="008D250B"/>
    <w:rsid w:val="008F6A8F"/>
    <w:rsid w:val="0090047D"/>
    <w:rsid w:val="009270D2"/>
    <w:rsid w:val="009454F1"/>
    <w:rsid w:val="00963BF9"/>
    <w:rsid w:val="00994FD0"/>
    <w:rsid w:val="009C60EF"/>
    <w:rsid w:val="009E39DE"/>
    <w:rsid w:val="009F1593"/>
    <w:rsid w:val="00A5440A"/>
    <w:rsid w:val="00A566CA"/>
    <w:rsid w:val="00A64965"/>
    <w:rsid w:val="00AB1A7F"/>
    <w:rsid w:val="00AD6600"/>
    <w:rsid w:val="00B55714"/>
    <w:rsid w:val="00B81AA5"/>
    <w:rsid w:val="00BA731B"/>
    <w:rsid w:val="00BC4858"/>
    <w:rsid w:val="00C033D8"/>
    <w:rsid w:val="00CF437F"/>
    <w:rsid w:val="00DB2985"/>
    <w:rsid w:val="00E02CCB"/>
    <w:rsid w:val="00E3518D"/>
    <w:rsid w:val="00EA0DCF"/>
    <w:rsid w:val="00EF7DDA"/>
    <w:rsid w:val="00F8162E"/>
    <w:rsid w:val="00FE3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rFonts w:ascii="Arial" w:hAnsi="Arial"/>
      <w:b/>
      <w:sz w:val="40"/>
    </w:rPr>
  </w:style>
  <w:style w:type="paragraph" w:styleId="Heading4">
    <w:name w:val="heading 4"/>
    <w:basedOn w:val="Normal"/>
    <w:next w:val="Normal"/>
    <w:qFormat/>
    <w:pPr>
      <w:keepNext/>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Arial" w:hAnsi="Arial"/>
      <w:sz w:val="24"/>
    </w:rPr>
  </w:style>
  <w:style w:type="table" w:styleId="TableGrid">
    <w:name w:val="Table Grid"/>
    <w:basedOn w:val="TableNormal"/>
    <w:rsid w:val="000C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62F"/>
    <w:pPr>
      <w:ind w:left="720"/>
      <w:contextualSpacing/>
    </w:pPr>
  </w:style>
  <w:style w:type="paragraph" w:styleId="BalloonText">
    <w:name w:val="Balloon Text"/>
    <w:basedOn w:val="Normal"/>
    <w:link w:val="BalloonTextChar"/>
    <w:rsid w:val="009270D2"/>
    <w:rPr>
      <w:rFonts w:ascii="Tahoma" w:hAnsi="Tahoma" w:cs="Tahoma"/>
      <w:sz w:val="16"/>
      <w:szCs w:val="16"/>
    </w:rPr>
  </w:style>
  <w:style w:type="character" w:customStyle="1" w:styleId="BalloonTextChar">
    <w:name w:val="Balloon Text Char"/>
    <w:basedOn w:val="DefaultParagraphFont"/>
    <w:link w:val="BalloonText"/>
    <w:rsid w:val="009270D2"/>
    <w:rPr>
      <w:rFonts w:ascii="Tahoma" w:hAnsi="Tahoma" w:cs="Tahoma"/>
      <w:sz w:val="16"/>
      <w:szCs w:val="16"/>
      <w:lang w:val="en-AU" w:eastAsia="en-US"/>
    </w:rPr>
  </w:style>
  <w:style w:type="character" w:styleId="CommentReference">
    <w:name w:val="annotation reference"/>
    <w:basedOn w:val="DefaultParagraphFont"/>
    <w:rsid w:val="00E02CCB"/>
    <w:rPr>
      <w:sz w:val="16"/>
      <w:szCs w:val="16"/>
    </w:rPr>
  </w:style>
  <w:style w:type="paragraph" w:styleId="CommentText">
    <w:name w:val="annotation text"/>
    <w:basedOn w:val="Normal"/>
    <w:link w:val="CommentTextChar"/>
    <w:rsid w:val="00E02CCB"/>
  </w:style>
  <w:style w:type="character" w:customStyle="1" w:styleId="CommentTextChar">
    <w:name w:val="Comment Text Char"/>
    <w:basedOn w:val="DefaultParagraphFont"/>
    <w:link w:val="CommentText"/>
    <w:rsid w:val="00E02CCB"/>
    <w:rPr>
      <w:lang w:val="en-AU" w:eastAsia="en-US"/>
    </w:rPr>
  </w:style>
  <w:style w:type="paragraph" w:styleId="CommentSubject">
    <w:name w:val="annotation subject"/>
    <w:basedOn w:val="CommentText"/>
    <w:next w:val="CommentText"/>
    <w:link w:val="CommentSubjectChar"/>
    <w:rsid w:val="00E02CCB"/>
    <w:rPr>
      <w:b/>
      <w:bCs/>
    </w:rPr>
  </w:style>
  <w:style w:type="character" w:customStyle="1" w:styleId="CommentSubjectChar">
    <w:name w:val="Comment Subject Char"/>
    <w:basedOn w:val="CommentTextChar"/>
    <w:link w:val="CommentSubject"/>
    <w:rsid w:val="00E02CCB"/>
    <w:rPr>
      <w:b/>
      <w:bCs/>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rFonts w:ascii="Arial" w:hAnsi="Arial"/>
      <w:b/>
      <w:sz w:val="40"/>
    </w:rPr>
  </w:style>
  <w:style w:type="paragraph" w:styleId="Heading4">
    <w:name w:val="heading 4"/>
    <w:basedOn w:val="Normal"/>
    <w:next w:val="Normal"/>
    <w:qFormat/>
    <w:pPr>
      <w:keepNext/>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Arial" w:hAnsi="Arial"/>
      <w:sz w:val="24"/>
    </w:rPr>
  </w:style>
  <w:style w:type="table" w:styleId="TableGrid">
    <w:name w:val="Table Grid"/>
    <w:basedOn w:val="TableNormal"/>
    <w:rsid w:val="000C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62F"/>
    <w:pPr>
      <w:ind w:left="720"/>
      <w:contextualSpacing/>
    </w:pPr>
  </w:style>
  <w:style w:type="paragraph" w:styleId="BalloonText">
    <w:name w:val="Balloon Text"/>
    <w:basedOn w:val="Normal"/>
    <w:link w:val="BalloonTextChar"/>
    <w:rsid w:val="009270D2"/>
    <w:rPr>
      <w:rFonts w:ascii="Tahoma" w:hAnsi="Tahoma" w:cs="Tahoma"/>
      <w:sz w:val="16"/>
      <w:szCs w:val="16"/>
    </w:rPr>
  </w:style>
  <w:style w:type="character" w:customStyle="1" w:styleId="BalloonTextChar">
    <w:name w:val="Balloon Text Char"/>
    <w:basedOn w:val="DefaultParagraphFont"/>
    <w:link w:val="BalloonText"/>
    <w:rsid w:val="009270D2"/>
    <w:rPr>
      <w:rFonts w:ascii="Tahoma" w:hAnsi="Tahoma" w:cs="Tahoma"/>
      <w:sz w:val="16"/>
      <w:szCs w:val="16"/>
      <w:lang w:val="en-AU" w:eastAsia="en-US"/>
    </w:rPr>
  </w:style>
  <w:style w:type="character" w:styleId="CommentReference">
    <w:name w:val="annotation reference"/>
    <w:basedOn w:val="DefaultParagraphFont"/>
    <w:rsid w:val="00E02CCB"/>
    <w:rPr>
      <w:sz w:val="16"/>
      <w:szCs w:val="16"/>
    </w:rPr>
  </w:style>
  <w:style w:type="paragraph" w:styleId="CommentText">
    <w:name w:val="annotation text"/>
    <w:basedOn w:val="Normal"/>
    <w:link w:val="CommentTextChar"/>
    <w:rsid w:val="00E02CCB"/>
  </w:style>
  <w:style w:type="character" w:customStyle="1" w:styleId="CommentTextChar">
    <w:name w:val="Comment Text Char"/>
    <w:basedOn w:val="DefaultParagraphFont"/>
    <w:link w:val="CommentText"/>
    <w:rsid w:val="00E02CCB"/>
    <w:rPr>
      <w:lang w:val="en-AU" w:eastAsia="en-US"/>
    </w:rPr>
  </w:style>
  <w:style w:type="paragraph" w:styleId="CommentSubject">
    <w:name w:val="annotation subject"/>
    <w:basedOn w:val="CommentText"/>
    <w:next w:val="CommentText"/>
    <w:link w:val="CommentSubjectChar"/>
    <w:rsid w:val="00E02CCB"/>
    <w:rPr>
      <w:b/>
      <w:bCs/>
    </w:rPr>
  </w:style>
  <w:style w:type="character" w:customStyle="1" w:styleId="CommentSubjectChar">
    <w:name w:val="Comment Subject Char"/>
    <w:basedOn w:val="CommentTextChar"/>
    <w:link w:val="CommentSubject"/>
    <w:rsid w:val="00E02CCB"/>
    <w:rPr>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2603</Words>
  <Characters>12964</Characters>
  <Application>Microsoft Office Word</Application>
  <DocSecurity>4</DocSecurity>
  <Lines>108</Lines>
  <Paragraphs>31</Paragraphs>
  <ScaleCrop>false</ScaleCrop>
  <HeadingPairs>
    <vt:vector size="2" baseType="variant">
      <vt:variant>
        <vt:lpstr>Title</vt:lpstr>
      </vt:variant>
      <vt:variant>
        <vt:i4>1</vt:i4>
      </vt:variant>
    </vt:vector>
  </HeadingPairs>
  <TitlesOfParts>
    <vt:vector size="1" baseType="lpstr">
      <vt:lpstr>Hexagon Housing Association</vt:lpstr>
    </vt:vector>
  </TitlesOfParts>
  <Company>Heaxgon Housing</Company>
  <LinksUpToDate>false</LinksUpToDate>
  <CharactersWithSpaces>15536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Hexagon Housing Association</dc:title>
  <dc:creator>Phil Newsam</dc:creator>
  <cp:lastModifiedBy>Valerie Sharpe</cp:lastModifiedBy>
  <cp:revision>2</cp:revision>
  <cp:lastPrinted>2015-09-21T11:24:00Z</cp:lastPrinted>
  <dcterms:created xsi:type="dcterms:W3CDTF">2015-09-21T11:24:00Z</dcterms:created>
  <dcterms:modified xsi:type="dcterms:W3CDTF">2015-09-21T11:24:00Z</dcterms:modified>
</cp:coreProperties>
</file>