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BDD" w:rsidRPr="009E6D1E" w:rsidRDefault="0042782F">
      <w:pPr>
        <w:rPr>
          <w:rFonts w:ascii="Arial" w:hAnsi="Arial" w:cs="Arial"/>
          <w:b/>
          <w:sz w:val="32"/>
          <w:szCs w:val="32"/>
        </w:rPr>
      </w:pPr>
      <w:r w:rsidRPr="009E6D1E">
        <w:rPr>
          <w:rFonts w:ascii="Arial" w:hAnsi="Arial" w:cs="Arial"/>
          <w:b/>
          <w:sz w:val="32"/>
          <w:szCs w:val="32"/>
        </w:rPr>
        <w:t xml:space="preserve">Hexagon Housing Association </w:t>
      </w:r>
    </w:p>
    <w:p w:rsidR="0042782F" w:rsidRPr="009E6D1E" w:rsidRDefault="0042782F">
      <w:pPr>
        <w:rPr>
          <w:rFonts w:ascii="Arial" w:hAnsi="Arial" w:cs="Arial"/>
          <w:b/>
          <w:sz w:val="32"/>
          <w:szCs w:val="32"/>
        </w:rPr>
      </w:pPr>
      <w:r w:rsidRPr="009E6D1E">
        <w:rPr>
          <w:rFonts w:ascii="Arial" w:hAnsi="Arial" w:cs="Arial"/>
          <w:b/>
          <w:sz w:val="32"/>
          <w:szCs w:val="32"/>
        </w:rPr>
        <w:t>Board of Management</w:t>
      </w:r>
    </w:p>
    <w:p w:rsidR="0042782F" w:rsidRPr="009E6D1E" w:rsidRDefault="009C2196">
      <w:pPr>
        <w:rPr>
          <w:rFonts w:ascii="Arial" w:hAnsi="Arial" w:cs="Arial"/>
          <w:b/>
          <w:sz w:val="32"/>
          <w:szCs w:val="32"/>
        </w:rPr>
      </w:pPr>
      <w:r w:rsidRPr="009E6D1E">
        <w:rPr>
          <w:rFonts w:ascii="Arial" w:hAnsi="Arial" w:cs="Arial"/>
          <w:b/>
          <w:sz w:val="32"/>
          <w:szCs w:val="32"/>
        </w:rPr>
        <w:t xml:space="preserve">24 November </w:t>
      </w:r>
      <w:r w:rsidR="0042782F" w:rsidRPr="009E6D1E">
        <w:rPr>
          <w:rFonts w:ascii="Arial" w:hAnsi="Arial" w:cs="Arial"/>
          <w:b/>
          <w:sz w:val="32"/>
          <w:szCs w:val="32"/>
        </w:rPr>
        <w:t>2015</w:t>
      </w:r>
    </w:p>
    <w:p w:rsidR="0042782F" w:rsidRPr="009E6D1E" w:rsidRDefault="0042782F">
      <w:pPr>
        <w:rPr>
          <w:rFonts w:ascii="Arial" w:hAnsi="Arial" w:cs="Arial"/>
          <w:b/>
          <w:sz w:val="32"/>
          <w:szCs w:val="32"/>
        </w:rPr>
      </w:pPr>
      <w:r w:rsidRPr="009E6D1E">
        <w:rPr>
          <w:rFonts w:ascii="Arial" w:hAnsi="Arial" w:cs="Arial"/>
          <w:b/>
          <w:sz w:val="32"/>
          <w:szCs w:val="32"/>
        </w:rPr>
        <w:t>Agenda item</w:t>
      </w:r>
      <w:r w:rsidR="009E6D1E" w:rsidRPr="009E6D1E">
        <w:rPr>
          <w:rFonts w:ascii="Arial" w:hAnsi="Arial" w:cs="Arial"/>
          <w:b/>
          <w:sz w:val="32"/>
          <w:szCs w:val="32"/>
        </w:rPr>
        <w:t xml:space="preserve"> 9</w:t>
      </w:r>
    </w:p>
    <w:p w:rsidR="0042782F" w:rsidRPr="009E6D1E" w:rsidRDefault="0042782F">
      <w:pPr>
        <w:rPr>
          <w:rFonts w:ascii="Arial" w:hAnsi="Arial" w:cs="Arial"/>
          <w:b/>
          <w:sz w:val="32"/>
          <w:szCs w:val="32"/>
        </w:rPr>
      </w:pPr>
      <w:r w:rsidRPr="009E6D1E">
        <w:rPr>
          <w:rFonts w:ascii="Arial" w:hAnsi="Arial" w:cs="Arial"/>
          <w:b/>
          <w:sz w:val="32"/>
          <w:szCs w:val="32"/>
        </w:rPr>
        <w:t>Q</w:t>
      </w:r>
      <w:r w:rsidR="009F77CC" w:rsidRPr="009E6D1E">
        <w:rPr>
          <w:rFonts w:ascii="Arial" w:hAnsi="Arial" w:cs="Arial"/>
          <w:b/>
          <w:sz w:val="32"/>
          <w:szCs w:val="32"/>
        </w:rPr>
        <w:t>2</w:t>
      </w:r>
      <w:r w:rsidRPr="009E6D1E">
        <w:rPr>
          <w:rFonts w:ascii="Arial" w:hAnsi="Arial" w:cs="Arial"/>
          <w:b/>
          <w:sz w:val="32"/>
          <w:szCs w:val="32"/>
        </w:rPr>
        <w:t xml:space="preserve">, 2015/16 Performance indicators </w:t>
      </w:r>
    </w:p>
    <w:p w:rsidR="0042782F" w:rsidRPr="009E6D1E" w:rsidRDefault="0042782F">
      <w:pPr>
        <w:rPr>
          <w:rFonts w:ascii="Arial" w:hAnsi="Arial" w:cs="Arial"/>
          <w:b/>
          <w:sz w:val="32"/>
          <w:szCs w:val="32"/>
        </w:rPr>
      </w:pPr>
      <w:r w:rsidRPr="009E6D1E">
        <w:rPr>
          <w:rFonts w:ascii="Arial" w:hAnsi="Arial" w:cs="Arial"/>
          <w:b/>
          <w:sz w:val="32"/>
          <w:szCs w:val="32"/>
        </w:rPr>
        <w:t>LBM: Rosalind Watson</w:t>
      </w:r>
    </w:p>
    <w:p w:rsidR="0042782F" w:rsidRPr="009E6D1E" w:rsidRDefault="0042782F">
      <w:pPr>
        <w:rPr>
          <w:rFonts w:ascii="Arial" w:hAnsi="Arial" w:cs="Arial"/>
          <w:b/>
          <w:sz w:val="32"/>
          <w:szCs w:val="32"/>
        </w:rPr>
      </w:pPr>
      <w:r w:rsidRPr="009E6D1E">
        <w:rPr>
          <w:rFonts w:ascii="Arial" w:hAnsi="Arial" w:cs="Arial"/>
          <w:b/>
          <w:sz w:val="32"/>
          <w:szCs w:val="32"/>
        </w:rPr>
        <w:t xml:space="preserve">Report by the Operations Director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8492"/>
      </w:tblGrid>
      <w:tr w:rsidR="0042782F" w:rsidRPr="009E6D1E" w:rsidTr="00792AFB">
        <w:tc>
          <w:tcPr>
            <w:tcW w:w="750" w:type="dxa"/>
          </w:tcPr>
          <w:p w:rsidR="0042782F" w:rsidRPr="009E6D1E" w:rsidRDefault="0042782F">
            <w:pPr>
              <w:rPr>
                <w:rFonts w:ascii="Arial" w:hAnsi="Arial" w:cs="Arial"/>
                <w:b/>
                <w:i/>
                <w:sz w:val="28"/>
                <w:szCs w:val="28"/>
              </w:rPr>
            </w:pPr>
            <w:r w:rsidRPr="009E6D1E">
              <w:rPr>
                <w:rFonts w:ascii="Arial" w:hAnsi="Arial" w:cs="Arial"/>
                <w:b/>
                <w:i/>
                <w:sz w:val="28"/>
                <w:szCs w:val="28"/>
              </w:rPr>
              <w:t>1.</w:t>
            </w:r>
          </w:p>
        </w:tc>
        <w:tc>
          <w:tcPr>
            <w:tcW w:w="8492" w:type="dxa"/>
          </w:tcPr>
          <w:p w:rsidR="0042782F" w:rsidRPr="009E6D1E" w:rsidRDefault="0042782F">
            <w:pPr>
              <w:rPr>
                <w:rFonts w:ascii="Arial" w:hAnsi="Arial" w:cs="Arial"/>
                <w:b/>
                <w:i/>
                <w:sz w:val="28"/>
                <w:szCs w:val="28"/>
              </w:rPr>
            </w:pPr>
            <w:r w:rsidRPr="009E6D1E">
              <w:rPr>
                <w:rFonts w:ascii="Arial" w:hAnsi="Arial" w:cs="Arial"/>
                <w:b/>
                <w:i/>
                <w:sz w:val="28"/>
                <w:szCs w:val="28"/>
              </w:rPr>
              <w:t>Summary</w:t>
            </w:r>
          </w:p>
          <w:p w:rsidR="00051144" w:rsidRPr="009E6D1E" w:rsidRDefault="00051144">
            <w:pPr>
              <w:rPr>
                <w:rFonts w:ascii="Arial" w:hAnsi="Arial" w:cs="Arial"/>
                <w:b/>
                <w:i/>
                <w:sz w:val="28"/>
                <w:szCs w:val="28"/>
              </w:rPr>
            </w:pPr>
          </w:p>
        </w:tc>
      </w:tr>
      <w:tr w:rsidR="0042782F" w:rsidRPr="005930C8" w:rsidTr="00792AFB">
        <w:tc>
          <w:tcPr>
            <w:tcW w:w="750" w:type="dxa"/>
          </w:tcPr>
          <w:p w:rsidR="0042782F" w:rsidRPr="005930C8" w:rsidRDefault="0042782F">
            <w:pPr>
              <w:rPr>
                <w:rFonts w:ascii="Arial" w:hAnsi="Arial" w:cs="Arial"/>
                <w:sz w:val="24"/>
                <w:szCs w:val="24"/>
              </w:rPr>
            </w:pPr>
          </w:p>
        </w:tc>
        <w:tc>
          <w:tcPr>
            <w:tcW w:w="8492" w:type="dxa"/>
          </w:tcPr>
          <w:p w:rsidR="0042782F" w:rsidRPr="005930C8" w:rsidRDefault="001D38EB">
            <w:pPr>
              <w:rPr>
                <w:rFonts w:ascii="Arial" w:hAnsi="Arial" w:cs="Arial"/>
                <w:sz w:val="24"/>
                <w:szCs w:val="24"/>
              </w:rPr>
            </w:pPr>
            <w:r w:rsidRPr="005930C8">
              <w:rPr>
                <w:rFonts w:ascii="Arial" w:hAnsi="Arial" w:cs="Arial"/>
                <w:sz w:val="24"/>
                <w:szCs w:val="24"/>
              </w:rPr>
              <w:t>The report summarises the performa</w:t>
            </w:r>
            <w:r w:rsidR="009F77CC">
              <w:rPr>
                <w:rFonts w:ascii="Arial" w:hAnsi="Arial" w:cs="Arial"/>
                <w:sz w:val="24"/>
                <w:szCs w:val="24"/>
              </w:rPr>
              <w:t>nce on our key PIs for Quarter 2</w:t>
            </w:r>
            <w:r w:rsidRPr="005930C8">
              <w:rPr>
                <w:rFonts w:ascii="Arial" w:hAnsi="Arial" w:cs="Arial"/>
                <w:sz w:val="24"/>
                <w:szCs w:val="24"/>
              </w:rPr>
              <w:t xml:space="preserve">. </w:t>
            </w:r>
          </w:p>
          <w:p w:rsidR="001D38EB" w:rsidRPr="005930C8" w:rsidRDefault="001D38EB">
            <w:pPr>
              <w:rPr>
                <w:rFonts w:ascii="Arial" w:hAnsi="Arial" w:cs="Arial"/>
                <w:sz w:val="24"/>
                <w:szCs w:val="24"/>
              </w:rPr>
            </w:pPr>
          </w:p>
          <w:p w:rsidR="001D38EB" w:rsidRPr="005930C8" w:rsidRDefault="001D38EB">
            <w:pPr>
              <w:rPr>
                <w:rFonts w:ascii="Arial" w:hAnsi="Arial" w:cs="Arial"/>
                <w:sz w:val="24"/>
                <w:szCs w:val="24"/>
              </w:rPr>
            </w:pPr>
            <w:r w:rsidRPr="005930C8">
              <w:rPr>
                <w:rFonts w:ascii="Arial" w:hAnsi="Arial" w:cs="Arial"/>
                <w:sz w:val="24"/>
                <w:szCs w:val="24"/>
              </w:rPr>
              <w:t xml:space="preserve">On </w:t>
            </w:r>
            <w:r w:rsidR="00950EE4">
              <w:rPr>
                <w:rFonts w:ascii="Arial" w:hAnsi="Arial" w:cs="Arial"/>
                <w:sz w:val="24"/>
                <w:szCs w:val="24"/>
              </w:rPr>
              <w:t>7</w:t>
            </w:r>
            <w:r w:rsidRPr="005930C8">
              <w:rPr>
                <w:rFonts w:ascii="Arial" w:hAnsi="Arial" w:cs="Arial"/>
                <w:sz w:val="24"/>
                <w:szCs w:val="24"/>
              </w:rPr>
              <w:t xml:space="preserve"> of the </w:t>
            </w:r>
            <w:r w:rsidR="00792AFB">
              <w:rPr>
                <w:rFonts w:ascii="Arial" w:hAnsi="Arial" w:cs="Arial"/>
                <w:sz w:val="24"/>
                <w:szCs w:val="24"/>
              </w:rPr>
              <w:t>19</w:t>
            </w:r>
            <w:r w:rsidRPr="005930C8">
              <w:rPr>
                <w:rFonts w:ascii="Arial" w:hAnsi="Arial" w:cs="Arial"/>
                <w:sz w:val="24"/>
                <w:szCs w:val="24"/>
              </w:rPr>
              <w:t xml:space="preserve"> indicators where an annual comparison with Q</w:t>
            </w:r>
            <w:r w:rsidR="0059553C">
              <w:rPr>
                <w:rFonts w:ascii="Arial" w:hAnsi="Arial" w:cs="Arial"/>
                <w:sz w:val="24"/>
                <w:szCs w:val="24"/>
              </w:rPr>
              <w:t>2</w:t>
            </w:r>
            <w:r w:rsidRPr="005930C8">
              <w:rPr>
                <w:rFonts w:ascii="Arial" w:hAnsi="Arial" w:cs="Arial"/>
                <w:sz w:val="24"/>
                <w:szCs w:val="24"/>
              </w:rPr>
              <w:t xml:space="preserve"> last </w:t>
            </w:r>
            <w:r w:rsidR="00343A98" w:rsidRPr="005930C8">
              <w:rPr>
                <w:rFonts w:ascii="Arial" w:hAnsi="Arial" w:cs="Arial"/>
                <w:sz w:val="24"/>
                <w:szCs w:val="24"/>
              </w:rPr>
              <w:t>year is</w:t>
            </w:r>
            <w:r w:rsidRPr="005930C8">
              <w:rPr>
                <w:rFonts w:ascii="Arial" w:hAnsi="Arial" w:cs="Arial"/>
                <w:sz w:val="24"/>
                <w:szCs w:val="24"/>
              </w:rPr>
              <w:t xml:space="preserve"> possible, performance improved and on </w:t>
            </w:r>
            <w:r w:rsidR="0059553C">
              <w:rPr>
                <w:rFonts w:ascii="Arial" w:hAnsi="Arial" w:cs="Arial"/>
                <w:sz w:val="24"/>
                <w:szCs w:val="24"/>
              </w:rPr>
              <w:t>11</w:t>
            </w:r>
            <w:r w:rsidRPr="005930C8">
              <w:rPr>
                <w:rFonts w:ascii="Arial" w:hAnsi="Arial" w:cs="Arial"/>
                <w:sz w:val="24"/>
                <w:szCs w:val="24"/>
              </w:rPr>
              <w:t xml:space="preserve"> it declined; on </w:t>
            </w:r>
            <w:r w:rsidR="0059553C">
              <w:rPr>
                <w:rFonts w:ascii="Arial" w:hAnsi="Arial" w:cs="Arial"/>
                <w:sz w:val="24"/>
                <w:szCs w:val="24"/>
              </w:rPr>
              <w:t>one</w:t>
            </w:r>
            <w:r w:rsidRPr="005930C8">
              <w:rPr>
                <w:rFonts w:ascii="Arial" w:hAnsi="Arial" w:cs="Arial"/>
                <w:sz w:val="24"/>
                <w:szCs w:val="24"/>
              </w:rPr>
              <w:t xml:space="preserve"> indicator, performance was about the same. </w:t>
            </w:r>
          </w:p>
          <w:p w:rsidR="001D38EB" w:rsidRPr="005930C8" w:rsidRDefault="001D38EB">
            <w:pPr>
              <w:rPr>
                <w:rFonts w:ascii="Arial" w:hAnsi="Arial" w:cs="Arial"/>
                <w:sz w:val="24"/>
                <w:szCs w:val="24"/>
              </w:rPr>
            </w:pPr>
          </w:p>
        </w:tc>
      </w:tr>
      <w:tr w:rsidR="0042782F" w:rsidRPr="009E6D1E" w:rsidTr="00792AFB">
        <w:tc>
          <w:tcPr>
            <w:tcW w:w="750" w:type="dxa"/>
          </w:tcPr>
          <w:p w:rsidR="0042782F" w:rsidRPr="009E6D1E" w:rsidRDefault="0042782F">
            <w:pPr>
              <w:rPr>
                <w:rFonts w:ascii="Arial" w:hAnsi="Arial" w:cs="Arial"/>
                <w:b/>
                <w:i/>
                <w:sz w:val="28"/>
                <w:szCs w:val="28"/>
              </w:rPr>
            </w:pPr>
            <w:r w:rsidRPr="009E6D1E">
              <w:rPr>
                <w:rFonts w:ascii="Arial" w:hAnsi="Arial" w:cs="Arial"/>
                <w:b/>
                <w:i/>
                <w:sz w:val="28"/>
                <w:szCs w:val="28"/>
              </w:rPr>
              <w:t xml:space="preserve">2. </w:t>
            </w:r>
          </w:p>
        </w:tc>
        <w:tc>
          <w:tcPr>
            <w:tcW w:w="8492" w:type="dxa"/>
          </w:tcPr>
          <w:p w:rsidR="0042782F" w:rsidRPr="009E6D1E" w:rsidRDefault="00051144">
            <w:pPr>
              <w:rPr>
                <w:rFonts w:ascii="Arial" w:hAnsi="Arial" w:cs="Arial"/>
                <w:b/>
                <w:i/>
                <w:sz w:val="28"/>
                <w:szCs w:val="28"/>
              </w:rPr>
            </w:pPr>
            <w:r w:rsidRPr="009E6D1E">
              <w:rPr>
                <w:rFonts w:ascii="Arial" w:hAnsi="Arial" w:cs="Arial"/>
                <w:b/>
                <w:i/>
                <w:sz w:val="28"/>
                <w:szCs w:val="28"/>
              </w:rPr>
              <w:t>Recommendation</w:t>
            </w:r>
          </w:p>
          <w:p w:rsidR="00051144" w:rsidRPr="009E6D1E" w:rsidRDefault="00051144">
            <w:pPr>
              <w:rPr>
                <w:rFonts w:ascii="Arial" w:hAnsi="Arial" w:cs="Arial"/>
                <w:b/>
                <w:i/>
                <w:sz w:val="28"/>
                <w:szCs w:val="28"/>
              </w:rPr>
            </w:pPr>
          </w:p>
        </w:tc>
      </w:tr>
      <w:tr w:rsidR="0042782F" w:rsidRPr="005930C8" w:rsidTr="00792AFB">
        <w:tc>
          <w:tcPr>
            <w:tcW w:w="750" w:type="dxa"/>
          </w:tcPr>
          <w:p w:rsidR="0042782F" w:rsidRPr="005930C8" w:rsidRDefault="00051144">
            <w:pPr>
              <w:rPr>
                <w:rFonts w:ascii="Arial" w:hAnsi="Arial" w:cs="Arial"/>
                <w:sz w:val="24"/>
                <w:szCs w:val="24"/>
              </w:rPr>
            </w:pPr>
            <w:r w:rsidRPr="005930C8">
              <w:rPr>
                <w:rFonts w:ascii="Arial" w:hAnsi="Arial" w:cs="Arial"/>
                <w:sz w:val="24"/>
                <w:szCs w:val="24"/>
              </w:rPr>
              <w:t>2.1</w:t>
            </w:r>
          </w:p>
        </w:tc>
        <w:tc>
          <w:tcPr>
            <w:tcW w:w="8492" w:type="dxa"/>
          </w:tcPr>
          <w:p w:rsidR="0042782F" w:rsidRPr="005930C8" w:rsidRDefault="00051144">
            <w:pPr>
              <w:rPr>
                <w:rFonts w:ascii="Arial" w:hAnsi="Arial" w:cs="Arial"/>
                <w:sz w:val="24"/>
                <w:szCs w:val="24"/>
              </w:rPr>
            </w:pPr>
            <w:r w:rsidRPr="005930C8">
              <w:rPr>
                <w:rFonts w:ascii="Arial" w:hAnsi="Arial" w:cs="Arial"/>
                <w:sz w:val="24"/>
                <w:szCs w:val="24"/>
              </w:rPr>
              <w:t>The Board notes the Q</w:t>
            </w:r>
            <w:r w:rsidR="00C84A6C">
              <w:rPr>
                <w:rFonts w:ascii="Arial" w:hAnsi="Arial" w:cs="Arial"/>
                <w:sz w:val="24"/>
                <w:szCs w:val="24"/>
              </w:rPr>
              <w:t>2</w:t>
            </w:r>
            <w:r w:rsidRPr="005930C8">
              <w:rPr>
                <w:rFonts w:ascii="Arial" w:hAnsi="Arial" w:cs="Arial"/>
                <w:sz w:val="24"/>
                <w:szCs w:val="24"/>
              </w:rPr>
              <w:t xml:space="preserve"> performance and approves the actions shown in the commentaries in the tables to improve performance where required to meet targets. </w:t>
            </w:r>
          </w:p>
          <w:p w:rsidR="00051144" w:rsidRPr="005930C8" w:rsidRDefault="00051144">
            <w:pPr>
              <w:rPr>
                <w:rFonts w:ascii="Arial" w:hAnsi="Arial" w:cs="Arial"/>
                <w:sz w:val="24"/>
                <w:szCs w:val="24"/>
              </w:rPr>
            </w:pPr>
          </w:p>
        </w:tc>
      </w:tr>
      <w:tr w:rsidR="0042782F" w:rsidRPr="009E6D1E" w:rsidTr="00792AFB">
        <w:tc>
          <w:tcPr>
            <w:tcW w:w="750" w:type="dxa"/>
          </w:tcPr>
          <w:p w:rsidR="0042782F" w:rsidRPr="009E6D1E" w:rsidRDefault="0059553C" w:rsidP="0059553C">
            <w:pPr>
              <w:rPr>
                <w:rFonts w:ascii="Arial" w:hAnsi="Arial" w:cs="Arial"/>
                <w:b/>
                <w:i/>
                <w:sz w:val="28"/>
                <w:szCs w:val="28"/>
              </w:rPr>
            </w:pPr>
            <w:r w:rsidRPr="009E6D1E">
              <w:rPr>
                <w:rFonts w:ascii="Arial" w:hAnsi="Arial" w:cs="Arial"/>
                <w:b/>
                <w:i/>
                <w:sz w:val="28"/>
                <w:szCs w:val="28"/>
              </w:rPr>
              <w:t>3</w:t>
            </w:r>
            <w:r w:rsidR="00FE27DB" w:rsidRPr="009E6D1E">
              <w:rPr>
                <w:rFonts w:ascii="Arial" w:hAnsi="Arial" w:cs="Arial"/>
                <w:b/>
                <w:i/>
                <w:sz w:val="28"/>
                <w:szCs w:val="28"/>
              </w:rPr>
              <w:t xml:space="preserve">. </w:t>
            </w:r>
          </w:p>
        </w:tc>
        <w:tc>
          <w:tcPr>
            <w:tcW w:w="8492" w:type="dxa"/>
          </w:tcPr>
          <w:p w:rsidR="0042782F" w:rsidRPr="009E6D1E" w:rsidRDefault="00735D33">
            <w:pPr>
              <w:rPr>
                <w:rFonts w:ascii="Arial" w:hAnsi="Arial" w:cs="Arial"/>
                <w:b/>
                <w:i/>
                <w:sz w:val="28"/>
                <w:szCs w:val="28"/>
              </w:rPr>
            </w:pPr>
            <w:r w:rsidRPr="009E6D1E">
              <w:rPr>
                <w:rFonts w:ascii="Arial" w:hAnsi="Arial" w:cs="Arial"/>
                <w:b/>
                <w:i/>
                <w:sz w:val="28"/>
                <w:szCs w:val="28"/>
              </w:rPr>
              <w:t xml:space="preserve">Highlights of results </w:t>
            </w:r>
          </w:p>
          <w:p w:rsidR="00051144" w:rsidRPr="009E6D1E" w:rsidRDefault="00051144">
            <w:pPr>
              <w:rPr>
                <w:rFonts w:ascii="Arial" w:hAnsi="Arial" w:cs="Arial"/>
                <w:b/>
                <w:i/>
                <w:sz w:val="28"/>
                <w:szCs w:val="28"/>
              </w:rPr>
            </w:pPr>
          </w:p>
        </w:tc>
      </w:tr>
      <w:tr w:rsidR="0042782F" w:rsidRPr="00C84A6C" w:rsidTr="00792AFB">
        <w:tc>
          <w:tcPr>
            <w:tcW w:w="750" w:type="dxa"/>
          </w:tcPr>
          <w:p w:rsidR="0042782F" w:rsidRPr="009E6D1E" w:rsidRDefault="0059553C">
            <w:pPr>
              <w:rPr>
                <w:rFonts w:ascii="Arial" w:hAnsi="Arial" w:cs="Arial"/>
                <w:b/>
                <w:sz w:val="24"/>
                <w:szCs w:val="24"/>
              </w:rPr>
            </w:pPr>
            <w:r w:rsidRPr="009E6D1E">
              <w:rPr>
                <w:rFonts w:ascii="Arial" w:hAnsi="Arial" w:cs="Arial"/>
                <w:b/>
                <w:sz w:val="24"/>
                <w:szCs w:val="24"/>
              </w:rPr>
              <w:t>3</w:t>
            </w:r>
            <w:r w:rsidR="00F258D4" w:rsidRPr="009E6D1E">
              <w:rPr>
                <w:rFonts w:ascii="Arial" w:hAnsi="Arial" w:cs="Arial"/>
                <w:b/>
                <w:sz w:val="24"/>
                <w:szCs w:val="24"/>
              </w:rPr>
              <w:t>.1</w:t>
            </w:r>
          </w:p>
          <w:p w:rsidR="001E792B" w:rsidRDefault="001E792B">
            <w:pPr>
              <w:rPr>
                <w:rFonts w:ascii="Arial" w:hAnsi="Arial" w:cs="Arial"/>
                <w:sz w:val="24"/>
                <w:szCs w:val="24"/>
              </w:rPr>
            </w:pPr>
          </w:p>
          <w:p w:rsidR="001E792B" w:rsidRPr="005930C8" w:rsidRDefault="0059553C" w:rsidP="0059553C">
            <w:pPr>
              <w:rPr>
                <w:rFonts w:ascii="Arial" w:hAnsi="Arial" w:cs="Arial"/>
                <w:sz w:val="24"/>
                <w:szCs w:val="24"/>
              </w:rPr>
            </w:pPr>
            <w:r>
              <w:rPr>
                <w:rFonts w:ascii="Arial" w:hAnsi="Arial" w:cs="Arial"/>
                <w:sz w:val="24"/>
                <w:szCs w:val="24"/>
              </w:rPr>
              <w:t>3</w:t>
            </w:r>
            <w:r w:rsidR="001E792B">
              <w:rPr>
                <w:rFonts w:ascii="Arial" w:hAnsi="Arial" w:cs="Arial"/>
                <w:sz w:val="24"/>
                <w:szCs w:val="24"/>
              </w:rPr>
              <w:t>.1.1</w:t>
            </w:r>
          </w:p>
        </w:tc>
        <w:tc>
          <w:tcPr>
            <w:tcW w:w="8492" w:type="dxa"/>
          </w:tcPr>
          <w:p w:rsidR="00F258D4" w:rsidRPr="00C84A6C" w:rsidRDefault="00F258D4" w:rsidP="00F258D4">
            <w:pPr>
              <w:rPr>
                <w:rFonts w:ascii="Arial" w:hAnsi="Arial" w:cs="Arial"/>
                <w:b/>
                <w:i/>
                <w:sz w:val="24"/>
                <w:szCs w:val="24"/>
              </w:rPr>
            </w:pPr>
            <w:r w:rsidRPr="00C84A6C">
              <w:rPr>
                <w:rFonts w:ascii="Arial" w:hAnsi="Arial" w:cs="Arial"/>
                <w:b/>
                <w:i/>
                <w:sz w:val="24"/>
                <w:szCs w:val="24"/>
              </w:rPr>
              <w:t xml:space="preserve">Resident focus </w:t>
            </w:r>
          </w:p>
          <w:p w:rsidR="005930C8" w:rsidRPr="00C84A6C" w:rsidRDefault="005930C8" w:rsidP="00F258D4">
            <w:pPr>
              <w:rPr>
                <w:rFonts w:ascii="Arial" w:hAnsi="Arial" w:cs="Arial"/>
                <w:b/>
                <w:i/>
                <w:sz w:val="24"/>
                <w:szCs w:val="24"/>
              </w:rPr>
            </w:pPr>
          </w:p>
          <w:p w:rsidR="001E792B" w:rsidRDefault="00F258D4" w:rsidP="00501D86">
            <w:pPr>
              <w:rPr>
                <w:rFonts w:ascii="Arial" w:hAnsi="Arial" w:cs="Arial"/>
                <w:sz w:val="24"/>
                <w:szCs w:val="24"/>
              </w:rPr>
            </w:pPr>
            <w:r w:rsidRPr="001E792B">
              <w:rPr>
                <w:rFonts w:ascii="Arial" w:hAnsi="Arial" w:cs="Arial"/>
                <w:sz w:val="24"/>
                <w:szCs w:val="24"/>
              </w:rPr>
              <w:t xml:space="preserve">The PIs with a focus on service to residents </w:t>
            </w:r>
            <w:r w:rsidR="001E792B" w:rsidRPr="001E792B">
              <w:rPr>
                <w:rFonts w:ascii="Arial" w:hAnsi="Arial" w:cs="Arial"/>
                <w:sz w:val="24"/>
                <w:szCs w:val="24"/>
              </w:rPr>
              <w:t xml:space="preserve">again </w:t>
            </w:r>
            <w:r w:rsidRPr="001E792B">
              <w:rPr>
                <w:rFonts w:ascii="Arial" w:hAnsi="Arial" w:cs="Arial"/>
                <w:sz w:val="24"/>
                <w:szCs w:val="24"/>
              </w:rPr>
              <w:t>sh</w:t>
            </w:r>
            <w:r w:rsidR="001E792B">
              <w:rPr>
                <w:rFonts w:ascii="Arial" w:hAnsi="Arial" w:cs="Arial"/>
                <w:sz w:val="24"/>
                <w:szCs w:val="24"/>
              </w:rPr>
              <w:t xml:space="preserve">ow a mixed picture this quarter, with some improvements compared with last quarter and last year and some deteriorating indicators. </w:t>
            </w:r>
          </w:p>
          <w:p w:rsidR="00501D86" w:rsidRPr="00C84A6C" w:rsidRDefault="00501D86" w:rsidP="001E792B">
            <w:pPr>
              <w:rPr>
                <w:rFonts w:ascii="Arial" w:hAnsi="Arial" w:cs="Arial"/>
                <w:i/>
                <w:sz w:val="24"/>
                <w:szCs w:val="24"/>
              </w:rPr>
            </w:pPr>
          </w:p>
        </w:tc>
      </w:tr>
      <w:tr w:rsidR="0042782F" w:rsidRPr="005930C8" w:rsidTr="00792AFB">
        <w:tc>
          <w:tcPr>
            <w:tcW w:w="750" w:type="dxa"/>
          </w:tcPr>
          <w:p w:rsidR="0042782F" w:rsidRPr="001E792B" w:rsidRDefault="00FB3433">
            <w:pPr>
              <w:rPr>
                <w:rFonts w:ascii="Arial" w:hAnsi="Arial" w:cs="Arial"/>
                <w:sz w:val="24"/>
                <w:szCs w:val="24"/>
              </w:rPr>
            </w:pPr>
            <w:r>
              <w:rPr>
                <w:rFonts w:ascii="Arial" w:hAnsi="Arial" w:cs="Arial"/>
                <w:sz w:val="24"/>
                <w:szCs w:val="24"/>
              </w:rPr>
              <w:t>3</w:t>
            </w:r>
            <w:r w:rsidR="001E792B">
              <w:rPr>
                <w:rFonts w:ascii="Arial" w:hAnsi="Arial" w:cs="Arial"/>
                <w:sz w:val="24"/>
                <w:szCs w:val="24"/>
              </w:rPr>
              <w:t>.2.1</w:t>
            </w:r>
            <w:r w:rsidR="00501D86" w:rsidRPr="001E792B">
              <w:rPr>
                <w:rFonts w:ascii="Arial" w:hAnsi="Arial" w:cs="Arial"/>
                <w:sz w:val="24"/>
                <w:szCs w:val="24"/>
              </w:rPr>
              <w:t xml:space="preserve"> </w:t>
            </w:r>
          </w:p>
        </w:tc>
        <w:tc>
          <w:tcPr>
            <w:tcW w:w="8492" w:type="dxa"/>
          </w:tcPr>
          <w:p w:rsidR="001E792B" w:rsidRDefault="001E792B" w:rsidP="001E792B">
            <w:pPr>
              <w:rPr>
                <w:rFonts w:ascii="Arial" w:hAnsi="Arial" w:cs="Arial"/>
                <w:sz w:val="24"/>
                <w:szCs w:val="24"/>
              </w:rPr>
            </w:pPr>
            <w:r w:rsidRPr="001E792B">
              <w:rPr>
                <w:rFonts w:ascii="Arial" w:hAnsi="Arial" w:cs="Arial"/>
                <w:sz w:val="24"/>
                <w:szCs w:val="24"/>
              </w:rPr>
              <w:t>The method used to collect the information on satisfaction with the repairs service (indicators 1</w:t>
            </w:r>
            <w:r w:rsidR="005733FB" w:rsidRPr="001E792B">
              <w:rPr>
                <w:rFonts w:ascii="Arial" w:hAnsi="Arial" w:cs="Arial"/>
                <w:sz w:val="24"/>
                <w:szCs w:val="24"/>
              </w:rPr>
              <w:t>, 2</w:t>
            </w:r>
            <w:r w:rsidRPr="001E792B">
              <w:rPr>
                <w:rFonts w:ascii="Arial" w:hAnsi="Arial" w:cs="Arial"/>
                <w:sz w:val="24"/>
                <w:szCs w:val="24"/>
              </w:rPr>
              <w:t xml:space="preserve"> and 3) has changed as we are now using an external market research company</w:t>
            </w:r>
            <w:r>
              <w:rPr>
                <w:rFonts w:ascii="Arial" w:hAnsi="Arial" w:cs="Arial"/>
                <w:sz w:val="24"/>
                <w:szCs w:val="24"/>
              </w:rPr>
              <w:t xml:space="preserve">, MEL. This means there is a longer interval between the repair being completed and the resident being asked about their experience of the service; this longer time would tend to lead to slightly lower satisfaction levels as explained in the commentary. Nevertheless on R3, the measure of whether residents said the repair was fixed at the first visit, the results improved. </w:t>
            </w:r>
          </w:p>
          <w:p w:rsidR="005930C8" w:rsidRDefault="001E792B" w:rsidP="001E792B">
            <w:pPr>
              <w:rPr>
                <w:rFonts w:ascii="Arial" w:hAnsi="Arial" w:cs="Arial"/>
                <w:sz w:val="24"/>
                <w:szCs w:val="24"/>
              </w:rPr>
            </w:pPr>
            <w:r w:rsidRPr="001E792B">
              <w:rPr>
                <w:rFonts w:ascii="Arial" w:hAnsi="Arial" w:cs="Arial"/>
                <w:sz w:val="24"/>
                <w:szCs w:val="24"/>
              </w:rPr>
              <w:t xml:space="preserve"> </w:t>
            </w:r>
          </w:p>
          <w:p w:rsidR="009E6D1E" w:rsidRDefault="009E6D1E" w:rsidP="001E792B">
            <w:pPr>
              <w:rPr>
                <w:rFonts w:ascii="Arial" w:hAnsi="Arial" w:cs="Arial"/>
                <w:sz w:val="24"/>
                <w:szCs w:val="24"/>
              </w:rPr>
            </w:pPr>
          </w:p>
          <w:p w:rsidR="009E6D1E" w:rsidRPr="001E792B" w:rsidRDefault="009E6D1E" w:rsidP="001E792B">
            <w:pPr>
              <w:rPr>
                <w:rFonts w:ascii="Arial" w:hAnsi="Arial" w:cs="Arial"/>
                <w:sz w:val="24"/>
                <w:szCs w:val="24"/>
              </w:rPr>
            </w:pPr>
          </w:p>
        </w:tc>
      </w:tr>
      <w:tr w:rsidR="0042782F" w:rsidRPr="005930C8" w:rsidTr="00792AFB">
        <w:tc>
          <w:tcPr>
            <w:tcW w:w="750" w:type="dxa"/>
          </w:tcPr>
          <w:p w:rsidR="0042782F" w:rsidRPr="005930C8" w:rsidRDefault="0059553C" w:rsidP="0059553C">
            <w:pPr>
              <w:rPr>
                <w:rFonts w:ascii="Arial" w:hAnsi="Arial" w:cs="Arial"/>
                <w:sz w:val="24"/>
                <w:szCs w:val="24"/>
              </w:rPr>
            </w:pPr>
            <w:r>
              <w:rPr>
                <w:rFonts w:ascii="Arial" w:hAnsi="Arial" w:cs="Arial"/>
                <w:sz w:val="24"/>
                <w:szCs w:val="24"/>
              </w:rPr>
              <w:lastRenderedPageBreak/>
              <w:t>3</w:t>
            </w:r>
            <w:r w:rsidR="00004D43" w:rsidRPr="005930C8">
              <w:rPr>
                <w:rFonts w:ascii="Arial" w:hAnsi="Arial" w:cs="Arial"/>
                <w:sz w:val="24"/>
                <w:szCs w:val="24"/>
              </w:rPr>
              <w:t>.2.</w:t>
            </w:r>
            <w:r w:rsidR="001E792B">
              <w:rPr>
                <w:rFonts w:ascii="Arial" w:hAnsi="Arial" w:cs="Arial"/>
                <w:sz w:val="24"/>
                <w:szCs w:val="24"/>
              </w:rPr>
              <w:t>2</w:t>
            </w:r>
          </w:p>
        </w:tc>
        <w:tc>
          <w:tcPr>
            <w:tcW w:w="8492" w:type="dxa"/>
          </w:tcPr>
          <w:p w:rsidR="005930C8" w:rsidRPr="005930C8" w:rsidRDefault="001E792B" w:rsidP="00F83EF0">
            <w:pPr>
              <w:rPr>
                <w:rFonts w:ascii="Arial" w:hAnsi="Arial" w:cs="Arial"/>
                <w:sz w:val="24"/>
                <w:szCs w:val="24"/>
              </w:rPr>
            </w:pPr>
            <w:r>
              <w:rPr>
                <w:rFonts w:ascii="Arial" w:hAnsi="Arial" w:cs="Arial"/>
                <w:sz w:val="24"/>
                <w:szCs w:val="24"/>
              </w:rPr>
              <w:t>The Customer Services PIs on calls answered within target and the rate of abandoned calls both deteriorated in Q2, due to staff shortages resulting from sickness and an unpl</w:t>
            </w:r>
            <w:r w:rsidR="00F83EF0">
              <w:rPr>
                <w:rFonts w:ascii="Arial" w:hAnsi="Arial" w:cs="Arial"/>
                <w:sz w:val="24"/>
                <w:szCs w:val="24"/>
              </w:rPr>
              <w:t>anned</w:t>
            </w:r>
            <w:r>
              <w:rPr>
                <w:rFonts w:ascii="Arial" w:hAnsi="Arial" w:cs="Arial"/>
                <w:sz w:val="24"/>
                <w:szCs w:val="24"/>
              </w:rPr>
              <w:t xml:space="preserve"> departure</w:t>
            </w:r>
            <w:r w:rsidR="00F83EF0">
              <w:rPr>
                <w:rFonts w:ascii="Arial" w:hAnsi="Arial" w:cs="Arial"/>
                <w:sz w:val="24"/>
                <w:szCs w:val="24"/>
              </w:rPr>
              <w:t xml:space="preserve"> of a staff member. It was not possible to fully make up for these absences with our bank staff arrangements. </w:t>
            </w:r>
          </w:p>
        </w:tc>
      </w:tr>
      <w:tr w:rsidR="0042782F" w:rsidRPr="005930C8" w:rsidTr="00792AFB">
        <w:tc>
          <w:tcPr>
            <w:tcW w:w="750" w:type="dxa"/>
          </w:tcPr>
          <w:p w:rsidR="00F83EF0" w:rsidRDefault="00F83EF0">
            <w:pPr>
              <w:rPr>
                <w:rFonts w:ascii="Arial" w:hAnsi="Arial" w:cs="Arial"/>
                <w:sz w:val="24"/>
                <w:szCs w:val="24"/>
              </w:rPr>
            </w:pPr>
          </w:p>
          <w:p w:rsidR="0042782F" w:rsidRPr="005930C8" w:rsidRDefault="0059553C">
            <w:pPr>
              <w:rPr>
                <w:rFonts w:ascii="Arial" w:hAnsi="Arial" w:cs="Arial"/>
                <w:sz w:val="24"/>
                <w:szCs w:val="24"/>
              </w:rPr>
            </w:pPr>
            <w:r>
              <w:rPr>
                <w:rFonts w:ascii="Arial" w:hAnsi="Arial" w:cs="Arial"/>
                <w:sz w:val="24"/>
                <w:szCs w:val="24"/>
              </w:rPr>
              <w:t>3</w:t>
            </w:r>
            <w:r w:rsidR="009E6D1E">
              <w:rPr>
                <w:rFonts w:ascii="Arial" w:hAnsi="Arial" w:cs="Arial"/>
                <w:sz w:val="24"/>
                <w:szCs w:val="24"/>
              </w:rPr>
              <w:t>.2.3</w:t>
            </w:r>
          </w:p>
        </w:tc>
        <w:tc>
          <w:tcPr>
            <w:tcW w:w="8492" w:type="dxa"/>
          </w:tcPr>
          <w:p w:rsidR="0042782F" w:rsidRDefault="0042782F">
            <w:pPr>
              <w:rPr>
                <w:rFonts w:ascii="Arial" w:hAnsi="Arial" w:cs="Arial"/>
                <w:sz w:val="24"/>
                <w:szCs w:val="24"/>
              </w:rPr>
            </w:pPr>
          </w:p>
          <w:p w:rsidR="00F83EF0" w:rsidRDefault="00F83EF0" w:rsidP="009237CF">
            <w:pPr>
              <w:rPr>
                <w:rFonts w:ascii="Arial" w:hAnsi="Arial" w:cs="Arial"/>
                <w:sz w:val="24"/>
                <w:szCs w:val="24"/>
              </w:rPr>
            </w:pPr>
            <w:r>
              <w:rPr>
                <w:rFonts w:ascii="Arial" w:hAnsi="Arial" w:cs="Arial"/>
                <w:sz w:val="24"/>
                <w:szCs w:val="24"/>
              </w:rPr>
              <w:t xml:space="preserve">The target for responding to emergency repairs was once again consistently met and the “end to end” time for repairs has improved. Complaints performance has started to improve </w:t>
            </w:r>
            <w:r w:rsidR="009237CF">
              <w:rPr>
                <w:rFonts w:ascii="Arial" w:hAnsi="Arial" w:cs="Arial"/>
                <w:sz w:val="24"/>
                <w:szCs w:val="24"/>
              </w:rPr>
              <w:t xml:space="preserve">and new staff have now </w:t>
            </w:r>
            <w:r w:rsidR="005733FB">
              <w:rPr>
                <w:rFonts w:ascii="Arial" w:hAnsi="Arial" w:cs="Arial"/>
                <w:sz w:val="24"/>
                <w:szCs w:val="24"/>
              </w:rPr>
              <w:t>had full</w:t>
            </w:r>
            <w:r w:rsidR="009237CF">
              <w:rPr>
                <w:rFonts w:ascii="Arial" w:hAnsi="Arial" w:cs="Arial"/>
                <w:sz w:val="24"/>
                <w:szCs w:val="24"/>
              </w:rPr>
              <w:t xml:space="preserve"> training in the complaints management system. There is however still a long way to go to get to our target level of performance. </w:t>
            </w:r>
          </w:p>
          <w:p w:rsidR="009E6D1E" w:rsidRPr="005930C8" w:rsidRDefault="009E6D1E" w:rsidP="009237CF">
            <w:pPr>
              <w:rPr>
                <w:rFonts w:ascii="Arial" w:hAnsi="Arial" w:cs="Arial"/>
                <w:sz w:val="24"/>
                <w:szCs w:val="24"/>
              </w:rPr>
            </w:pPr>
          </w:p>
        </w:tc>
      </w:tr>
      <w:tr w:rsidR="0042782F" w:rsidRPr="005930C8" w:rsidTr="00792AFB">
        <w:tc>
          <w:tcPr>
            <w:tcW w:w="750" w:type="dxa"/>
          </w:tcPr>
          <w:p w:rsidR="0042782F" w:rsidRPr="005930C8" w:rsidRDefault="0059553C" w:rsidP="0059553C">
            <w:pPr>
              <w:rPr>
                <w:rFonts w:ascii="Arial" w:hAnsi="Arial" w:cs="Arial"/>
                <w:b/>
                <w:sz w:val="24"/>
                <w:szCs w:val="24"/>
              </w:rPr>
            </w:pPr>
            <w:r>
              <w:rPr>
                <w:rFonts w:ascii="Arial" w:hAnsi="Arial" w:cs="Arial"/>
                <w:b/>
                <w:sz w:val="24"/>
                <w:szCs w:val="24"/>
              </w:rPr>
              <w:t>3</w:t>
            </w:r>
            <w:r w:rsidR="009E6D1E">
              <w:rPr>
                <w:rFonts w:ascii="Arial" w:hAnsi="Arial" w:cs="Arial"/>
                <w:b/>
                <w:sz w:val="24"/>
                <w:szCs w:val="24"/>
              </w:rPr>
              <w:t>.3</w:t>
            </w:r>
          </w:p>
        </w:tc>
        <w:tc>
          <w:tcPr>
            <w:tcW w:w="8492" w:type="dxa"/>
          </w:tcPr>
          <w:p w:rsidR="0042782F" w:rsidRPr="005930C8" w:rsidRDefault="00004D43">
            <w:pPr>
              <w:rPr>
                <w:rFonts w:ascii="Arial" w:hAnsi="Arial" w:cs="Arial"/>
                <w:b/>
                <w:sz w:val="24"/>
                <w:szCs w:val="24"/>
              </w:rPr>
            </w:pPr>
            <w:r w:rsidRPr="005930C8">
              <w:rPr>
                <w:rFonts w:ascii="Arial" w:hAnsi="Arial" w:cs="Arial"/>
                <w:b/>
                <w:sz w:val="24"/>
                <w:szCs w:val="24"/>
              </w:rPr>
              <w:t xml:space="preserve">Safety </w:t>
            </w:r>
          </w:p>
          <w:p w:rsidR="00004D43" w:rsidRPr="005930C8" w:rsidRDefault="00004D43">
            <w:pPr>
              <w:rPr>
                <w:rFonts w:ascii="Arial" w:hAnsi="Arial" w:cs="Arial"/>
                <w:b/>
                <w:sz w:val="24"/>
                <w:szCs w:val="24"/>
              </w:rPr>
            </w:pPr>
          </w:p>
        </w:tc>
      </w:tr>
      <w:tr w:rsidR="0042782F" w:rsidRPr="005930C8" w:rsidTr="00792AFB">
        <w:tc>
          <w:tcPr>
            <w:tcW w:w="750" w:type="dxa"/>
          </w:tcPr>
          <w:p w:rsidR="0042782F" w:rsidRPr="005930C8" w:rsidRDefault="0042782F">
            <w:pPr>
              <w:rPr>
                <w:rFonts w:ascii="Arial" w:hAnsi="Arial" w:cs="Arial"/>
                <w:sz w:val="24"/>
                <w:szCs w:val="24"/>
              </w:rPr>
            </w:pPr>
          </w:p>
        </w:tc>
        <w:tc>
          <w:tcPr>
            <w:tcW w:w="8492" w:type="dxa"/>
          </w:tcPr>
          <w:p w:rsidR="004A3D06" w:rsidRDefault="00E36310" w:rsidP="00E36310">
            <w:pPr>
              <w:rPr>
                <w:rFonts w:ascii="Arial" w:hAnsi="Arial" w:cs="Arial"/>
                <w:sz w:val="24"/>
                <w:szCs w:val="24"/>
              </w:rPr>
            </w:pPr>
            <w:r>
              <w:rPr>
                <w:rFonts w:ascii="Arial" w:hAnsi="Arial" w:cs="Arial"/>
                <w:sz w:val="24"/>
                <w:szCs w:val="24"/>
              </w:rPr>
              <w:t xml:space="preserve">The gas safety coverage dropped slightly below 100% for the reasons described in detail in the commentary in table S1. </w:t>
            </w:r>
            <w:r w:rsidR="005733FB">
              <w:rPr>
                <w:rFonts w:ascii="Arial" w:hAnsi="Arial" w:cs="Arial"/>
                <w:sz w:val="24"/>
                <w:szCs w:val="24"/>
              </w:rPr>
              <w:t xml:space="preserve">All bar one of the gas safety checks outstanding at the end of September have now been done and the one which is outstanding has been referred to solicitors to persuade the resident to provide access. </w:t>
            </w:r>
            <w:r>
              <w:rPr>
                <w:rFonts w:ascii="Arial" w:hAnsi="Arial" w:cs="Arial"/>
                <w:sz w:val="24"/>
                <w:szCs w:val="24"/>
              </w:rPr>
              <w:t xml:space="preserve">The performance on compliance on FRAs has improved compared with last quarter with no outstanding assessments and only 3 category C “good practice” actions remaining following the FRA review. </w:t>
            </w:r>
          </w:p>
          <w:p w:rsidR="00E36310" w:rsidRPr="005930C8" w:rsidRDefault="00E36310" w:rsidP="00E36310">
            <w:pPr>
              <w:rPr>
                <w:rFonts w:ascii="Arial" w:hAnsi="Arial" w:cs="Arial"/>
                <w:sz w:val="24"/>
                <w:szCs w:val="24"/>
              </w:rPr>
            </w:pPr>
          </w:p>
        </w:tc>
      </w:tr>
      <w:tr w:rsidR="0042782F" w:rsidRPr="005930C8" w:rsidTr="00792AFB">
        <w:tc>
          <w:tcPr>
            <w:tcW w:w="750" w:type="dxa"/>
          </w:tcPr>
          <w:p w:rsidR="0042782F" w:rsidRPr="005930C8" w:rsidRDefault="0059553C">
            <w:pPr>
              <w:rPr>
                <w:rFonts w:ascii="Arial" w:hAnsi="Arial" w:cs="Arial"/>
                <w:b/>
                <w:sz w:val="24"/>
                <w:szCs w:val="24"/>
              </w:rPr>
            </w:pPr>
            <w:r>
              <w:rPr>
                <w:rFonts w:ascii="Arial" w:hAnsi="Arial" w:cs="Arial"/>
                <w:b/>
                <w:sz w:val="24"/>
                <w:szCs w:val="24"/>
              </w:rPr>
              <w:t>3</w:t>
            </w:r>
            <w:r w:rsidR="009E6D1E">
              <w:rPr>
                <w:rFonts w:ascii="Arial" w:hAnsi="Arial" w:cs="Arial"/>
                <w:b/>
                <w:sz w:val="24"/>
                <w:szCs w:val="24"/>
              </w:rPr>
              <w:t>.4</w:t>
            </w:r>
          </w:p>
        </w:tc>
        <w:tc>
          <w:tcPr>
            <w:tcW w:w="8492" w:type="dxa"/>
          </w:tcPr>
          <w:p w:rsidR="0042782F" w:rsidRDefault="004A3D06">
            <w:pPr>
              <w:rPr>
                <w:rFonts w:ascii="Arial" w:hAnsi="Arial" w:cs="Arial"/>
                <w:b/>
                <w:sz w:val="24"/>
                <w:szCs w:val="24"/>
              </w:rPr>
            </w:pPr>
            <w:r w:rsidRPr="005930C8">
              <w:rPr>
                <w:rFonts w:ascii="Arial" w:hAnsi="Arial" w:cs="Arial"/>
                <w:b/>
                <w:sz w:val="24"/>
                <w:szCs w:val="24"/>
              </w:rPr>
              <w:t xml:space="preserve">Income indicators </w:t>
            </w:r>
          </w:p>
          <w:p w:rsidR="005930C8" w:rsidRPr="005930C8" w:rsidRDefault="005930C8">
            <w:pPr>
              <w:rPr>
                <w:rFonts w:ascii="Arial" w:hAnsi="Arial" w:cs="Arial"/>
                <w:b/>
                <w:sz w:val="24"/>
                <w:szCs w:val="24"/>
              </w:rPr>
            </w:pPr>
          </w:p>
        </w:tc>
      </w:tr>
      <w:tr w:rsidR="0042782F" w:rsidRPr="005930C8" w:rsidTr="00792AFB">
        <w:tc>
          <w:tcPr>
            <w:tcW w:w="750" w:type="dxa"/>
          </w:tcPr>
          <w:p w:rsidR="0042782F" w:rsidRPr="005930C8" w:rsidRDefault="0059553C" w:rsidP="0059553C">
            <w:pPr>
              <w:rPr>
                <w:rFonts w:ascii="Arial" w:hAnsi="Arial" w:cs="Arial"/>
                <w:sz w:val="24"/>
                <w:szCs w:val="24"/>
              </w:rPr>
            </w:pPr>
            <w:r>
              <w:rPr>
                <w:rFonts w:ascii="Arial" w:hAnsi="Arial" w:cs="Arial"/>
                <w:sz w:val="24"/>
                <w:szCs w:val="24"/>
              </w:rPr>
              <w:t>3</w:t>
            </w:r>
            <w:r w:rsidR="00337580" w:rsidRPr="005930C8">
              <w:rPr>
                <w:rFonts w:ascii="Arial" w:hAnsi="Arial" w:cs="Arial"/>
                <w:sz w:val="24"/>
                <w:szCs w:val="24"/>
              </w:rPr>
              <w:t xml:space="preserve">.4.1 </w:t>
            </w:r>
          </w:p>
        </w:tc>
        <w:tc>
          <w:tcPr>
            <w:tcW w:w="8492" w:type="dxa"/>
          </w:tcPr>
          <w:p w:rsidR="0042782F" w:rsidRPr="00C84A6C" w:rsidRDefault="007959BB" w:rsidP="00337580">
            <w:pPr>
              <w:rPr>
                <w:rFonts w:ascii="Arial" w:hAnsi="Arial" w:cs="Arial"/>
                <w:i/>
                <w:sz w:val="24"/>
                <w:szCs w:val="24"/>
              </w:rPr>
            </w:pPr>
            <w:r>
              <w:rPr>
                <w:rFonts w:ascii="Arial" w:hAnsi="Arial" w:cs="Arial"/>
                <w:sz w:val="24"/>
                <w:szCs w:val="24"/>
              </w:rPr>
              <w:t xml:space="preserve">The income indicators show a mixed position. Arrears in General Needs are a long way from our target. Housing officers have had some recent training in effective arrears management and on preparing for Universal Credit. </w:t>
            </w:r>
            <w:r w:rsidR="005733FB">
              <w:rPr>
                <w:rFonts w:ascii="Arial" w:hAnsi="Arial" w:cs="Arial"/>
                <w:sz w:val="24"/>
                <w:szCs w:val="24"/>
              </w:rPr>
              <w:t xml:space="preserve">There is a drive on arrears work to try and improve the position and there will also be a pre-Christmas campaign. </w:t>
            </w:r>
            <w:r>
              <w:rPr>
                <w:rFonts w:ascii="Arial" w:hAnsi="Arial" w:cs="Arial"/>
                <w:sz w:val="24"/>
                <w:szCs w:val="24"/>
              </w:rPr>
              <w:t xml:space="preserve">We have also made a decision to buy some software to assist in the targeting of arrears work and this should go live in the New Year. In the other rent areas, shared ownership arrears have improved a little and Supported Housing is regularly achieving the target level and is currently doing better than General Needs.  </w:t>
            </w:r>
            <w:r w:rsidR="00337580" w:rsidRPr="00C84A6C">
              <w:rPr>
                <w:rFonts w:ascii="Arial" w:hAnsi="Arial" w:cs="Arial"/>
                <w:i/>
                <w:sz w:val="24"/>
                <w:szCs w:val="24"/>
              </w:rPr>
              <w:t xml:space="preserve"> </w:t>
            </w:r>
          </w:p>
          <w:p w:rsidR="005930C8" w:rsidRPr="00C84A6C" w:rsidRDefault="005930C8" w:rsidP="00337580">
            <w:pPr>
              <w:rPr>
                <w:rFonts w:ascii="Arial" w:hAnsi="Arial" w:cs="Arial"/>
                <w:i/>
                <w:sz w:val="24"/>
                <w:szCs w:val="24"/>
              </w:rPr>
            </w:pPr>
          </w:p>
        </w:tc>
      </w:tr>
      <w:tr w:rsidR="009E6D1E" w:rsidRPr="005930C8" w:rsidTr="00792AFB">
        <w:tc>
          <w:tcPr>
            <w:tcW w:w="750" w:type="dxa"/>
          </w:tcPr>
          <w:p w:rsidR="009E6D1E" w:rsidRDefault="009E6D1E" w:rsidP="009E6D1E">
            <w:pPr>
              <w:rPr>
                <w:rFonts w:ascii="Arial" w:hAnsi="Arial" w:cs="Arial"/>
                <w:sz w:val="24"/>
                <w:szCs w:val="24"/>
              </w:rPr>
            </w:pPr>
            <w:r>
              <w:rPr>
                <w:rFonts w:ascii="Arial" w:hAnsi="Arial" w:cs="Arial"/>
                <w:sz w:val="24"/>
                <w:szCs w:val="24"/>
              </w:rPr>
              <w:t>3</w:t>
            </w:r>
            <w:r w:rsidRPr="005930C8">
              <w:rPr>
                <w:rFonts w:ascii="Arial" w:hAnsi="Arial" w:cs="Arial"/>
                <w:sz w:val="24"/>
                <w:szCs w:val="24"/>
              </w:rPr>
              <w:t>.4.2</w:t>
            </w:r>
          </w:p>
          <w:p w:rsidR="009E6D1E" w:rsidRDefault="009E6D1E">
            <w:pPr>
              <w:rPr>
                <w:rFonts w:ascii="Arial" w:hAnsi="Arial" w:cs="Arial"/>
                <w:sz w:val="24"/>
                <w:szCs w:val="24"/>
              </w:rPr>
            </w:pPr>
          </w:p>
        </w:tc>
        <w:tc>
          <w:tcPr>
            <w:tcW w:w="8492" w:type="dxa"/>
          </w:tcPr>
          <w:p w:rsidR="009E6D1E" w:rsidRDefault="009E6D1E" w:rsidP="009E6D1E">
            <w:pPr>
              <w:rPr>
                <w:rFonts w:ascii="Arial" w:hAnsi="Arial" w:cs="Arial"/>
                <w:sz w:val="24"/>
                <w:szCs w:val="24"/>
              </w:rPr>
            </w:pPr>
            <w:r>
              <w:rPr>
                <w:rFonts w:ascii="Arial" w:hAnsi="Arial" w:cs="Arial"/>
                <w:sz w:val="24"/>
                <w:szCs w:val="24"/>
              </w:rPr>
              <w:t>Overall, the position on voids is improving. As forecast last quarter the void loss has started to improve as the back-log of voids in the disposal consideration process has reduced. This improvement should be maintained as we are no longer considering voids for disposal to fund the development programme. The relet time has also been reduced in general needs, although not in Supported Housing. However void losses have reduced in Supported Housing</w:t>
            </w:r>
          </w:p>
          <w:p w:rsidR="009E6D1E" w:rsidRDefault="009E6D1E">
            <w:pPr>
              <w:rPr>
                <w:rFonts w:ascii="Arial" w:hAnsi="Arial" w:cs="Arial"/>
                <w:sz w:val="24"/>
                <w:szCs w:val="24"/>
              </w:rPr>
            </w:pPr>
          </w:p>
        </w:tc>
      </w:tr>
      <w:tr w:rsidR="0042782F" w:rsidRPr="005930C8" w:rsidTr="00792AFB">
        <w:tc>
          <w:tcPr>
            <w:tcW w:w="750" w:type="dxa"/>
          </w:tcPr>
          <w:p w:rsidR="00B54B9C" w:rsidRPr="009E6D1E" w:rsidRDefault="0059553C" w:rsidP="0059553C">
            <w:pPr>
              <w:rPr>
                <w:rFonts w:ascii="Arial" w:hAnsi="Arial" w:cs="Arial"/>
                <w:b/>
                <w:sz w:val="24"/>
                <w:szCs w:val="24"/>
              </w:rPr>
            </w:pPr>
            <w:r w:rsidRPr="009E6D1E">
              <w:rPr>
                <w:rFonts w:ascii="Arial" w:hAnsi="Arial" w:cs="Arial"/>
                <w:b/>
                <w:sz w:val="24"/>
                <w:szCs w:val="24"/>
              </w:rPr>
              <w:t>3</w:t>
            </w:r>
            <w:r w:rsidR="00B54B9C" w:rsidRPr="009E6D1E">
              <w:rPr>
                <w:rFonts w:ascii="Arial" w:hAnsi="Arial" w:cs="Arial"/>
                <w:b/>
                <w:sz w:val="24"/>
                <w:szCs w:val="24"/>
              </w:rPr>
              <w:t>.5</w:t>
            </w:r>
          </w:p>
        </w:tc>
        <w:tc>
          <w:tcPr>
            <w:tcW w:w="8492" w:type="dxa"/>
          </w:tcPr>
          <w:p w:rsidR="00337580" w:rsidRPr="00B54B9C" w:rsidRDefault="00B54B9C">
            <w:pPr>
              <w:rPr>
                <w:rFonts w:ascii="Arial" w:hAnsi="Arial" w:cs="Arial"/>
                <w:b/>
                <w:sz w:val="24"/>
                <w:szCs w:val="24"/>
              </w:rPr>
            </w:pPr>
            <w:r w:rsidRPr="00B54B9C">
              <w:rPr>
                <w:rFonts w:ascii="Arial" w:hAnsi="Arial" w:cs="Arial"/>
                <w:b/>
                <w:sz w:val="24"/>
                <w:szCs w:val="24"/>
              </w:rPr>
              <w:t xml:space="preserve">People </w:t>
            </w:r>
            <w:r>
              <w:rPr>
                <w:rFonts w:ascii="Arial" w:hAnsi="Arial" w:cs="Arial"/>
                <w:b/>
                <w:sz w:val="24"/>
                <w:szCs w:val="24"/>
              </w:rPr>
              <w:t>indicator</w:t>
            </w:r>
          </w:p>
          <w:p w:rsidR="00B54B9C" w:rsidRDefault="00B54B9C">
            <w:pPr>
              <w:rPr>
                <w:rFonts w:ascii="Arial" w:hAnsi="Arial" w:cs="Arial"/>
                <w:sz w:val="24"/>
                <w:szCs w:val="24"/>
              </w:rPr>
            </w:pPr>
          </w:p>
          <w:p w:rsidR="00B54B9C" w:rsidRDefault="00B54B9C">
            <w:pPr>
              <w:rPr>
                <w:rFonts w:ascii="Arial" w:hAnsi="Arial" w:cs="Arial"/>
                <w:sz w:val="24"/>
                <w:szCs w:val="24"/>
              </w:rPr>
            </w:pPr>
            <w:r>
              <w:rPr>
                <w:rFonts w:ascii="Arial" w:hAnsi="Arial" w:cs="Arial"/>
                <w:sz w:val="24"/>
                <w:szCs w:val="24"/>
              </w:rPr>
              <w:t xml:space="preserve">Sickness absence has been way off target in Q2, mostly because of long-term sickness. This has had a real impact on the service </w:t>
            </w:r>
            <w:r w:rsidR="005733FB">
              <w:rPr>
                <w:rFonts w:ascii="Arial" w:hAnsi="Arial" w:cs="Arial"/>
                <w:sz w:val="24"/>
                <w:szCs w:val="24"/>
              </w:rPr>
              <w:t>and although</w:t>
            </w:r>
            <w:r w:rsidR="0038266C">
              <w:rPr>
                <w:rFonts w:ascii="Arial" w:hAnsi="Arial" w:cs="Arial"/>
                <w:sz w:val="24"/>
                <w:szCs w:val="24"/>
              </w:rPr>
              <w:t xml:space="preserve"> the </w:t>
            </w:r>
            <w:r>
              <w:rPr>
                <w:rFonts w:ascii="Arial" w:hAnsi="Arial" w:cs="Arial"/>
                <w:sz w:val="24"/>
                <w:szCs w:val="24"/>
              </w:rPr>
              <w:t xml:space="preserve">individuals could not get into work, they were willing to do a bit of work from home towards the end of their recovery period; this is in line with the more proactive </w:t>
            </w:r>
            <w:r w:rsidR="005733FB">
              <w:rPr>
                <w:rFonts w:ascii="Arial" w:hAnsi="Arial" w:cs="Arial"/>
                <w:sz w:val="24"/>
                <w:szCs w:val="24"/>
              </w:rPr>
              <w:t>management we</w:t>
            </w:r>
            <w:r>
              <w:rPr>
                <w:rFonts w:ascii="Arial" w:hAnsi="Arial" w:cs="Arial"/>
                <w:sz w:val="24"/>
                <w:szCs w:val="24"/>
              </w:rPr>
              <w:t xml:space="preserve"> are taking since the review of sickness absence was done last year. .  </w:t>
            </w:r>
          </w:p>
          <w:p w:rsidR="00B54B9C" w:rsidRPr="00B54B9C" w:rsidRDefault="00B54B9C">
            <w:pPr>
              <w:rPr>
                <w:rFonts w:ascii="Arial" w:hAnsi="Arial" w:cs="Arial"/>
                <w:sz w:val="24"/>
                <w:szCs w:val="24"/>
              </w:rPr>
            </w:pPr>
          </w:p>
        </w:tc>
      </w:tr>
      <w:tr w:rsidR="0042782F" w:rsidRPr="005930C8" w:rsidTr="00792AFB">
        <w:tc>
          <w:tcPr>
            <w:tcW w:w="750" w:type="dxa"/>
          </w:tcPr>
          <w:p w:rsidR="0042782F" w:rsidRPr="001C5F9A" w:rsidRDefault="0059553C" w:rsidP="0059553C">
            <w:pPr>
              <w:rPr>
                <w:rFonts w:ascii="Arial" w:hAnsi="Arial" w:cs="Arial"/>
                <w:b/>
                <w:sz w:val="24"/>
                <w:szCs w:val="24"/>
              </w:rPr>
            </w:pPr>
            <w:r>
              <w:rPr>
                <w:rFonts w:ascii="Arial" w:hAnsi="Arial" w:cs="Arial"/>
                <w:b/>
                <w:sz w:val="24"/>
                <w:szCs w:val="24"/>
              </w:rPr>
              <w:lastRenderedPageBreak/>
              <w:t>3</w:t>
            </w:r>
            <w:r w:rsidR="00DF20B3" w:rsidRPr="001C5F9A">
              <w:rPr>
                <w:rFonts w:ascii="Arial" w:hAnsi="Arial" w:cs="Arial"/>
                <w:b/>
                <w:sz w:val="24"/>
                <w:szCs w:val="24"/>
              </w:rPr>
              <w:t xml:space="preserve">.6 </w:t>
            </w:r>
          </w:p>
        </w:tc>
        <w:tc>
          <w:tcPr>
            <w:tcW w:w="8492" w:type="dxa"/>
          </w:tcPr>
          <w:p w:rsidR="0042782F" w:rsidRDefault="00DF20B3">
            <w:pPr>
              <w:rPr>
                <w:rFonts w:ascii="Arial" w:hAnsi="Arial" w:cs="Arial"/>
                <w:b/>
                <w:sz w:val="24"/>
                <w:szCs w:val="24"/>
              </w:rPr>
            </w:pPr>
            <w:r w:rsidRPr="001C5F9A">
              <w:rPr>
                <w:rFonts w:ascii="Arial" w:hAnsi="Arial" w:cs="Arial"/>
                <w:b/>
                <w:sz w:val="24"/>
                <w:szCs w:val="24"/>
              </w:rPr>
              <w:t xml:space="preserve">Development programme </w:t>
            </w:r>
          </w:p>
          <w:p w:rsidR="001C5F9A" w:rsidRPr="001C5F9A" w:rsidRDefault="001C5F9A">
            <w:pPr>
              <w:rPr>
                <w:rFonts w:ascii="Arial" w:hAnsi="Arial" w:cs="Arial"/>
                <w:b/>
                <w:sz w:val="24"/>
                <w:szCs w:val="24"/>
              </w:rPr>
            </w:pPr>
          </w:p>
        </w:tc>
      </w:tr>
      <w:tr w:rsidR="0042782F" w:rsidRPr="00B54B9C" w:rsidTr="00792AFB">
        <w:tc>
          <w:tcPr>
            <w:tcW w:w="750" w:type="dxa"/>
          </w:tcPr>
          <w:p w:rsidR="0042782F" w:rsidRPr="00B54B9C" w:rsidRDefault="0059553C" w:rsidP="0059553C">
            <w:pPr>
              <w:rPr>
                <w:rFonts w:ascii="Arial" w:hAnsi="Arial" w:cs="Arial"/>
                <w:sz w:val="24"/>
                <w:szCs w:val="24"/>
              </w:rPr>
            </w:pPr>
            <w:r>
              <w:rPr>
                <w:rFonts w:ascii="Arial" w:hAnsi="Arial" w:cs="Arial"/>
                <w:sz w:val="24"/>
                <w:szCs w:val="24"/>
              </w:rPr>
              <w:t>3</w:t>
            </w:r>
            <w:r w:rsidR="00DF20B3" w:rsidRPr="00B54B9C">
              <w:rPr>
                <w:rFonts w:ascii="Arial" w:hAnsi="Arial" w:cs="Arial"/>
                <w:sz w:val="24"/>
                <w:szCs w:val="24"/>
              </w:rPr>
              <w:t xml:space="preserve">.6.1 </w:t>
            </w:r>
          </w:p>
        </w:tc>
        <w:tc>
          <w:tcPr>
            <w:tcW w:w="8492" w:type="dxa"/>
          </w:tcPr>
          <w:p w:rsidR="00DF20B3" w:rsidRDefault="00DF20B3" w:rsidP="00DF20B3">
            <w:pPr>
              <w:rPr>
                <w:rFonts w:ascii="Arial" w:hAnsi="Arial" w:cs="Arial"/>
                <w:sz w:val="24"/>
                <w:szCs w:val="24"/>
              </w:rPr>
            </w:pPr>
            <w:r w:rsidRPr="00B54B9C">
              <w:rPr>
                <w:rFonts w:ascii="Arial" w:hAnsi="Arial" w:cs="Arial"/>
                <w:sz w:val="24"/>
                <w:szCs w:val="24"/>
              </w:rPr>
              <w:t xml:space="preserve">The Development  PIs cover all three funding streams: </w:t>
            </w:r>
          </w:p>
          <w:p w:rsidR="009E6D1E" w:rsidRPr="00B54B9C" w:rsidRDefault="009E6D1E" w:rsidP="00DF20B3">
            <w:pPr>
              <w:rPr>
                <w:rFonts w:ascii="Arial" w:hAnsi="Arial" w:cs="Arial"/>
                <w:sz w:val="24"/>
                <w:szCs w:val="24"/>
              </w:rPr>
            </w:pPr>
          </w:p>
          <w:p w:rsidR="00DF20B3" w:rsidRDefault="00DF20B3" w:rsidP="00DF20B3">
            <w:pPr>
              <w:pStyle w:val="ListParagraph"/>
              <w:numPr>
                <w:ilvl w:val="0"/>
                <w:numId w:val="2"/>
              </w:numPr>
              <w:rPr>
                <w:rFonts w:ascii="Arial" w:hAnsi="Arial" w:cs="Arial"/>
                <w:sz w:val="24"/>
                <w:szCs w:val="24"/>
              </w:rPr>
            </w:pPr>
            <w:r w:rsidRPr="00B54B9C">
              <w:rPr>
                <w:rFonts w:ascii="Arial" w:hAnsi="Arial" w:cs="Arial"/>
                <w:sz w:val="24"/>
                <w:szCs w:val="24"/>
              </w:rPr>
              <w:t xml:space="preserve">2011/15 Affordable Homes Programme (11/15 AHP) </w:t>
            </w:r>
          </w:p>
          <w:p w:rsidR="009E6D1E" w:rsidRPr="00B54B9C" w:rsidRDefault="009E6D1E" w:rsidP="009E6D1E">
            <w:pPr>
              <w:pStyle w:val="ListParagraph"/>
              <w:ind w:left="780"/>
              <w:rPr>
                <w:rFonts w:ascii="Arial" w:hAnsi="Arial" w:cs="Arial"/>
                <w:sz w:val="24"/>
                <w:szCs w:val="24"/>
              </w:rPr>
            </w:pPr>
          </w:p>
          <w:p w:rsidR="00DF20B3" w:rsidRDefault="00DF20B3" w:rsidP="00DF20B3">
            <w:pPr>
              <w:pStyle w:val="ListParagraph"/>
              <w:numPr>
                <w:ilvl w:val="0"/>
                <w:numId w:val="2"/>
              </w:numPr>
              <w:rPr>
                <w:rFonts w:ascii="Arial" w:hAnsi="Arial" w:cs="Arial"/>
                <w:sz w:val="24"/>
                <w:szCs w:val="24"/>
              </w:rPr>
            </w:pPr>
            <w:r w:rsidRPr="00B54B9C">
              <w:rPr>
                <w:rFonts w:ascii="Arial" w:hAnsi="Arial" w:cs="Arial"/>
                <w:sz w:val="24"/>
                <w:szCs w:val="24"/>
              </w:rPr>
              <w:t>Building the Pipeline (MHC BTP)</w:t>
            </w:r>
          </w:p>
          <w:p w:rsidR="009E6D1E" w:rsidRPr="009E6D1E" w:rsidRDefault="009E6D1E" w:rsidP="009E6D1E">
            <w:pPr>
              <w:rPr>
                <w:rFonts w:ascii="Arial" w:hAnsi="Arial" w:cs="Arial"/>
                <w:sz w:val="24"/>
                <w:szCs w:val="24"/>
              </w:rPr>
            </w:pPr>
          </w:p>
          <w:p w:rsidR="00DF20B3" w:rsidRPr="00B54B9C" w:rsidRDefault="00DF20B3" w:rsidP="00DF20B3">
            <w:pPr>
              <w:pStyle w:val="ListParagraph"/>
              <w:numPr>
                <w:ilvl w:val="0"/>
                <w:numId w:val="2"/>
              </w:numPr>
              <w:rPr>
                <w:rFonts w:ascii="Arial" w:hAnsi="Arial" w:cs="Arial"/>
                <w:sz w:val="24"/>
                <w:szCs w:val="24"/>
              </w:rPr>
            </w:pPr>
            <w:r w:rsidRPr="00B54B9C">
              <w:rPr>
                <w:rFonts w:ascii="Arial" w:hAnsi="Arial" w:cs="Arial"/>
                <w:sz w:val="24"/>
                <w:szCs w:val="24"/>
              </w:rPr>
              <w:t xml:space="preserve">15/18 programme (MHC 15/18).  </w:t>
            </w:r>
          </w:p>
          <w:p w:rsidR="005733FB" w:rsidRDefault="00DF20B3" w:rsidP="00B54B9C">
            <w:pPr>
              <w:ind w:left="60"/>
              <w:rPr>
                <w:rFonts w:ascii="Arial" w:hAnsi="Arial" w:cs="Arial"/>
                <w:b/>
                <w:bCs/>
                <w:sz w:val="24"/>
                <w:szCs w:val="24"/>
                <w:u w:val="single"/>
              </w:rPr>
            </w:pPr>
            <w:r w:rsidRPr="00B54B9C">
              <w:rPr>
                <w:rFonts w:ascii="Arial" w:hAnsi="Arial" w:cs="Arial"/>
                <w:sz w:val="24"/>
                <w:szCs w:val="24"/>
              </w:rPr>
              <w:t xml:space="preserve"> </w:t>
            </w:r>
            <w:r w:rsidRPr="00B54B9C">
              <w:rPr>
                <w:rFonts w:ascii="Arial" w:hAnsi="Arial" w:cs="Arial"/>
                <w:sz w:val="24"/>
                <w:szCs w:val="24"/>
              </w:rPr>
              <w:br/>
              <w:t>We have set revised forecast targets for 2015/16, based on our previous year's performance.  We have met the target for 11/15 AHP and MHC BTP, but will continue to report on the conversion position for 11/15 AHP and MHC BTP as the subsidy may change for these programmes.  GLA targets for 15/16 are based on the Q1 position in IMS.</w:t>
            </w:r>
            <w:r w:rsidRPr="00B54B9C">
              <w:rPr>
                <w:rFonts w:ascii="Arial" w:hAnsi="Arial" w:cs="Arial"/>
                <w:i/>
                <w:sz w:val="24"/>
                <w:szCs w:val="24"/>
              </w:rPr>
              <w:br/>
            </w:r>
            <w:r w:rsidRPr="00B54B9C">
              <w:rPr>
                <w:rFonts w:ascii="Arial" w:hAnsi="Arial" w:cs="Arial"/>
                <w:i/>
                <w:sz w:val="24"/>
                <w:szCs w:val="24"/>
              </w:rPr>
              <w:br/>
            </w:r>
            <w:r w:rsidR="009C2196">
              <w:rPr>
                <w:rFonts w:ascii="Arial" w:hAnsi="Arial" w:cs="Arial"/>
                <w:b/>
                <w:bCs/>
                <w:sz w:val="24"/>
                <w:szCs w:val="24"/>
                <w:u w:val="single"/>
              </w:rPr>
              <w:t xml:space="preserve">Subsidy from “conversions” </w:t>
            </w:r>
          </w:p>
          <w:p w:rsidR="009E6D1E" w:rsidRDefault="00B54B9C" w:rsidP="00B54B9C">
            <w:pPr>
              <w:ind w:left="60"/>
              <w:rPr>
                <w:rFonts w:ascii="Arial" w:hAnsi="Arial" w:cs="Arial"/>
                <w:sz w:val="24"/>
                <w:szCs w:val="24"/>
              </w:rPr>
            </w:pPr>
            <w:r w:rsidRPr="00B54B9C">
              <w:rPr>
                <w:rFonts w:ascii="Arial" w:hAnsi="Arial" w:cs="Arial"/>
                <w:sz w:val="24"/>
                <w:szCs w:val="24"/>
              </w:rPr>
              <w:br/>
              <w:t>Due to changes in interest rate assumptions agreed by the Board in September, the level of subsidy generated by relet conversions has increased.  We have now generated sufficient conversion subsidy to support the 2015/18 development programme.  The Board will be pleased to know that relets at Market Related Rents have now stopped, and we are also no longer reliant on void disposal income to support the programme.  We are reviewing our approach to assessing properties for disposal and have deployed the services of a consultant to assist.</w:t>
            </w:r>
          </w:p>
          <w:p w:rsidR="005733FB" w:rsidRDefault="00B54B9C" w:rsidP="00B54B9C">
            <w:pPr>
              <w:ind w:left="60"/>
              <w:rPr>
                <w:rFonts w:ascii="Arial" w:hAnsi="Arial" w:cs="Arial"/>
                <w:b/>
                <w:bCs/>
                <w:sz w:val="24"/>
                <w:szCs w:val="24"/>
                <w:u w:val="single"/>
              </w:rPr>
            </w:pPr>
            <w:r w:rsidRPr="00B54B9C">
              <w:rPr>
                <w:rFonts w:ascii="Arial" w:hAnsi="Arial" w:cs="Arial"/>
                <w:sz w:val="24"/>
                <w:szCs w:val="24"/>
              </w:rPr>
              <w:br/>
              <w:t>We had estimated that we would need to relet 275 homes on higher Market related rents and dispose of 48 'uneconomic to repair' properties to support the 3 programmes (11-15 AHP, MHC BTP, MHC 15-18), and we have actually relet 160 homes (58% of the expected number) and disposed of 21 properties (44% of the expected number).  This is as a result of th</w:t>
            </w:r>
            <w:r>
              <w:rPr>
                <w:rFonts w:ascii="Arial" w:hAnsi="Arial" w:cs="Arial"/>
                <w:sz w:val="24"/>
                <w:szCs w:val="24"/>
              </w:rPr>
              <w:t>e buoyant housing market and it</w:t>
            </w:r>
            <w:r w:rsidRPr="00B54B9C">
              <w:rPr>
                <w:rFonts w:ascii="Arial" w:hAnsi="Arial" w:cs="Arial"/>
                <w:sz w:val="24"/>
                <w:szCs w:val="24"/>
              </w:rPr>
              <w:t>s impact on market rents and house prices, as well as the reduced long term interest rate to 4.2%.</w:t>
            </w:r>
            <w:r w:rsidRPr="00B54B9C">
              <w:rPr>
                <w:rFonts w:ascii="Arial" w:hAnsi="Arial" w:cs="Arial"/>
                <w:sz w:val="24"/>
                <w:szCs w:val="24"/>
              </w:rPr>
              <w:br/>
            </w:r>
            <w:r w:rsidRPr="00B54B9C">
              <w:rPr>
                <w:rFonts w:ascii="Arial" w:hAnsi="Arial" w:cs="Arial"/>
                <w:sz w:val="24"/>
                <w:szCs w:val="24"/>
              </w:rPr>
              <w:br/>
            </w:r>
            <w:r w:rsidRPr="00B54B9C">
              <w:rPr>
                <w:rFonts w:ascii="Arial" w:hAnsi="Arial" w:cs="Arial"/>
                <w:b/>
                <w:bCs/>
                <w:sz w:val="24"/>
                <w:szCs w:val="24"/>
                <w:u w:val="single"/>
              </w:rPr>
              <w:t>Hexagon subsidy (from operating surplus)</w:t>
            </w:r>
          </w:p>
          <w:p w:rsidR="00B54B9C" w:rsidRDefault="00B54B9C" w:rsidP="00B54B9C">
            <w:pPr>
              <w:ind w:left="60"/>
              <w:rPr>
                <w:rFonts w:ascii="Arial" w:hAnsi="Arial" w:cs="Arial"/>
                <w:sz w:val="24"/>
                <w:szCs w:val="24"/>
              </w:rPr>
            </w:pPr>
            <w:r w:rsidRPr="00B54B9C">
              <w:rPr>
                <w:rFonts w:ascii="Arial" w:hAnsi="Arial" w:cs="Arial"/>
                <w:sz w:val="24"/>
                <w:szCs w:val="24"/>
              </w:rPr>
              <w:br/>
              <w:t xml:space="preserve">As at the end Oct we were forecasting to utilise 69% of the Board approved subsidy across the 3 programmes ( a 'saving' of circa £3.1m)  As reported in September, the level of subsidy </w:t>
            </w:r>
            <w:r>
              <w:rPr>
                <w:rFonts w:ascii="Arial" w:hAnsi="Arial" w:cs="Arial"/>
                <w:sz w:val="24"/>
                <w:szCs w:val="24"/>
              </w:rPr>
              <w:t xml:space="preserve">required </w:t>
            </w:r>
            <w:r w:rsidRPr="00B54B9C">
              <w:rPr>
                <w:rFonts w:ascii="Arial" w:hAnsi="Arial" w:cs="Arial"/>
                <w:sz w:val="24"/>
                <w:szCs w:val="24"/>
              </w:rPr>
              <w:t>from operating surplus for the 15/18 programme has been reduced as a result of the interest rate assumptions.  In addition, increased market rents and higher surpluses from shared ownership sales have reduced the level of subsidy required.</w:t>
            </w:r>
          </w:p>
          <w:p w:rsidR="009E6D1E" w:rsidRPr="00B54B9C" w:rsidRDefault="009E6D1E" w:rsidP="00B54B9C">
            <w:pPr>
              <w:ind w:left="60"/>
              <w:rPr>
                <w:rFonts w:ascii="Arial" w:hAnsi="Arial" w:cs="Arial"/>
                <w:sz w:val="24"/>
                <w:szCs w:val="24"/>
              </w:rPr>
            </w:pPr>
          </w:p>
          <w:p w:rsidR="0042782F" w:rsidRDefault="00DF20B3" w:rsidP="00B54B9C">
            <w:pPr>
              <w:ind w:left="60"/>
              <w:rPr>
                <w:rFonts w:ascii="Arial" w:hAnsi="Arial" w:cs="Arial"/>
                <w:sz w:val="24"/>
                <w:szCs w:val="24"/>
              </w:rPr>
            </w:pPr>
            <w:r w:rsidRPr="00B54B9C">
              <w:rPr>
                <w:rFonts w:ascii="Arial" w:hAnsi="Arial" w:cs="Arial"/>
                <w:sz w:val="24"/>
                <w:szCs w:val="24"/>
              </w:rPr>
              <w:t>With regards to conversion capacity 11/15 AHP &amp; MHC BTP are complete. We have generated 37% of the subsidy required for the MHC 15/18. This is ahead of our target.</w:t>
            </w:r>
            <w:r w:rsidRPr="00B54B9C">
              <w:rPr>
                <w:rFonts w:ascii="Arial" w:hAnsi="Arial" w:cs="Arial"/>
                <w:i/>
                <w:sz w:val="24"/>
                <w:szCs w:val="24"/>
              </w:rPr>
              <w:t xml:space="preserve"> </w:t>
            </w:r>
            <w:r w:rsidRPr="00B54B9C">
              <w:rPr>
                <w:rFonts w:ascii="Arial" w:hAnsi="Arial" w:cs="Arial"/>
                <w:i/>
                <w:sz w:val="24"/>
                <w:szCs w:val="24"/>
              </w:rPr>
              <w:br/>
            </w:r>
            <w:r w:rsidRPr="00B54B9C">
              <w:rPr>
                <w:rFonts w:ascii="Arial" w:hAnsi="Arial" w:cs="Arial"/>
                <w:i/>
                <w:sz w:val="24"/>
                <w:szCs w:val="24"/>
              </w:rPr>
              <w:br/>
            </w:r>
          </w:p>
          <w:p w:rsidR="009E6D1E" w:rsidRPr="00B54B9C" w:rsidRDefault="009E6D1E" w:rsidP="00B54B9C">
            <w:pPr>
              <w:ind w:left="60"/>
              <w:rPr>
                <w:rFonts w:ascii="Arial" w:hAnsi="Arial" w:cs="Arial"/>
                <w:sz w:val="24"/>
                <w:szCs w:val="24"/>
              </w:rPr>
            </w:pPr>
          </w:p>
        </w:tc>
      </w:tr>
      <w:tr w:rsidR="0042782F" w:rsidRPr="00B54B9C" w:rsidTr="00792AFB">
        <w:tc>
          <w:tcPr>
            <w:tcW w:w="750" w:type="dxa"/>
          </w:tcPr>
          <w:p w:rsidR="0042782F" w:rsidRPr="00B54B9C" w:rsidRDefault="0059553C" w:rsidP="0059553C">
            <w:pPr>
              <w:rPr>
                <w:rFonts w:ascii="Arial" w:hAnsi="Arial" w:cs="Arial"/>
                <w:sz w:val="24"/>
                <w:szCs w:val="24"/>
              </w:rPr>
            </w:pPr>
            <w:r>
              <w:rPr>
                <w:rFonts w:ascii="Arial" w:hAnsi="Arial" w:cs="Arial"/>
                <w:sz w:val="24"/>
                <w:szCs w:val="24"/>
              </w:rPr>
              <w:lastRenderedPageBreak/>
              <w:t>3</w:t>
            </w:r>
            <w:r w:rsidR="00DF20B3" w:rsidRPr="00B54B9C">
              <w:rPr>
                <w:rFonts w:ascii="Arial" w:hAnsi="Arial" w:cs="Arial"/>
                <w:sz w:val="24"/>
                <w:szCs w:val="24"/>
              </w:rPr>
              <w:t>.6.2</w:t>
            </w:r>
          </w:p>
        </w:tc>
        <w:tc>
          <w:tcPr>
            <w:tcW w:w="8492" w:type="dxa"/>
          </w:tcPr>
          <w:p w:rsidR="00882059" w:rsidRPr="009E6D1E" w:rsidRDefault="00DF20B3" w:rsidP="00DF20B3">
            <w:pPr>
              <w:rPr>
                <w:rFonts w:ascii="Arial" w:hAnsi="Arial" w:cs="Arial"/>
                <w:b/>
                <w:bCs/>
                <w:sz w:val="24"/>
                <w:szCs w:val="24"/>
                <w:u w:val="single"/>
              </w:rPr>
            </w:pPr>
            <w:r w:rsidRPr="009E6D1E">
              <w:rPr>
                <w:rFonts w:ascii="Arial" w:hAnsi="Arial" w:cs="Arial"/>
                <w:b/>
                <w:bCs/>
                <w:sz w:val="24"/>
                <w:szCs w:val="24"/>
                <w:u w:val="single"/>
              </w:rPr>
              <w:t>Programme Delivery</w:t>
            </w:r>
            <w:r w:rsidRPr="009E6D1E">
              <w:rPr>
                <w:rFonts w:ascii="Arial" w:hAnsi="Arial" w:cs="Arial"/>
                <w:b/>
                <w:bCs/>
                <w:sz w:val="24"/>
                <w:szCs w:val="24"/>
                <w:u w:val="single"/>
              </w:rPr>
              <w:br/>
            </w:r>
          </w:p>
          <w:p w:rsidR="005733FB" w:rsidRDefault="00DF20B3" w:rsidP="00DF20B3">
            <w:pPr>
              <w:rPr>
                <w:rFonts w:ascii="Arial" w:hAnsi="Arial" w:cs="Arial"/>
                <w:b/>
                <w:bCs/>
                <w:i/>
                <w:sz w:val="24"/>
                <w:szCs w:val="24"/>
                <w:u w:val="single"/>
              </w:rPr>
            </w:pPr>
            <w:r w:rsidRPr="00B54B9C">
              <w:rPr>
                <w:rFonts w:ascii="Arial" w:hAnsi="Arial" w:cs="Arial"/>
                <w:b/>
                <w:bCs/>
                <w:i/>
                <w:sz w:val="24"/>
                <w:szCs w:val="24"/>
                <w:u w:val="single"/>
              </w:rPr>
              <w:t>MHC BTP</w:t>
            </w:r>
          </w:p>
          <w:p w:rsidR="005733FB" w:rsidRDefault="005733FB" w:rsidP="00DF20B3">
            <w:pPr>
              <w:rPr>
                <w:rFonts w:ascii="Arial" w:hAnsi="Arial" w:cs="Arial"/>
                <w:b/>
                <w:bCs/>
                <w:i/>
                <w:sz w:val="24"/>
                <w:szCs w:val="24"/>
                <w:u w:val="single"/>
              </w:rPr>
            </w:pPr>
          </w:p>
          <w:p w:rsidR="005733FB" w:rsidRPr="005733FB" w:rsidRDefault="005733FB" w:rsidP="005733FB">
            <w:pPr>
              <w:rPr>
                <w:rFonts w:ascii="Arial" w:hAnsi="Arial" w:cs="Arial"/>
                <w:sz w:val="24"/>
                <w:szCs w:val="24"/>
              </w:rPr>
            </w:pPr>
            <w:r w:rsidRPr="005733FB">
              <w:rPr>
                <w:rFonts w:ascii="Arial" w:hAnsi="Arial" w:cs="Arial"/>
                <w:sz w:val="24"/>
                <w:szCs w:val="24"/>
              </w:rPr>
              <w:t>93% of this programme is on site and 7% is now complete due to Park View completing</w:t>
            </w:r>
            <w:r w:rsidR="00882059">
              <w:rPr>
                <w:rFonts w:ascii="Arial" w:hAnsi="Arial" w:cs="Arial"/>
                <w:sz w:val="24"/>
                <w:szCs w:val="24"/>
              </w:rPr>
              <w:t xml:space="preserve"> ahead of programme in March 15. Virgo and </w:t>
            </w:r>
            <w:r w:rsidRPr="005733FB">
              <w:rPr>
                <w:rFonts w:ascii="Arial" w:hAnsi="Arial" w:cs="Arial"/>
                <w:sz w:val="24"/>
                <w:szCs w:val="24"/>
              </w:rPr>
              <w:t>London Rd planning delays have been approved by the GLA. Additionally Mitcham Rd has also been approved by the GLA to be reprogrammed for Q4, but we now know that it is likely to complete later, so we are in discussions with the GLA, and RAP wil</w:t>
            </w:r>
            <w:r>
              <w:rPr>
                <w:rFonts w:ascii="Arial" w:hAnsi="Arial" w:cs="Arial"/>
                <w:sz w:val="24"/>
                <w:szCs w:val="24"/>
              </w:rPr>
              <w:t xml:space="preserve">l </w:t>
            </w:r>
            <w:bookmarkStart w:id="0" w:name="_GoBack"/>
            <w:bookmarkEnd w:id="0"/>
            <w:r>
              <w:rPr>
                <w:rFonts w:ascii="Arial" w:hAnsi="Arial" w:cs="Arial"/>
                <w:sz w:val="24"/>
                <w:szCs w:val="24"/>
              </w:rPr>
              <w:t xml:space="preserve">be reviewing the risks at its </w:t>
            </w:r>
            <w:r w:rsidRPr="005733FB">
              <w:rPr>
                <w:rFonts w:ascii="Arial" w:hAnsi="Arial" w:cs="Arial"/>
                <w:sz w:val="24"/>
                <w:szCs w:val="24"/>
              </w:rPr>
              <w:t>November meeting. In Q3</w:t>
            </w:r>
            <w:r>
              <w:t xml:space="preserve"> </w:t>
            </w:r>
            <w:r w:rsidRPr="005733FB">
              <w:rPr>
                <w:rFonts w:ascii="Arial" w:hAnsi="Arial" w:cs="Arial"/>
                <w:sz w:val="24"/>
                <w:szCs w:val="24"/>
              </w:rPr>
              <w:t>we expect, Birchfield, Whitehorse and Kings Highway will complete. Kings Highway will be ahead of schedule by a quarter. We predict by Q3 42% of the programme will be complete</w:t>
            </w:r>
          </w:p>
          <w:p w:rsidR="0042782F" w:rsidRPr="00B54B9C" w:rsidRDefault="0042782F" w:rsidP="005733FB">
            <w:pPr>
              <w:rPr>
                <w:rFonts w:ascii="Arial" w:hAnsi="Arial" w:cs="Arial"/>
                <w:i/>
                <w:sz w:val="24"/>
                <w:szCs w:val="24"/>
              </w:rPr>
            </w:pPr>
          </w:p>
        </w:tc>
      </w:tr>
      <w:tr w:rsidR="0042782F" w:rsidRPr="00B54B9C" w:rsidTr="00792AFB">
        <w:tc>
          <w:tcPr>
            <w:tcW w:w="750" w:type="dxa"/>
          </w:tcPr>
          <w:p w:rsidR="0042782F" w:rsidRPr="00B54B9C" w:rsidRDefault="0042782F">
            <w:pPr>
              <w:rPr>
                <w:rFonts w:ascii="Arial" w:hAnsi="Arial" w:cs="Arial"/>
                <w:sz w:val="24"/>
                <w:szCs w:val="24"/>
              </w:rPr>
            </w:pPr>
          </w:p>
        </w:tc>
        <w:tc>
          <w:tcPr>
            <w:tcW w:w="8492" w:type="dxa"/>
          </w:tcPr>
          <w:p w:rsidR="009C2196" w:rsidRPr="00B54B9C" w:rsidRDefault="00DF20B3" w:rsidP="00DF20B3">
            <w:pPr>
              <w:rPr>
                <w:rFonts w:ascii="Arial" w:hAnsi="Arial" w:cs="Arial"/>
                <w:i/>
                <w:sz w:val="24"/>
                <w:szCs w:val="24"/>
              </w:rPr>
            </w:pPr>
            <w:r w:rsidRPr="00B54B9C">
              <w:rPr>
                <w:rFonts w:ascii="Arial" w:hAnsi="Arial" w:cs="Arial"/>
                <w:b/>
                <w:bCs/>
                <w:i/>
                <w:sz w:val="24"/>
                <w:szCs w:val="24"/>
                <w:u w:val="single"/>
              </w:rPr>
              <w:t>MHC 15/18</w:t>
            </w:r>
            <w:r w:rsidRPr="00B54B9C">
              <w:rPr>
                <w:rFonts w:ascii="Arial" w:hAnsi="Arial" w:cs="Arial"/>
                <w:i/>
                <w:sz w:val="24"/>
                <w:szCs w:val="24"/>
              </w:rPr>
              <w:br/>
            </w:r>
          </w:p>
          <w:p w:rsidR="005733FB" w:rsidRPr="005733FB" w:rsidRDefault="009C2196" w:rsidP="005733FB">
            <w:pPr>
              <w:rPr>
                <w:rFonts w:ascii="Arial" w:hAnsi="Arial" w:cs="Arial"/>
                <w:i/>
                <w:sz w:val="24"/>
                <w:szCs w:val="24"/>
              </w:rPr>
            </w:pPr>
            <w:r w:rsidRPr="009C2196">
              <w:rPr>
                <w:rFonts w:ascii="Arial" w:hAnsi="Arial" w:cs="Arial"/>
                <w:sz w:val="24"/>
                <w:szCs w:val="24"/>
              </w:rPr>
              <w:t>We have now identified circa 174 units, which we are 75% confident will be delivered (i.e. offers have been accepted and lawyers instructed). However, all but two do not yet have planning, and until contracts are exchanged on these sites</w:t>
            </w:r>
            <w:r w:rsidR="00950EE4">
              <w:rPr>
                <w:rFonts w:ascii="Arial" w:hAnsi="Arial" w:cs="Arial"/>
                <w:sz w:val="24"/>
                <w:szCs w:val="24"/>
              </w:rPr>
              <w:t>,</w:t>
            </w:r>
            <w:r w:rsidRPr="009C2196">
              <w:rPr>
                <w:rFonts w:ascii="Arial" w:hAnsi="Arial" w:cs="Arial"/>
                <w:sz w:val="24"/>
                <w:szCs w:val="24"/>
              </w:rPr>
              <w:t xml:space="preserve"> they are at risk of being 'lost' to another purchaser.  We are considering </w:t>
            </w:r>
            <w:r w:rsidR="00950EE4">
              <w:rPr>
                <w:rFonts w:ascii="Arial" w:hAnsi="Arial" w:cs="Arial"/>
                <w:sz w:val="24"/>
                <w:szCs w:val="24"/>
              </w:rPr>
              <w:t>“</w:t>
            </w:r>
            <w:r w:rsidRPr="009C2196">
              <w:rPr>
                <w:rFonts w:ascii="Arial" w:hAnsi="Arial" w:cs="Arial"/>
                <w:sz w:val="24"/>
                <w:szCs w:val="24"/>
              </w:rPr>
              <w:t>subject to planning</w:t>
            </w:r>
            <w:r w:rsidR="00950EE4">
              <w:rPr>
                <w:rFonts w:ascii="Arial" w:hAnsi="Arial" w:cs="Arial"/>
                <w:sz w:val="24"/>
                <w:szCs w:val="24"/>
              </w:rPr>
              <w:t>”</w:t>
            </w:r>
            <w:r w:rsidRPr="009C2196">
              <w:rPr>
                <w:rFonts w:ascii="Arial" w:hAnsi="Arial" w:cs="Arial"/>
                <w:sz w:val="24"/>
                <w:szCs w:val="24"/>
              </w:rPr>
              <w:t xml:space="preserve"> deals on these sites in order to secure our interest as early as possible.  The revised assumptions for interest and disco</w:t>
            </w:r>
            <w:r w:rsidR="00950EE4">
              <w:rPr>
                <w:rFonts w:ascii="Arial" w:hAnsi="Arial" w:cs="Arial"/>
                <w:sz w:val="24"/>
                <w:szCs w:val="24"/>
              </w:rPr>
              <w:t>u</w:t>
            </w:r>
            <w:r w:rsidRPr="009C2196">
              <w:rPr>
                <w:rFonts w:ascii="Arial" w:hAnsi="Arial" w:cs="Arial"/>
                <w:sz w:val="24"/>
                <w:szCs w:val="24"/>
              </w:rPr>
              <w:t>nt rates, approved at the Sept</w:t>
            </w:r>
            <w:r w:rsidR="00950EE4">
              <w:rPr>
                <w:rFonts w:ascii="Arial" w:hAnsi="Arial" w:cs="Arial"/>
                <w:sz w:val="24"/>
                <w:szCs w:val="24"/>
              </w:rPr>
              <w:t>ember</w:t>
            </w:r>
            <w:r w:rsidRPr="009C2196">
              <w:rPr>
                <w:rFonts w:ascii="Arial" w:hAnsi="Arial" w:cs="Arial"/>
                <w:sz w:val="24"/>
                <w:szCs w:val="24"/>
              </w:rPr>
              <w:t xml:space="preserve"> Board, will be applied.  </w:t>
            </w:r>
            <w:r w:rsidRPr="009C2196">
              <w:rPr>
                <w:rFonts w:ascii="Arial" w:hAnsi="Arial" w:cs="Arial"/>
                <w:sz w:val="24"/>
                <w:szCs w:val="24"/>
              </w:rPr>
              <w:br/>
            </w:r>
            <w:r w:rsidRPr="009C2196">
              <w:rPr>
                <w:rFonts w:ascii="Arial" w:hAnsi="Arial" w:cs="Arial"/>
                <w:sz w:val="24"/>
                <w:szCs w:val="24"/>
              </w:rPr>
              <w:br/>
            </w:r>
            <w:r w:rsidRPr="009C2196">
              <w:rPr>
                <w:rFonts w:ascii="Arial" w:hAnsi="Arial" w:cs="Arial"/>
                <w:b/>
                <w:bCs/>
                <w:sz w:val="24"/>
                <w:szCs w:val="24"/>
                <w:u w:val="single"/>
              </w:rPr>
              <w:t>Outright Sale</w:t>
            </w:r>
            <w:r w:rsidRPr="009C2196">
              <w:rPr>
                <w:rFonts w:ascii="Arial" w:hAnsi="Arial" w:cs="Arial"/>
                <w:b/>
                <w:bCs/>
                <w:sz w:val="24"/>
                <w:szCs w:val="24"/>
                <w:u w:val="single"/>
              </w:rPr>
              <w:br/>
            </w:r>
            <w:r w:rsidRPr="009C2196">
              <w:rPr>
                <w:rFonts w:ascii="Arial" w:hAnsi="Arial" w:cs="Arial"/>
                <w:sz w:val="24"/>
                <w:szCs w:val="24"/>
              </w:rPr>
              <w:t>The Board approved the Biggin Hill scheme in September.  We are now working t</w:t>
            </w:r>
            <w:r>
              <w:rPr>
                <w:rFonts w:ascii="Arial" w:hAnsi="Arial" w:cs="Arial"/>
                <w:sz w:val="24"/>
                <w:szCs w:val="24"/>
              </w:rPr>
              <w:t xml:space="preserve">owards exchange of contracts.  </w:t>
            </w:r>
            <w:r w:rsidR="005733FB" w:rsidRPr="005733FB">
              <w:rPr>
                <w:rFonts w:ascii="Arial" w:hAnsi="Arial" w:cs="Arial"/>
                <w:sz w:val="24"/>
                <w:szCs w:val="24"/>
              </w:rPr>
              <w:t>The build contract has been extended by 4 months to allow for sufficient lead-in time for the contractor. A progress report has been provided for Horniman Board.</w:t>
            </w:r>
          </w:p>
          <w:p w:rsidR="0042782F" w:rsidRPr="00B54B9C" w:rsidRDefault="0042782F" w:rsidP="009C2196">
            <w:pPr>
              <w:rPr>
                <w:rFonts w:ascii="Arial" w:hAnsi="Arial" w:cs="Arial"/>
                <w:i/>
                <w:sz w:val="24"/>
                <w:szCs w:val="24"/>
              </w:rPr>
            </w:pPr>
          </w:p>
        </w:tc>
      </w:tr>
      <w:tr w:rsidR="0042782F" w:rsidRPr="00B54B9C" w:rsidTr="00792AFB">
        <w:tc>
          <w:tcPr>
            <w:tcW w:w="750" w:type="dxa"/>
          </w:tcPr>
          <w:p w:rsidR="0042782F" w:rsidRPr="00B54B9C" w:rsidRDefault="0059553C" w:rsidP="0059553C">
            <w:pPr>
              <w:rPr>
                <w:rFonts w:ascii="Arial" w:hAnsi="Arial" w:cs="Arial"/>
                <w:sz w:val="24"/>
                <w:szCs w:val="24"/>
              </w:rPr>
            </w:pPr>
            <w:r>
              <w:rPr>
                <w:rFonts w:ascii="Arial" w:hAnsi="Arial" w:cs="Arial"/>
                <w:sz w:val="24"/>
                <w:szCs w:val="24"/>
              </w:rPr>
              <w:t>3</w:t>
            </w:r>
            <w:r w:rsidR="005930C8" w:rsidRPr="00B54B9C">
              <w:rPr>
                <w:rFonts w:ascii="Arial" w:hAnsi="Arial" w:cs="Arial"/>
                <w:sz w:val="24"/>
                <w:szCs w:val="24"/>
              </w:rPr>
              <w:t>.6.3</w:t>
            </w:r>
          </w:p>
        </w:tc>
        <w:tc>
          <w:tcPr>
            <w:tcW w:w="8492" w:type="dxa"/>
          </w:tcPr>
          <w:p w:rsidR="009C2196" w:rsidRPr="00B54B9C" w:rsidRDefault="005930C8" w:rsidP="009C2196">
            <w:pPr>
              <w:rPr>
                <w:rFonts w:ascii="Arial" w:hAnsi="Arial" w:cs="Arial"/>
                <w:sz w:val="24"/>
                <w:szCs w:val="24"/>
              </w:rPr>
            </w:pPr>
            <w:r w:rsidRPr="00B54B9C">
              <w:rPr>
                <w:rFonts w:ascii="Arial" w:hAnsi="Arial" w:cs="Arial"/>
                <w:b/>
                <w:bCs/>
                <w:sz w:val="24"/>
                <w:szCs w:val="24"/>
                <w:u w:val="single"/>
              </w:rPr>
              <w:t>Capital at Risk</w:t>
            </w:r>
            <w:r w:rsidRPr="00B54B9C">
              <w:rPr>
                <w:rFonts w:ascii="Arial" w:hAnsi="Arial" w:cs="Arial"/>
                <w:b/>
                <w:bCs/>
                <w:sz w:val="24"/>
                <w:szCs w:val="24"/>
                <w:u w:val="single"/>
              </w:rPr>
              <w:br/>
            </w:r>
          </w:p>
          <w:p w:rsidR="009C2196" w:rsidRPr="009C2196" w:rsidRDefault="009C2196" w:rsidP="009C2196">
            <w:pPr>
              <w:rPr>
                <w:rFonts w:ascii="Arial" w:hAnsi="Arial" w:cs="Arial"/>
                <w:b/>
                <w:bCs/>
                <w:sz w:val="24"/>
                <w:szCs w:val="24"/>
                <w:u w:val="single"/>
              </w:rPr>
            </w:pPr>
            <w:r w:rsidRPr="009C2196">
              <w:rPr>
                <w:rFonts w:ascii="Arial" w:hAnsi="Arial" w:cs="Arial"/>
                <w:sz w:val="24"/>
                <w:szCs w:val="24"/>
              </w:rPr>
              <w:t xml:space="preserve">We currently have an estimated £1.259m capital at risk across our shared ownership and outright sale schemes and land for development.  A paper also on this agenda sets out a proposal for establishing a pipeline of sites via a land investment strategy.  This capital at risk calculation </w:t>
            </w:r>
            <w:r w:rsidR="005733FB">
              <w:rPr>
                <w:rFonts w:ascii="Arial" w:hAnsi="Arial" w:cs="Arial"/>
                <w:sz w:val="24"/>
                <w:szCs w:val="24"/>
              </w:rPr>
              <w:t xml:space="preserve">takes account of </w:t>
            </w:r>
            <w:r w:rsidR="005733FB" w:rsidRPr="009C2196">
              <w:rPr>
                <w:rFonts w:ascii="Arial" w:hAnsi="Arial" w:cs="Arial"/>
                <w:sz w:val="24"/>
                <w:szCs w:val="24"/>
              </w:rPr>
              <w:t>the</w:t>
            </w:r>
            <w:r w:rsidRPr="009C2196">
              <w:rPr>
                <w:rFonts w:ascii="Arial" w:hAnsi="Arial" w:cs="Arial"/>
                <w:sz w:val="24"/>
                <w:szCs w:val="24"/>
              </w:rPr>
              <w:t xml:space="preserve"> land investment assumption of £8m. Th</w:t>
            </w:r>
            <w:r w:rsidR="005733FB">
              <w:rPr>
                <w:rFonts w:ascii="Arial" w:hAnsi="Arial" w:cs="Arial"/>
                <w:sz w:val="24"/>
                <w:szCs w:val="24"/>
              </w:rPr>
              <w:t xml:space="preserve">e current £1.259m capital at risk </w:t>
            </w:r>
            <w:r w:rsidRPr="009C2196">
              <w:rPr>
                <w:rFonts w:ascii="Arial" w:hAnsi="Arial" w:cs="Arial"/>
                <w:sz w:val="24"/>
                <w:szCs w:val="24"/>
              </w:rPr>
              <w:t>is well within the Board's agreed limit of £5.7m</w:t>
            </w:r>
            <w:r w:rsidR="00950EE4">
              <w:rPr>
                <w:rFonts w:ascii="Arial" w:hAnsi="Arial" w:cs="Arial"/>
                <w:sz w:val="24"/>
                <w:szCs w:val="24"/>
              </w:rPr>
              <w:t xml:space="preserve">. </w:t>
            </w:r>
          </w:p>
          <w:p w:rsidR="0042782F" w:rsidRPr="00B54B9C" w:rsidRDefault="0042782F" w:rsidP="009C2196">
            <w:pPr>
              <w:rPr>
                <w:rFonts w:ascii="Arial" w:hAnsi="Arial" w:cs="Arial"/>
                <w:sz w:val="24"/>
                <w:szCs w:val="24"/>
              </w:rPr>
            </w:pPr>
          </w:p>
        </w:tc>
      </w:tr>
    </w:tbl>
    <w:p w:rsidR="0042782F" w:rsidRPr="00B54B9C" w:rsidRDefault="0042782F">
      <w:pPr>
        <w:rPr>
          <w:rFonts w:ascii="Arial" w:hAnsi="Arial" w:cs="Arial"/>
          <w:sz w:val="24"/>
          <w:szCs w:val="24"/>
        </w:rPr>
      </w:pPr>
    </w:p>
    <w:sectPr w:rsidR="0042782F" w:rsidRPr="00B54B9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761" w:rsidRDefault="00AA2761" w:rsidP="0042782F">
      <w:pPr>
        <w:spacing w:after="0" w:line="240" w:lineRule="auto"/>
      </w:pPr>
      <w:r>
        <w:separator/>
      </w:r>
    </w:p>
  </w:endnote>
  <w:endnote w:type="continuationSeparator" w:id="0">
    <w:p w:rsidR="00AA2761" w:rsidRDefault="00AA2761" w:rsidP="00427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985935"/>
      <w:docPartObj>
        <w:docPartGallery w:val="Page Numbers (Bottom of Page)"/>
        <w:docPartUnique/>
      </w:docPartObj>
    </w:sdtPr>
    <w:sdtEndPr>
      <w:rPr>
        <w:noProof/>
      </w:rPr>
    </w:sdtEndPr>
    <w:sdtContent>
      <w:p w:rsidR="0042782F" w:rsidRDefault="0042782F">
        <w:pPr>
          <w:pStyle w:val="Footer"/>
        </w:pPr>
        <w:r>
          <w:fldChar w:fldCharType="begin"/>
        </w:r>
        <w:r>
          <w:instrText xml:space="preserve"> PAGE   \* MERGEFORMAT </w:instrText>
        </w:r>
        <w:r>
          <w:fldChar w:fldCharType="separate"/>
        </w:r>
        <w:r w:rsidR="009E6D1E">
          <w:rPr>
            <w:noProof/>
          </w:rPr>
          <w:t>2</w:t>
        </w:r>
        <w:r>
          <w:rPr>
            <w:noProof/>
          </w:rPr>
          <w:fldChar w:fldCharType="end"/>
        </w:r>
      </w:p>
    </w:sdtContent>
  </w:sdt>
  <w:p w:rsidR="0042782F" w:rsidRDefault="00427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761" w:rsidRDefault="00AA2761" w:rsidP="0042782F">
      <w:pPr>
        <w:spacing w:after="0" w:line="240" w:lineRule="auto"/>
      </w:pPr>
      <w:r>
        <w:separator/>
      </w:r>
    </w:p>
  </w:footnote>
  <w:footnote w:type="continuationSeparator" w:id="0">
    <w:p w:rsidR="00AA2761" w:rsidRDefault="00AA2761" w:rsidP="004278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C00A6"/>
    <w:multiLevelType w:val="hybridMultilevel"/>
    <w:tmpl w:val="BAFE53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6142784A"/>
    <w:multiLevelType w:val="hybridMultilevel"/>
    <w:tmpl w:val="FB1866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2F"/>
    <w:rsid w:val="00004D43"/>
    <w:rsid w:val="00051144"/>
    <w:rsid w:val="001C5F9A"/>
    <w:rsid w:val="001D38EB"/>
    <w:rsid w:val="001E792B"/>
    <w:rsid w:val="002B2931"/>
    <w:rsid w:val="002C655F"/>
    <w:rsid w:val="00337580"/>
    <w:rsid w:val="00343A98"/>
    <w:rsid w:val="0038266C"/>
    <w:rsid w:val="00391565"/>
    <w:rsid w:val="003A2D47"/>
    <w:rsid w:val="0042782F"/>
    <w:rsid w:val="004A3D06"/>
    <w:rsid w:val="00501D86"/>
    <w:rsid w:val="005733FB"/>
    <w:rsid w:val="005930C8"/>
    <w:rsid w:val="0059553C"/>
    <w:rsid w:val="005F5820"/>
    <w:rsid w:val="00735D33"/>
    <w:rsid w:val="00792AFB"/>
    <w:rsid w:val="007959BB"/>
    <w:rsid w:val="007C7176"/>
    <w:rsid w:val="00882059"/>
    <w:rsid w:val="009237CF"/>
    <w:rsid w:val="00950EE4"/>
    <w:rsid w:val="009C2196"/>
    <w:rsid w:val="009E6D1E"/>
    <w:rsid w:val="009F77CC"/>
    <w:rsid w:val="00AA2761"/>
    <w:rsid w:val="00B54B9C"/>
    <w:rsid w:val="00C84A6C"/>
    <w:rsid w:val="00D23318"/>
    <w:rsid w:val="00D93FC9"/>
    <w:rsid w:val="00DF20B3"/>
    <w:rsid w:val="00E36310"/>
    <w:rsid w:val="00ED6408"/>
    <w:rsid w:val="00F258D4"/>
    <w:rsid w:val="00F83EF0"/>
    <w:rsid w:val="00FB3433"/>
    <w:rsid w:val="00FE2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82F"/>
  </w:style>
  <w:style w:type="paragraph" w:styleId="Footer">
    <w:name w:val="footer"/>
    <w:basedOn w:val="Normal"/>
    <w:link w:val="FooterChar"/>
    <w:uiPriority w:val="99"/>
    <w:unhideWhenUsed/>
    <w:rsid w:val="00427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82F"/>
  </w:style>
  <w:style w:type="paragraph" w:styleId="BalloonText">
    <w:name w:val="Balloon Text"/>
    <w:basedOn w:val="Normal"/>
    <w:link w:val="BalloonTextChar"/>
    <w:uiPriority w:val="99"/>
    <w:semiHidden/>
    <w:unhideWhenUsed/>
    <w:rsid w:val="00427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82F"/>
    <w:rPr>
      <w:rFonts w:ascii="Tahoma" w:hAnsi="Tahoma" w:cs="Tahoma"/>
      <w:sz w:val="16"/>
      <w:szCs w:val="16"/>
    </w:rPr>
  </w:style>
  <w:style w:type="paragraph" w:styleId="ListParagraph">
    <w:name w:val="List Paragraph"/>
    <w:basedOn w:val="Normal"/>
    <w:uiPriority w:val="34"/>
    <w:qFormat/>
    <w:rsid w:val="00DF20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82F"/>
  </w:style>
  <w:style w:type="paragraph" w:styleId="Footer">
    <w:name w:val="footer"/>
    <w:basedOn w:val="Normal"/>
    <w:link w:val="FooterChar"/>
    <w:uiPriority w:val="99"/>
    <w:unhideWhenUsed/>
    <w:rsid w:val="00427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82F"/>
  </w:style>
  <w:style w:type="paragraph" w:styleId="BalloonText">
    <w:name w:val="Balloon Text"/>
    <w:basedOn w:val="Normal"/>
    <w:link w:val="BalloonTextChar"/>
    <w:uiPriority w:val="99"/>
    <w:semiHidden/>
    <w:unhideWhenUsed/>
    <w:rsid w:val="00427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82F"/>
    <w:rPr>
      <w:rFonts w:ascii="Tahoma" w:hAnsi="Tahoma" w:cs="Tahoma"/>
      <w:sz w:val="16"/>
      <w:szCs w:val="16"/>
    </w:rPr>
  </w:style>
  <w:style w:type="paragraph" w:styleId="ListParagraph">
    <w:name w:val="List Paragraph"/>
    <w:basedOn w:val="Normal"/>
    <w:uiPriority w:val="34"/>
    <w:qFormat/>
    <w:rsid w:val="00DF2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15774">
      <w:bodyDiv w:val="1"/>
      <w:marLeft w:val="0"/>
      <w:marRight w:val="0"/>
      <w:marTop w:val="0"/>
      <w:marBottom w:val="0"/>
      <w:divBdr>
        <w:top w:val="none" w:sz="0" w:space="0" w:color="auto"/>
        <w:left w:val="none" w:sz="0" w:space="0" w:color="auto"/>
        <w:bottom w:val="none" w:sz="0" w:space="0" w:color="auto"/>
        <w:right w:val="none" w:sz="0" w:space="0" w:color="auto"/>
      </w:divBdr>
    </w:div>
    <w:div w:id="642349436">
      <w:bodyDiv w:val="1"/>
      <w:marLeft w:val="0"/>
      <w:marRight w:val="0"/>
      <w:marTop w:val="0"/>
      <w:marBottom w:val="0"/>
      <w:divBdr>
        <w:top w:val="none" w:sz="0" w:space="0" w:color="auto"/>
        <w:left w:val="none" w:sz="0" w:space="0" w:color="auto"/>
        <w:bottom w:val="none" w:sz="0" w:space="0" w:color="auto"/>
        <w:right w:val="none" w:sz="0" w:space="0" w:color="auto"/>
      </w:divBdr>
    </w:div>
    <w:div w:id="1033387243">
      <w:bodyDiv w:val="1"/>
      <w:marLeft w:val="0"/>
      <w:marRight w:val="0"/>
      <w:marTop w:val="0"/>
      <w:marBottom w:val="0"/>
      <w:divBdr>
        <w:top w:val="none" w:sz="0" w:space="0" w:color="auto"/>
        <w:left w:val="none" w:sz="0" w:space="0" w:color="auto"/>
        <w:bottom w:val="none" w:sz="0" w:space="0" w:color="auto"/>
        <w:right w:val="none" w:sz="0" w:space="0" w:color="auto"/>
      </w:divBdr>
    </w:div>
    <w:div w:id="1034693278">
      <w:bodyDiv w:val="1"/>
      <w:marLeft w:val="0"/>
      <w:marRight w:val="0"/>
      <w:marTop w:val="0"/>
      <w:marBottom w:val="0"/>
      <w:divBdr>
        <w:top w:val="none" w:sz="0" w:space="0" w:color="auto"/>
        <w:left w:val="none" w:sz="0" w:space="0" w:color="auto"/>
        <w:bottom w:val="none" w:sz="0" w:space="0" w:color="auto"/>
        <w:right w:val="none" w:sz="0" w:space="0" w:color="auto"/>
      </w:divBdr>
    </w:div>
    <w:div w:id="1177647069">
      <w:bodyDiv w:val="1"/>
      <w:marLeft w:val="0"/>
      <w:marRight w:val="0"/>
      <w:marTop w:val="0"/>
      <w:marBottom w:val="0"/>
      <w:divBdr>
        <w:top w:val="none" w:sz="0" w:space="0" w:color="auto"/>
        <w:left w:val="none" w:sz="0" w:space="0" w:color="auto"/>
        <w:bottom w:val="none" w:sz="0" w:space="0" w:color="auto"/>
        <w:right w:val="none" w:sz="0" w:space="0" w:color="auto"/>
      </w:divBdr>
    </w:div>
    <w:div w:id="1191063864">
      <w:bodyDiv w:val="1"/>
      <w:marLeft w:val="0"/>
      <w:marRight w:val="0"/>
      <w:marTop w:val="0"/>
      <w:marBottom w:val="0"/>
      <w:divBdr>
        <w:top w:val="none" w:sz="0" w:space="0" w:color="auto"/>
        <w:left w:val="none" w:sz="0" w:space="0" w:color="auto"/>
        <w:bottom w:val="none" w:sz="0" w:space="0" w:color="auto"/>
        <w:right w:val="none" w:sz="0" w:space="0" w:color="auto"/>
      </w:divBdr>
    </w:div>
    <w:div w:id="1220047309">
      <w:bodyDiv w:val="1"/>
      <w:marLeft w:val="0"/>
      <w:marRight w:val="0"/>
      <w:marTop w:val="0"/>
      <w:marBottom w:val="0"/>
      <w:divBdr>
        <w:top w:val="none" w:sz="0" w:space="0" w:color="auto"/>
        <w:left w:val="none" w:sz="0" w:space="0" w:color="auto"/>
        <w:bottom w:val="none" w:sz="0" w:space="0" w:color="auto"/>
        <w:right w:val="none" w:sz="0" w:space="0" w:color="auto"/>
      </w:divBdr>
    </w:div>
    <w:div w:id="1407800044">
      <w:bodyDiv w:val="1"/>
      <w:marLeft w:val="0"/>
      <w:marRight w:val="0"/>
      <w:marTop w:val="0"/>
      <w:marBottom w:val="0"/>
      <w:divBdr>
        <w:top w:val="none" w:sz="0" w:space="0" w:color="auto"/>
        <w:left w:val="none" w:sz="0" w:space="0" w:color="auto"/>
        <w:bottom w:val="none" w:sz="0" w:space="0" w:color="auto"/>
        <w:right w:val="none" w:sz="0" w:space="0" w:color="auto"/>
      </w:divBdr>
    </w:div>
    <w:div w:id="1733766857">
      <w:bodyDiv w:val="1"/>
      <w:marLeft w:val="0"/>
      <w:marRight w:val="0"/>
      <w:marTop w:val="0"/>
      <w:marBottom w:val="0"/>
      <w:divBdr>
        <w:top w:val="none" w:sz="0" w:space="0" w:color="auto"/>
        <w:left w:val="none" w:sz="0" w:space="0" w:color="auto"/>
        <w:bottom w:val="none" w:sz="0" w:space="0" w:color="auto"/>
        <w:right w:val="none" w:sz="0" w:space="0" w:color="auto"/>
      </w:divBdr>
    </w:div>
    <w:div w:id="211393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1245</Words>
  <Characters>7097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Melville</dc:creator>
  <cp:lastModifiedBy>Valerie Sharpe</cp:lastModifiedBy>
  <cp:revision>2</cp:revision>
  <dcterms:created xsi:type="dcterms:W3CDTF">2015-11-16T14:54:00Z</dcterms:created>
  <dcterms:modified xsi:type="dcterms:W3CDTF">2015-11-16T14:54:00Z</dcterms:modified>
</cp:coreProperties>
</file>