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FF" w:rsidRPr="009F5B98" w:rsidRDefault="001E73FF">
      <w:pPr>
        <w:pStyle w:val="Heading1"/>
        <w:rPr>
          <w:sz w:val="32"/>
          <w:szCs w:val="36"/>
        </w:rPr>
      </w:pPr>
      <w:r w:rsidRPr="009F5B98">
        <w:rPr>
          <w:sz w:val="32"/>
          <w:szCs w:val="36"/>
        </w:rPr>
        <w:t>Hexagon Housing Association</w:t>
      </w:r>
    </w:p>
    <w:p w:rsidR="001E73FF" w:rsidRPr="009F5B98" w:rsidRDefault="001E73FF">
      <w:pPr>
        <w:rPr>
          <w:rFonts w:ascii="Arial" w:hAnsi="Arial"/>
          <w:b/>
          <w:sz w:val="32"/>
          <w:szCs w:val="36"/>
        </w:rPr>
      </w:pPr>
    </w:p>
    <w:p w:rsidR="001E73FF" w:rsidRPr="009F5B98" w:rsidRDefault="001E73FF">
      <w:pPr>
        <w:rPr>
          <w:rFonts w:ascii="Arial" w:hAnsi="Arial"/>
          <w:b/>
          <w:sz w:val="32"/>
          <w:szCs w:val="36"/>
        </w:rPr>
      </w:pPr>
      <w:r w:rsidRPr="009F5B98">
        <w:rPr>
          <w:rFonts w:ascii="Arial" w:hAnsi="Arial"/>
          <w:b/>
          <w:sz w:val="32"/>
          <w:szCs w:val="36"/>
        </w:rPr>
        <w:t>Board of Management</w:t>
      </w:r>
    </w:p>
    <w:p w:rsidR="001E73FF" w:rsidRPr="009F5B98" w:rsidRDefault="001E73FF">
      <w:pPr>
        <w:rPr>
          <w:rFonts w:ascii="Arial" w:hAnsi="Arial"/>
          <w:b/>
          <w:sz w:val="32"/>
          <w:szCs w:val="36"/>
        </w:rPr>
      </w:pPr>
    </w:p>
    <w:p w:rsidR="001E73FF" w:rsidRPr="009F5B98" w:rsidRDefault="00C033D8">
      <w:pPr>
        <w:rPr>
          <w:rFonts w:ascii="Arial" w:hAnsi="Arial"/>
          <w:b/>
          <w:sz w:val="32"/>
          <w:szCs w:val="36"/>
        </w:rPr>
      </w:pPr>
      <w:r w:rsidRPr="009F5B98">
        <w:rPr>
          <w:rFonts w:ascii="Arial" w:hAnsi="Arial"/>
          <w:b/>
          <w:i/>
          <w:sz w:val="32"/>
          <w:szCs w:val="36"/>
        </w:rPr>
        <w:t>29</w:t>
      </w:r>
      <w:r w:rsidRPr="009F5B98">
        <w:rPr>
          <w:rFonts w:ascii="Arial" w:hAnsi="Arial"/>
          <w:b/>
          <w:i/>
          <w:sz w:val="32"/>
          <w:szCs w:val="36"/>
          <w:vertAlign w:val="superscript"/>
        </w:rPr>
        <w:t>th</w:t>
      </w:r>
      <w:r w:rsidRPr="009F5B98">
        <w:rPr>
          <w:rFonts w:ascii="Arial" w:hAnsi="Arial"/>
          <w:b/>
          <w:i/>
          <w:sz w:val="32"/>
          <w:szCs w:val="36"/>
        </w:rPr>
        <w:t xml:space="preserve"> September 2015</w:t>
      </w:r>
    </w:p>
    <w:p w:rsidR="001E73FF" w:rsidRPr="009F5B98" w:rsidRDefault="001E73FF">
      <w:pPr>
        <w:rPr>
          <w:rFonts w:ascii="Arial" w:hAnsi="Arial"/>
          <w:b/>
          <w:sz w:val="32"/>
          <w:szCs w:val="36"/>
        </w:rPr>
      </w:pPr>
    </w:p>
    <w:p w:rsidR="001E73FF" w:rsidRPr="009F5B98" w:rsidRDefault="001E73FF">
      <w:pPr>
        <w:rPr>
          <w:rFonts w:ascii="Arial" w:hAnsi="Arial"/>
          <w:b/>
          <w:i/>
          <w:sz w:val="32"/>
          <w:szCs w:val="36"/>
        </w:rPr>
      </w:pPr>
      <w:r w:rsidRPr="009F5B98">
        <w:rPr>
          <w:rFonts w:ascii="Arial" w:hAnsi="Arial"/>
          <w:b/>
          <w:sz w:val="32"/>
          <w:szCs w:val="36"/>
        </w:rPr>
        <w:t>Agenda Item</w:t>
      </w:r>
      <w:r w:rsidR="009F5B98" w:rsidRPr="009F5B98">
        <w:rPr>
          <w:rFonts w:ascii="Arial" w:hAnsi="Arial"/>
          <w:b/>
          <w:sz w:val="32"/>
          <w:szCs w:val="36"/>
        </w:rPr>
        <w:t xml:space="preserve"> 11</w:t>
      </w:r>
    </w:p>
    <w:p w:rsidR="001E73FF" w:rsidRPr="009F5B98" w:rsidRDefault="001E73FF">
      <w:pPr>
        <w:rPr>
          <w:rFonts w:ascii="Arial" w:hAnsi="Arial"/>
          <w:b/>
          <w:sz w:val="32"/>
          <w:szCs w:val="36"/>
        </w:rPr>
      </w:pPr>
    </w:p>
    <w:p w:rsidR="001E73FF" w:rsidRPr="009F5B98" w:rsidRDefault="00CE62CC">
      <w:pPr>
        <w:rPr>
          <w:rFonts w:ascii="Arial" w:hAnsi="Arial"/>
          <w:b/>
          <w:sz w:val="32"/>
          <w:szCs w:val="36"/>
        </w:rPr>
      </w:pPr>
      <w:r w:rsidRPr="009F5B98">
        <w:rPr>
          <w:rFonts w:ascii="Arial" w:hAnsi="Arial"/>
          <w:b/>
          <w:i/>
          <w:sz w:val="32"/>
          <w:szCs w:val="36"/>
        </w:rPr>
        <w:t>Review of Treasury Policy</w:t>
      </w:r>
    </w:p>
    <w:p w:rsidR="001E73FF" w:rsidRPr="009F5B98" w:rsidRDefault="001E73FF">
      <w:pPr>
        <w:rPr>
          <w:rFonts w:ascii="Arial" w:hAnsi="Arial"/>
          <w:b/>
          <w:sz w:val="32"/>
          <w:szCs w:val="36"/>
        </w:rPr>
      </w:pPr>
    </w:p>
    <w:p w:rsidR="001E73FF" w:rsidRPr="009F5B98" w:rsidRDefault="00C033D8">
      <w:pPr>
        <w:pBdr>
          <w:bottom w:val="single" w:sz="12" w:space="1" w:color="auto"/>
        </w:pBdr>
        <w:rPr>
          <w:rFonts w:ascii="Arial" w:hAnsi="Arial"/>
          <w:b/>
          <w:sz w:val="32"/>
          <w:szCs w:val="36"/>
        </w:rPr>
      </w:pPr>
      <w:r w:rsidRPr="009F5B98">
        <w:rPr>
          <w:rFonts w:ascii="Arial" w:hAnsi="Arial"/>
          <w:b/>
          <w:sz w:val="32"/>
          <w:szCs w:val="36"/>
        </w:rPr>
        <w:t>Lead Board Member – Debbie Bankole Williams</w:t>
      </w:r>
    </w:p>
    <w:p w:rsidR="00C033D8" w:rsidRPr="009F5B98" w:rsidRDefault="00C033D8">
      <w:pPr>
        <w:pBdr>
          <w:bottom w:val="single" w:sz="12" w:space="1" w:color="auto"/>
        </w:pBdr>
        <w:rPr>
          <w:rFonts w:ascii="Arial" w:hAnsi="Arial"/>
          <w:b/>
          <w:sz w:val="32"/>
          <w:szCs w:val="36"/>
        </w:rPr>
      </w:pPr>
    </w:p>
    <w:p w:rsidR="00C033D8" w:rsidRPr="00511226" w:rsidRDefault="00C033D8">
      <w:pPr>
        <w:pBdr>
          <w:bottom w:val="single" w:sz="12" w:space="1" w:color="auto"/>
        </w:pBdr>
        <w:rPr>
          <w:rFonts w:ascii="Arial" w:hAnsi="Arial"/>
          <w:b/>
          <w:i/>
          <w:sz w:val="36"/>
          <w:szCs w:val="36"/>
        </w:rPr>
      </w:pPr>
      <w:r w:rsidRPr="009F5B98">
        <w:rPr>
          <w:rFonts w:ascii="Arial" w:hAnsi="Arial"/>
          <w:b/>
          <w:sz w:val="32"/>
          <w:szCs w:val="36"/>
        </w:rPr>
        <w:t>Report from Finance &amp; IT Director</w:t>
      </w:r>
    </w:p>
    <w:p w:rsidR="001E73FF" w:rsidRDefault="001E73FF">
      <w:pPr>
        <w:pBdr>
          <w:bottom w:val="single" w:sz="12" w:space="1" w:color="auto"/>
        </w:pBdr>
        <w:rPr>
          <w:rFonts w:ascii="Arial" w:hAnsi="Arial"/>
        </w:rPr>
      </w:pPr>
    </w:p>
    <w:p w:rsidR="001E73FF" w:rsidRDefault="001E73FF">
      <w:pPr>
        <w:rPr>
          <w:rFonts w:ascii="Arial" w:hAnsi="Arial"/>
          <w:sz w:val="24"/>
        </w:rPr>
      </w:pPr>
    </w:p>
    <w:p w:rsidR="001E73FF" w:rsidRDefault="001E73FF">
      <w:pPr>
        <w:pStyle w:val="Heading4"/>
        <w:rPr>
          <w:i/>
          <w:sz w:val="24"/>
        </w:rPr>
      </w:pPr>
      <w:r>
        <w:rPr>
          <w:i/>
        </w:rPr>
        <w:t xml:space="preserve">Summary </w:t>
      </w:r>
    </w:p>
    <w:p w:rsidR="001E73FF" w:rsidRDefault="001E73FF">
      <w:pPr>
        <w:rPr>
          <w:rFonts w:ascii="Arial" w:hAnsi="Arial"/>
          <w:sz w:val="24"/>
        </w:rPr>
      </w:pPr>
    </w:p>
    <w:p w:rsidR="00CE62CC" w:rsidRPr="00CE62CC" w:rsidRDefault="00CE62CC">
      <w:pPr>
        <w:pStyle w:val="BodyText"/>
      </w:pPr>
      <w:r w:rsidRPr="00CE62CC">
        <w:t xml:space="preserve">Sets out the reasons for updating Hexagon’s Treasury </w:t>
      </w:r>
      <w:r>
        <w:t xml:space="preserve">Management </w:t>
      </w:r>
      <w:r w:rsidRPr="00CE62CC">
        <w:t>Policy to:</w:t>
      </w:r>
    </w:p>
    <w:p w:rsidR="00CE62CC" w:rsidRDefault="00CE62CC" w:rsidP="00CE62CC">
      <w:pPr>
        <w:pStyle w:val="BodyText"/>
        <w:numPr>
          <w:ilvl w:val="0"/>
          <w:numId w:val="5"/>
        </w:numPr>
      </w:pPr>
      <w:r w:rsidRPr="00CE62CC">
        <w:t>Provide greater clarity on when to fix future interest rates</w:t>
      </w:r>
    </w:p>
    <w:p w:rsidR="00CE62CC" w:rsidRDefault="00CE62CC" w:rsidP="00CE62CC">
      <w:pPr>
        <w:pStyle w:val="BodyText"/>
        <w:numPr>
          <w:ilvl w:val="0"/>
          <w:numId w:val="5"/>
        </w:numPr>
      </w:pPr>
      <w:r>
        <w:t xml:space="preserve">Allow for surplus cash to be invested in larger amounts </w:t>
      </w:r>
    </w:p>
    <w:p w:rsidR="008926F1" w:rsidRDefault="008926F1" w:rsidP="00CE62CC">
      <w:pPr>
        <w:pStyle w:val="ListParagraph"/>
        <w:numPr>
          <w:ilvl w:val="0"/>
          <w:numId w:val="5"/>
        </w:numPr>
      </w:pPr>
      <w:r w:rsidRPr="008926F1">
        <w:rPr>
          <w:rFonts w:ascii="Arial" w:hAnsi="Arial"/>
          <w:sz w:val="24"/>
        </w:rPr>
        <w:t>Allow for surplus funds to be invested in AAA rated Money Market Funds in the same way as term deposits with banks (</w:t>
      </w:r>
      <w:proofErr w:type="spellStart"/>
      <w:r w:rsidRPr="008926F1">
        <w:rPr>
          <w:rFonts w:ascii="Arial" w:hAnsi="Arial"/>
          <w:sz w:val="24"/>
        </w:rPr>
        <w:t>ie</w:t>
      </w:r>
      <w:proofErr w:type="spellEnd"/>
      <w:r w:rsidRPr="008926F1">
        <w:rPr>
          <w:rFonts w:ascii="Arial" w:hAnsi="Arial"/>
          <w:sz w:val="24"/>
        </w:rPr>
        <w:t xml:space="preserve"> without specific prior approval by the Board) </w:t>
      </w:r>
    </w:p>
    <w:p w:rsidR="00CE62CC" w:rsidRPr="00CE62CC" w:rsidRDefault="00CE62CC" w:rsidP="00CE62CC">
      <w:pPr>
        <w:pStyle w:val="BodyText"/>
        <w:numPr>
          <w:ilvl w:val="0"/>
          <w:numId w:val="5"/>
        </w:numPr>
      </w:pPr>
      <w:r>
        <w:t>Reflect recent changes in the way that counterparty risk is assessed</w:t>
      </w:r>
    </w:p>
    <w:p w:rsidR="001E73FF" w:rsidRDefault="001E73FF">
      <w:pPr>
        <w:pBdr>
          <w:bottom w:val="single" w:sz="12" w:space="1" w:color="auto"/>
        </w:pBdr>
        <w:rPr>
          <w:rFonts w:ascii="Arial" w:hAnsi="Arial"/>
          <w:sz w:val="24"/>
        </w:rPr>
      </w:pPr>
    </w:p>
    <w:p w:rsidR="001E73FF" w:rsidRDefault="001E73FF">
      <w:pPr>
        <w:pStyle w:val="Header"/>
        <w:tabs>
          <w:tab w:val="clear" w:pos="4153"/>
          <w:tab w:val="clear" w:pos="8306"/>
        </w:tabs>
      </w:pPr>
    </w:p>
    <w:p w:rsidR="001E73FF" w:rsidRDefault="001E73FF">
      <w:pPr>
        <w:pStyle w:val="Heading4"/>
        <w:rPr>
          <w:i/>
          <w:sz w:val="24"/>
        </w:rPr>
      </w:pPr>
      <w:r>
        <w:rPr>
          <w:i/>
        </w:rPr>
        <w:t>Recommendation</w:t>
      </w:r>
    </w:p>
    <w:p w:rsidR="001E73FF" w:rsidRDefault="001E73FF">
      <w:pPr>
        <w:rPr>
          <w:rFonts w:ascii="Arial" w:hAnsi="Arial"/>
          <w:sz w:val="24"/>
        </w:rPr>
      </w:pPr>
    </w:p>
    <w:p w:rsidR="008E03CF" w:rsidRDefault="00C033D8" w:rsidP="00434E66">
      <w:pPr>
        <w:jc w:val="both"/>
        <w:rPr>
          <w:rFonts w:ascii="Arial" w:hAnsi="Arial"/>
          <w:sz w:val="24"/>
        </w:rPr>
      </w:pPr>
      <w:r>
        <w:rPr>
          <w:rFonts w:ascii="Arial" w:hAnsi="Arial"/>
          <w:sz w:val="24"/>
        </w:rPr>
        <w:t>The Boar</w:t>
      </w:r>
      <w:r w:rsidR="00CE62CC">
        <w:rPr>
          <w:rFonts w:ascii="Arial" w:hAnsi="Arial"/>
          <w:sz w:val="24"/>
        </w:rPr>
        <w:t xml:space="preserve">d is recommended to approve the updated Treasury </w:t>
      </w:r>
      <w:r w:rsidR="00CA36A9">
        <w:rPr>
          <w:rFonts w:ascii="Arial" w:hAnsi="Arial"/>
          <w:sz w:val="24"/>
        </w:rPr>
        <w:t xml:space="preserve">Management </w:t>
      </w:r>
      <w:r w:rsidR="00CE62CC">
        <w:rPr>
          <w:rFonts w:ascii="Arial" w:hAnsi="Arial"/>
          <w:sz w:val="24"/>
        </w:rPr>
        <w:t>Policy</w:t>
      </w:r>
      <w:r w:rsidR="008E03CF">
        <w:rPr>
          <w:rFonts w:ascii="Arial" w:hAnsi="Arial"/>
          <w:sz w:val="24"/>
        </w:rPr>
        <w:t>, incorporating the changes to:</w:t>
      </w:r>
    </w:p>
    <w:p w:rsidR="008E03CF" w:rsidRDefault="008E03CF" w:rsidP="00434E66">
      <w:pPr>
        <w:jc w:val="both"/>
        <w:rPr>
          <w:rFonts w:ascii="Arial" w:hAnsi="Arial"/>
          <w:sz w:val="24"/>
        </w:rPr>
      </w:pPr>
    </w:p>
    <w:p w:rsidR="001E73FF" w:rsidRDefault="008E03CF" w:rsidP="008E03CF">
      <w:pPr>
        <w:pStyle w:val="ListParagraph"/>
        <w:numPr>
          <w:ilvl w:val="0"/>
          <w:numId w:val="7"/>
        </w:numPr>
        <w:jc w:val="both"/>
        <w:rPr>
          <w:rFonts w:ascii="Arial" w:hAnsi="Arial"/>
          <w:sz w:val="24"/>
        </w:rPr>
      </w:pPr>
      <w:r>
        <w:rPr>
          <w:rFonts w:ascii="Arial" w:hAnsi="Arial"/>
          <w:sz w:val="24"/>
        </w:rPr>
        <w:t>Section 1.2.6 (Board override)</w:t>
      </w:r>
    </w:p>
    <w:p w:rsidR="008E03CF" w:rsidRDefault="008E03CF" w:rsidP="008E03CF">
      <w:pPr>
        <w:pStyle w:val="ListParagraph"/>
        <w:numPr>
          <w:ilvl w:val="0"/>
          <w:numId w:val="7"/>
        </w:numPr>
        <w:jc w:val="both"/>
        <w:rPr>
          <w:rFonts w:ascii="Arial" w:hAnsi="Arial"/>
          <w:sz w:val="24"/>
        </w:rPr>
      </w:pPr>
      <w:r>
        <w:rPr>
          <w:rFonts w:ascii="Arial" w:hAnsi="Arial"/>
          <w:sz w:val="24"/>
        </w:rPr>
        <w:t xml:space="preserve">Section </w:t>
      </w:r>
      <w:r w:rsidR="001F28FD">
        <w:rPr>
          <w:rFonts w:ascii="Arial" w:hAnsi="Arial"/>
          <w:sz w:val="24"/>
        </w:rPr>
        <w:t>S</w:t>
      </w:r>
      <w:r>
        <w:rPr>
          <w:rFonts w:ascii="Arial" w:hAnsi="Arial"/>
          <w:sz w:val="24"/>
        </w:rPr>
        <w:t>1.1 (to align with 12 months already allowed under S1.3)</w:t>
      </w:r>
    </w:p>
    <w:p w:rsidR="001F28FD" w:rsidRDefault="001F28FD" w:rsidP="008E03CF">
      <w:pPr>
        <w:pStyle w:val="ListParagraph"/>
        <w:numPr>
          <w:ilvl w:val="0"/>
          <w:numId w:val="7"/>
        </w:numPr>
        <w:jc w:val="both"/>
        <w:rPr>
          <w:rFonts w:ascii="Arial" w:hAnsi="Arial"/>
          <w:sz w:val="24"/>
        </w:rPr>
      </w:pPr>
      <w:r>
        <w:rPr>
          <w:rFonts w:ascii="Arial" w:hAnsi="Arial"/>
          <w:sz w:val="24"/>
        </w:rPr>
        <w:t>Section S1.2 (to clarify the EBITDMRI test)</w:t>
      </w:r>
    </w:p>
    <w:p w:rsidR="001F28FD" w:rsidRDefault="001F28FD" w:rsidP="008E03CF">
      <w:pPr>
        <w:pStyle w:val="ListParagraph"/>
        <w:numPr>
          <w:ilvl w:val="0"/>
          <w:numId w:val="7"/>
        </w:numPr>
        <w:jc w:val="both"/>
        <w:rPr>
          <w:rFonts w:ascii="Arial" w:hAnsi="Arial"/>
          <w:sz w:val="24"/>
        </w:rPr>
      </w:pPr>
      <w:r>
        <w:rPr>
          <w:rFonts w:ascii="Arial" w:hAnsi="Arial"/>
          <w:sz w:val="24"/>
        </w:rPr>
        <w:t>Section S1.3 (to allow for surplus funds to be invested in Money Market Funds and in larger amounts)</w:t>
      </w:r>
    </w:p>
    <w:p w:rsidR="001F28FD" w:rsidRDefault="001F28FD" w:rsidP="008E03CF">
      <w:pPr>
        <w:pStyle w:val="ListParagraph"/>
        <w:numPr>
          <w:ilvl w:val="0"/>
          <w:numId w:val="7"/>
        </w:numPr>
        <w:jc w:val="both"/>
        <w:rPr>
          <w:rFonts w:ascii="Arial" w:hAnsi="Arial"/>
          <w:sz w:val="24"/>
        </w:rPr>
      </w:pPr>
      <w:r>
        <w:rPr>
          <w:rFonts w:ascii="Arial" w:hAnsi="Arial"/>
          <w:sz w:val="24"/>
        </w:rPr>
        <w:t xml:space="preserve">Section S1.4 (to allow for changes the format of </w:t>
      </w:r>
      <w:proofErr w:type="spellStart"/>
      <w:r>
        <w:rPr>
          <w:rFonts w:ascii="Arial" w:hAnsi="Arial"/>
          <w:sz w:val="24"/>
        </w:rPr>
        <w:t>Capita’s</w:t>
      </w:r>
      <w:proofErr w:type="spellEnd"/>
      <w:r>
        <w:rPr>
          <w:rFonts w:ascii="Arial" w:hAnsi="Arial"/>
          <w:sz w:val="24"/>
        </w:rPr>
        <w:t xml:space="preserve"> counterparty advice)</w:t>
      </w:r>
    </w:p>
    <w:p w:rsidR="001F28FD" w:rsidRPr="008E03CF" w:rsidRDefault="001F28FD" w:rsidP="008E03CF">
      <w:pPr>
        <w:pStyle w:val="ListParagraph"/>
        <w:numPr>
          <w:ilvl w:val="0"/>
          <w:numId w:val="7"/>
        </w:numPr>
        <w:jc w:val="both"/>
        <w:rPr>
          <w:rFonts w:ascii="Arial" w:hAnsi="Arial"/>
          <w:sz w:val="24"/>
        </w:rPr>
      </w:pPr>
      <w:r>
        <w:rPr>
          <w:rFonts w:ascii="Arial" w:hAnsi="Arial"/>
          <w:sz w:val="24"/>
        </w:rPr>
        <w:t>Section S3 (combination of the above)</w:t>
      </w:r>
    </w:p>
    <w:p w:rsidR="001E73FF" w:rsidRDefault="001E73FF">
      <w:pPr>
        <w:pBdr>
          <w:bottom w:val="single" w:sz="12" w:space="1" w:color="auto"/>
        </w:pBdr>
        <w:rPr>
          <w:rFonts w:ascii="Arial" w:hAnsi="Arial"/>
          <w:sz w:val="24"/>
        </w:rPr>
      </w:pPr>
    </w:p>
    <w:p w:rsidR="001E73FF" w:rsidRDefault="001E73FF">
      <w:pPr>
        <w:rPr>
          <w:rFonts w:ascii="Arial" w:hAnsi="Arial"/>
          <w:sz w:val="24"/>
        </w:rPr>
      </w:pPr>
    </w:p>
    <w:p w:rsidR="009F5B98" w:rsidRDefault="009F5B98">
      <w:pPr>
        <w:rPr>
          <w:rFonts w:ascii="Arial" w:hAnsi="Arial"/>
          <w:sz w:val="24"/>
        </w:rPr>
      </w:pPr>
    </w:p>
    <w:p w:rsidR="009F5B98" w:rsidRDefault="009F5B98">
      <w:pPr>
        <w:rPr>
          <w:rFonts w:ascii="Arial" w:hAnsi="Arial"/>
          <w:sz w:val="24"/>
        </w:rPr>
      </w:pPr>
    </w:p>
    <w:p w:rsidR="009F5B98" w:rsidRDefault="009F5B98">
      <w:pPr>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724"/>
      </w:tblGrid>
      <w:tr w:rsidR="000C59DE" w:rsidTr="0046071B">
        <w:tc>
          <w:tcPr>
            <w:tcW w:w="606" w:type="dxa"/>
          </w:tcPr>
          <w:p w:rsidR="000C59DE" w:rsidRPr="00F8162E" w:rsidRDefault="000C59DE">
            <w:pPr>
              <w:rPr>
                <w:rFonts w:ascii="Arial" w:hAnsi="Arial"/>
                <w:b/>
                <w:i/>
                <w:sz w:val="28"/>
              </w:rPr>
            </w:pPr>
            <w:r w:rsidRPr="000C59DE">
              <w:rPr>
                <w:rFonts w:ascii="Arial" w:hAnsi="Arial"/>
                <w:b/>
                <w:i/>
                <w:sz w:val="28"/>
              </w:rPr>
              <w:lastRenderedPageBreak/>
              <w:t>1.0</w:t>
            </w:r>
          </w:p>
        </w:tc>
        <w:tc>
          <w:tcPr>
            <w:tcW w:w="7724" w:type="dxa"/>
          </w:tcPr>
          <w:p w:rsidR="000C59DE" w:rsidRDefault="00F8162E">
            <w:pPr>
              <w:rPr>
                <w:rFonts w:ascii="Arial" w:hAnsi="Arial"/>
                <w:b/>
                <w:i/>
                <w:sz w:val="28"/>
              </w:rPr>
            </w:pPr>
            <w:r w:rsidRPr="00F8162E">
              <w:rPr>
                <w:rFonts w:ascii="Arial" w:hAnsi="Arial"/>
                <w:b/>
                <w:i/>
                <w:sz w:val="28"/>
              </w:rPr>
              <w:t>Introduction</w:t>
            </w:r>
          </w:p>
          <w:p w:rsidR="009F5B98" w:rsidRPr="00F8162E" w:rsidRDefault="009F5B98">
            <w:pPr>
              <w:rPr>
                <w:rFonts w:ascii="Arial" w:hAnsi="Arial"/>
                <w:b/>
                <w:i/>
                <w:sz w:val="28"/>
              </w:rPr>
            </w:pPr>
          </w:p>
        </w:tc>
      </w:tr>
      <w:tr w:rsidR="000C59DE" w:rsidTr="0046071B">
        <w:tc>
          <w:tcPr>
            <w:tcW w:w="606" w:type="dxa"/>
          </w:tcPr>
          <w:p w:rsidR="000C59DE" w:rsidRDefault="000C59DE">
            <w:pPr>
              <w:rPr>
                <w:rFonts w:ascii="Arial" w:hAnsi="Arial"/>
                <w:sz w:val="24"/>
              </w:rPr>
            </w:pPr>
            <w:r>
              <w:rPr>
                <w:rFonts w:ascii="Arial" w:hAnsi="Arial"/>
                <w:sz w:val="24"/>
              </w:rPr>
              <w:t>1.1</w:t>
            </w:r>
          </w:p>
        </w:tc>
        <w:tc>
          <w:tcPr>
            <w:tcW w:w="7724" w:type="dxa"/>
          </w:tcPr>
          <w:p w:rsidR="0046071B" w:rsidRDefault="00CE62CC" w:rsidP="00F8162E">
            <w:pPr>
              <w:rPr>
                <w:rFonts w:ascii="Arial" w:hAnsi="Arial"/>
                <w:sz w:val="24"/>
              </w:rPr>
            </w:pPr>
            <w:r>
              <w:rPr>
                <w:rFonts w:ascii="Arial" w:hAnsi="Arial"/>
                <w:sz w:val="24"/>
              </w:rPr>
              <w:t xml:space="preserve">Hexagon’s Treasury </w:t>
            </w:r>
            <w:r w:rsidR="00CA36A9">
              <w:rPr>
                <w:rFonts w:ascii="Arial" w:hAnsi="Arial"/>
                <w:sz w:val="24"/>
              </w:rPr>
              <w:t xml:space="preserve">Management </w:t>
            </w:r>
            <w:r>
              <w:rPr>
                <w:rFonts w:ascii="Arial" w:hAnsi="Arial"/>
                <w:sz w:val="24"/>
              </w:rPr>
              <w:t>Policy</w:t>
            </w:r>
            <w:r w:rsidR="00CA36A9">
              <w:rPr>
                <w:rFonts w:ascii="Arial" w:hAnsi="Arial"/>
                <w:sz w:val="24"/>
              </w:rPr>
              <w:t xml:space="preserve"> (TMP)</w:t>
            </w:r>
            <w:r>
              <w:rPr>
                <w:rFonts w:ascii="Arial" w:hAnsi="Arial"/>
                <w:sz w:val="24"/>
              </w:rPr>
              <w:t xml:space="preserve"> was due for its annual review in July 15, but this was deferred to September to allow for consideration of a review of the interest rate aspects of the policy at officer level.  This has now been done</w:t>
            </w:r>
            <w:r w:rsidR="001B1E3A">
              <w:rPr>
                <w:rFonts w:ascii="Arial" w:hAnsi="Arial"/>
                <w:sz w:val="24"/>
              </w:rPr>
              <w:t>, with assistance from Capita (Hexagon’s treasury advisors)</w:t>
            </w:r>
            <w:r>
              <w:rPr>
                <w:rFonts w:ascii="Arial" w:hAnsi="Arial"/>
                <w:sz w:val="24"/>
              </w:rPr>
              <w:t xml:space="preserve">. </w:t>
            </w:r>
          </w:p>
          <w:p w:rsidR="0046071B" w:rsidRDefault="0046071B" w:rsidP="00F8162E">
            <w:pPr>
              <w:rPr>
                <w:rFonts w:ascii="Arial" w:hAnsi="Arial"/>
                <w:sz w:val="24"/>
              </w:rPr>
            </w:pPr>
          </w:p>
        </w:tc>
      </w:tr>
      <w:tr w:rsidR="00F8162E" w:rsidTr="0046071B">
        <w:tc>
          <w:tcPr>
            <w:tcW w:w="606" w:type="dxa"/>
          </w:tcPr>
          <w:p w:rsidR="00F8162E" w:rsidRDefault="00F8162E">
            <w:pPr>
              <w:rPr>
                <w:rFonts w:ascii="Arial" w:hAnsi="Arial"/>
                <w:sz w:val="24"/>
              </w:rPr>
            </w:pPr>
            <w:r>
              <w:rPr>
                <w:rFonts w:ascii="Arial" w:hAnsi="Arial"/>
                <w:sz w:val="24"/>
              </w:rPr>
              <w:t>1.2</w:t>
            </w:r>
          </w:p>
        </w:tc>
        <w:tc>
          <w:tcPr>
            <w:tcW w:w="7724" w:type="dxa"/>
          </w:tcPr>
          <w:p w:rsidR="00F8162E" w:rsidRDefault="00CE62CC" w:rsidP="0030662F">
            <w:pPr>
              <w:rPr>
                <w:rFonts w:ascii="Arial" w:hAnsi="Arial"/>
                <w:sz w:val="24"/>
              </w:rPr>
            </w:pPr>
            <w:r>
              <w:rPr>
                <w:rFonts w:ascii="Arial" w:hAnsi="Arial"/>
                <w:sz w:val="24"/>
              </w:rPr>
              <w:t xml:space="preserve">The Policy is working well in most areas, but there are three areas which need review, as explained below. </w:t>
            </w:r>
            <w:r w:rsidR="00434E66">
              <w:rPr>
                <w:rFonts w:ascii="Arial" w:hAnsi="Arial"/>
                <w:sz w:val="24"/>
              </w:rPr>
              <w:t xml:space="preserve"> An updated copy of the TMP, showing all recommended changes, is attached. </w:t>
            </w:r>
          </w:p>
          <w:p w:rsidR="0046071B" w:rsidRDefault="0046071B" w:rsidP="0030662F">
            <w:pPr>
              <w:rPr>
                <w:rFonts w:ascii="Arial" w:hAnsi="Arial"/>
                <w:sz w:val="24"/>
              </w:rPr>
            </w:pPr>
          </w:p>
        </w:tc>
      </w:tr>
      <w:tr w:rsidR="000C59DE" w:rsidTr="0046071B">
        <w:tc>
          <w:tcPr>
            <w:tcW w:w="606" w:type="dxa"/>
          </w:tcPr>
          <w:p w:rsidR="000C59DE" w:rsidRPr="00E3518D" w:rsidRDefault="0030662F">
            <w:pPr>
              <w:rPr>
                <w:rFonts w:ascii="Arial" w:hAnsi="Arial"/>
                <w:b/>
                <w:i/>
                <w:sz w:val="28"/>
              </w:rPr>
            </w:pPr>
            <w:r w:rsidRPr="00E3518D">
              <w:rPr>
                <w:rFonts w:ascii="Arial" w:hAnsi="Arial"/>
                <w:b/>
                <w:i/>
                <w:sz w:val="28"/>
              </w:rPr>
              <w:t>2.0</w:t>
            </w:r>
          </w:p>
        </w:tc>
        <w:tc>
          <w:tcPr>
            <w:tcW w:w="7724" w:type="dxa"/>
          </w:tcPr>
          <w:p w:rsidR="000C59DE" w:rsidRDefault="00CA36A9">
            <w:pPr>
              <w:rPr>
                <w:rFonts w:ascii="Arial" w:hAnsi="Arial"/>
                <w:b/>
                <w:i/>
                <w:sz w:val="28"/>
              </w:rPr>
            </w:pPr>
            <w:r>
              <w:rPr>
                <w:rFonts w:ascii="Arial" w:hAnsi="Arial"/>
                <w:b/>
                <w:i/>
                <w:sz w:val="28"/>
              </w:rPr>
              <w:t>Review of the Interest Rate Management Strategy</w:t>
            </w:r>
          </w:p>
          <w:p w:rsidR="009F5B98" w:rsidRPr="00E3518D" w:rsidRDefault="009F5B98">
            <w:pPr>
              <w:rPr>
                <w:rFonts w:ascii="Arial" w:hAnsi="Arial"/>
                <w:b/>
                <w:i/>
                <w:sz w:val="28"/>
              </w:rPr>
            </w:pPr>
          </w:p>
        </w:tc>
      </w:tr>
      <w:tr w:rsidR="000C59DE" w:rsidTr="0046071B">
        <w:tc>
          <w:tcPr>
            <w:tcW w:w="606" w:type="dxa"/>
          </w:tcPr>
          <w:p w:rsidR="000C59DE" w:rsidRDefault="0030662F">
            <w:pPr>
              <w:rPr>
                <w:rFonts w:ascii="Arial" w:hAnsi="Arial"/>
                <w:sz w:val="24"/>
              </w:rPr>
            </w:pPr>
            <w:r>
              <w:rPr>
                <w:rFonts w:ascii="Arial" w:hAnsi="Arial"/>
                <w:sz w:val="24"/>
              </w:rPr>
              <w:t>2.1</w:t>
            </w:r>
          </w:p>
        </w:tc>
        <w:tc>
          <w:tcPr>
            <w:tcW w:w="7724" w:type="dxa"/>
          </w:tcPr>
          <w:p w:rsidR="0030662F" w:rsidRDefault="0030662F" w:rsidP="00CA36A9">
            <w:pPr>
              <w:rPr>
                <w:rFonts w:ascii="Arial" w:hAnsi="Arial"/>
                <w:sz w:val="24"/>
              </w:rPr>
            </w:pPr>
            <w:r>
              <w:rPr>
                <w:rFonts w:ascii="Arial" w:hAnsi="Arial"/>
                <w:sz w:val="24"/>
              </w:rPr>
              <w:t xml:space="preserve">The </w:t>
            </w:r>
            <w:r w:rsidR="00CA36A9">
              <w:rPr>
                <w:rFonts w:ascii="Arial" w:hAnsi="Arial"/>
                <w:sz w:val="24"/>
              </w:rPr>
              <w:t xml:space="preserve">current TMP states that “Hexagon seeks to put in place fixes which allow the business plan to withstand both a 1% increase in real interest rates and a 1% drop in inflation without the key ratio of EBITDMRI falling below 110%”.  This means that, unless the Board agrees otherwise, if the business plan fails the EBITDAMRI test officers need to arrange for a further interest rate fix, either by standalone derivative or by fixing within an existing variable rate loan.  </w:t>
            </w:r>
          </w:p>
          <w:p w:rsidR="0030662F" w:rsidRDefault="00CA36A9" w:rsidP="00CA36A9">
            <w:pPr>
              <w:rPr>
                <w:rFonts w:ascii="Arial" w:hAnsi="Arial"/>
                <w:sz w:val="24"/>
              </w:rPr>
            </w:pPr>
            <w:r>
              <w:rPr>
                <w:rFonts w:ascii="Arial" w:hAnsi="Arial"/>
                <w:sz w:val="24"/>
              </w:rPr>
              <w:t>However, the TMP also states that Hexagon</w:t>
            </w:r>
            <w:r w:rsidR="00D96519">
              <w:rPr>
                <w:rFonts w:ascii="Arial" w:hAnsi="Arial"/>
                <w:sz w:val="24"/>
              </w:rPr>
              <w:t xml:space="preserve"> </w:t>
            </w:r>
            <w:proofErr w:type="gramStart"/>
            <w:r w:rsidR="00D96519">
              <w:rPr>
                <w:rFonts w:ascii="Arial" w:hAnsi="Arial"/>
                <w:sz w:val="24"/>
              </w:rPr>
              <w:t>“</w:t>
            </w:r>
            <w:r>
              <w:rPr>
                <w:rFonts w:ascii="Arial" w:hAnsi="Arial"/>
                <w:sz w:val="24"/>
              </w:rPr>
              <w:t xml:space="preserve"> will</w:t>
            </w:r>
            <w:proofErr w:type="gramEnd"/>
            <w:r>
              <w:rPr>
                <w:rFonts w:ascii="Arial" w:hAnsi="Arial"/>
                <w:sz w:val="24"/>
              </w:rPr>
              <w:t xml:space="preserve"> retain a sufficient degree of flexibility to take advantage of unexpected, potentially advantageous changes in the level or structure of interest rates, or inflation.</w:t>
            </w:r>
            <w:r w:rsidR="00D96519">
              <w:rPr>
                <w:rFonts w:ascii="Arial" w:hAnsi="Arial"/>
                <w:sz w:val="24"/>
              </w:rPr>
              <w:t>”</w:t>
            </w:r>
          </w:p>
          <w:p w:rsidR="0046071B" w:rsidRDefault="0046071B" w:rsidP="00CA36A9">
            <w:pPr>
              <w:rPr>
                <w:rFonts w:ascii="Arial" w:hAnsi="Arial"/>
                <w:sz w:val="24"/>
              </w:rPr>
            </w:pPr>
          </w:p>
        </w:tc>
      </w:tr>
      <w:tr w:rsidR="000C59DE" w:rsidTr="0046071B">
        <w:tc>
          <w:tcPr>
            <w:tcW w:w="606" w:type="dxa"/>
          </w:tcPr>
          <w:p w:rsidR="000C59DE" w:rsidRDefault="0030662F">
            <w:pPr>
              <w:rPr>
                <w:rFonts w:ascii="Arial" w:hAnsi="Arial"/>
                <w:sz w:val="24"/>
              </w:rPr>
            </w:pPr>
            <w:r>
              <w:rPr>
                <w:rFonts w:ascii="Arial" w:hAnsi="Arial"/>
                <w:sz w:val="24"/>
              </w:rPr>
              <w:t>2.2</w:t>
            </w:r>
          </w:p>
        </w:tc>
        <w:tc>
          <w:tcPr>
            <w:tcW w:w="7724" w:type="dxa"/>
          </w:tcPr>
          <w:p w:rsidR="00D96519" w:rsidRDefault="00D96519" w:rsidP="00D96519">
            <w:pPr>
              <w:rPr>
                <w:rFonts w:ascii="Arial" w:hAnsi="Arial"/>
                <w:sz w:val="24"/>
              </w:rPr>
            </w:pPr>
            <w:r>
              <w:rPr>
                <w:rFonts w:ascii="Arial" w:hAnsi="Arial"/>
                <w:sz w:val="24"/>
              </w:rPr>
              <w:t xml:space="preserve">In January 2015, long term UK swap rates fell to a level that had not previously been seen, which provided an potentially advantageous opportunity for fixing future interest rates, even though this was not required by the EBITDMRI test. Having been considered by Urgency Committee, a report was brought to Board at the end of January. </w:t>
            </w:r>
            <w:r w:rsidR="00254CA4">
              <w:rPr>
                <w:rFonts w:ascii="Arial" w:hAnsi="Arial"/>
                <w:sz w:val="24"/>
              </w:rPr>
              <w:t xml:space="preserve">The </w:t>
            </w:r>
            <w:r>
              <w:rPr>
                <w:rFonts w:ascii="Arial" w:hAnsi="Arial"/>
                <w:sz w:val="24"/>
              </w:rPr>
              <w:t>Board decided not to do another fix.</w:t>
            </w:r>
          </w:p>
          <w:p w:rsidR="0046071B" w:rsidRDefault="0046071B" w:rsidP="00D96519">
            <w:pPr>
              <w:rPr>
                <w:rFonts w:ascii="Arial" w:hAnsi="Arial"/>
                <w:sz w:val="24"/>
              </w:rPr>
            </w:pPr>
          </w:p>
        </w:tc>
      </w:tr>
      <w:tr w:rsidR="000C59DE" w:rsidTr="0046071B">
        <w:tc>
          <w:tcPr>
            <w:tcW w:w="606" w:type="dxa"/>
          </w:tcPr>
          <w:p w:rsidR="000C59DE" w:rsidRDefault="00E3518D">
            <w:pPr>
              <w:rPr>
                <w:rFonts w:ascii="Arial" w:hAnsi="Arial"/>
                <w:sz w:val="24"/>
              </w:rPr>
            </w:pPr>
            <w:r>
              <w:rPr>
                <w:rFonts w:ascii="Arial" w:hAnsi="Arial"/>
                <w:sz w:val="24"/>
              </w:rPr>
              <w:t>2.3</w:t>
            </w:r>
          </w:p>
        </w:tc>
        <w:tc>
          <w:tcPr>
            <w:tcW w:w="7724" w:type="dxa"/>
          </w:tcPr>
          <w:p w:rsidR="00E3518D" w:rsidRDefault="00D96519" w:rsidP="00E3518D">
            <w:pPr>
              <w:rPr>
                <w:rFonts w:ascii="Arial" w:hAnsi="Arial"/>
                <w:sz w:val="24"/>
              </w:rPr>
            </w:pPr>
            <w:r>
              <w:rPr>
                <w:rFonts w:ascii="Arial" w:hAnsi="Arial"/>
                <w:sz w:val="24"/>
              </w:rPr>
              <w:t xml:space="preserve">In July 2015, the business plan updated for rent reductions announced in the Summer Budget failed the EBITDAMRI test, but the Board agreed that it would be inappropriate to enter into further interest rate fixes until the plan had be revised for mitigating actions. </w:t>
            </w:r>
            <w:r w:rsidR="00E3518D">
              <w:rPr>
                <w:rFonts w:ascii="Arial" w:hAnsi="Arial"/>
                <w:sz w:val="24"/>
              </w:rPr>
              <w:t xml:space="preserve"> </w:t>
            </w:r>
          </w:p>
          <w:p w:rsidR="0046071B" w:rsidRDefault="0046071B" w:rsidP="00E3518D">
            <w:pPr>
              <w:rPr>
                <w:rFonts w:ascii="Arial" w:hAnsi="Arial"/>
                <w:sz w:val="24"/>
              </w:rPr>
            </w:pPr>
          </w:p>
        </w:tc>
      </w:tr>
      <w:tr w:rsidR="000C59DE" w:rsidTr="0046071B">
        <w:tc>
          <w:tcPr>
            <w:tcW w:w="606" w:type="dxa"/>
          </w:tcPr>
          <w:p w:rsidR="000C59DE" w:rsidRDefault="00E3518D">
            <w:pPr>
              <w:rPr>
                <w:rFonts w:ascii="Arial" w:hAnsi="Arial"/>
                <w:sz w:val="24"/>
              </w:rPr>
            </w:pPr>
            <w:r>
              <w:rPr>
                <w:rFonts w:ascii="Arial" w:hAnsi="Arial"/>
                <w:sz w:val="24"/>
              </w:rPr>
              <w:t>2.4</w:t>
            </w:r>
          </w:p>
        </w:tc>
        <w:tc>
          <w:tcPr>
            <w:tcW w:w="7724" w:type="dxa"/>
          </w:tcPr>
          <w:p w:rsidR="000C59DE" w:rsidRDefault="00254CA4">
            <w:pPr>
              <w:rPr>
                <w:rFonts w:ascii="Arial" w:hAnsi="Arial"/>
                <w:sz w:val="24"/>
              </w:rPr>
            </w:pPr>
            <w:r>
              <w:rPr>
                <w:rFonts w:ascii="Arial" w:hAnsi="Arial"/>
                <w:sz w:val="24"/>
              </w:rPr>
              <w:t xml:space="preserve">As with any policy, the Board can agree to override the TMP if there is a good business case for doing so, and in fact it did so in July.   A policy would not be fit for purpose if the Board was regularly agreeing to override it, but this is not the case with the </w:t>
            </w:r>
            <w:r w:rsidRPr="003D540D">
              <w:rPr>
                <w:rFonts w:ascii="Arial" w:hAnsi="Arial"/>
                <w:sz w:val="24"/>
              </w:rPr>
              <w:t xml:space="preserve">TMP, which has been in place in substantially the current form since </w:t>
            </w:r>
            <w:r w:rsidR="003D540D" w:rsidRPr="003D540D">
              <w:rPr>
                <w:rFonts w:ascii="Arial" w:hAnsi="Arial"/>
                <w:sz w:val="24"/>
              </w:rPr>
              <w:t>September 2011</w:t>
            </w:r>
            <w:r w:rsidRPr="003D540D">
              <w:rPr>
                <w:rFonts w:ascii="Arial" w:hAnsi="Arial"/>
                <w:sz w:val="24"/>
              </w:rPr>
              <w:t>.</w:t>
            </w:r>
          </w:p>
          <w:p w:rsidR="0046071B" w:rsidRDefault="0046071B">
            <w:pPr>
              <w:rPr>
                <w:rFonts w:ascii="Arial" w:hAnsi="Arial"/>
                <w:sz w:val="24"/>
              </w:rPr>
            </w:pPr>
          </w:p>
        </w:tc>
      </w:tr>
      <w:tr w:rsidR="000C59DE" w:rsidTr="0046071B">
        <w:tc>
          <w:tcPr>
            <w:tcW w:w="606" w:type="dxa"/>
          </w:tcPr>
          <w:p w:rsidR="000C59DE" w:rsidRDefault="009F1593">
            <w:pPr>
              <w:rPr>
                <w:rFonts w:ascii="Arial" w:hAnsi="Arial"/>
                <w:sz w:val="24"/>
              </w:rPr>
            </w:pPr>
            <w:r>
              <w:rPr>
                <w:rFonts w:ascii="Arial" w:hAnsi="Arial"/>
                <w:sz w:val="24"/>
              </w:rPr>
              <w:t>2.5</w:t>
            </w:r>
          </w:p>
        </w:tc>
        <w:tc>
          <w:tcPr>
            <w:tcW w:w="7724" w:type="dxa"/>
          </w:tcPr>
          <w:p w:rsidR="0046071B" w:rsidRDefault="00254CA4" w:rsidP="008E03CF">
            <w:pPr>
              <w:rPr>
                <w:rFonts w:ascii="Arial" w:hAnsi="Arial"/>
                <w:sz w:val="24"/>
              </w:rPr>
            </w:pPr>
            <w:r>
              <w:rPr>
                <w:rFonts w:ascii="Arial" w:hAnsi="Arial"/>
                <w:sz w:val="24"/>
              </w:rPr>
              <w:t>The question is whether the TMP should be reworded to become more ‘black and white’ as regard interest rate management. The Policy has been revised to say that failing the EBITDAMRI test requires a fix, and  passing the EBITDAMRI test precludes further fixes</w:t>
            </w:r>
            <w:r w:rsidR="00B735C3">
              <w:rPr>
                <w:rFonts w:ascii="Arial" w:hAnsi="Arial"/>
                <w:sz w:val="24"/>
              </w:rPr>
              <w:t xml:space="preserve"> (see revised section 1.2 on page 11 of the TMP)</w:t>
            </w:r>
            <w:r>
              <w:rPr>
                <w:rFonts w:ascii="Arial" w:hAnsi="Arial"/>
                <w:sz w:val="24"/>
              </w:rPr>
              <w:t>. However</w:t>
            </w:r>
            <w:r w:rsidR="008E03CF">
              <w:rPr>
                <w:rFonts w:ascii="Arial" w:hAnsi="Arial"/>
                <w:sz w:val="24"/>
              </w:rPr>
              <w:t xml:space="preserve">, having consulted the </w:t>
            </w:r>
            <w:r w:rsidR="008E03CF">
              <w:rPr>
                <w:rFonts w:ascii="Arial" w:hAnsi="Arial"/>
                <w:sz w:val="24"/>
              </w:rPr>
              <w:lastRenderedPageBreak/>
              <w:t xml:space="preserve">Lead Board Member, the </w:t>
            </w:r>
            <w:r>
              <w:rPr>
                <w:rFonts w:ascii="Arial" w:hAnsi="Arial"/>
                <w:sz w:val="24"/>
              </w:rPr>
              <w:t xml:space="preserve">wording </w:t>
            </w:r>
            <w:r w:rsidR="008926F1">
              <w:rPr>
                <w:rFonts w:ascii="Arial" w:hAnsi="Arial"/>
                <w:sz w:val="24"/>
              </w:rPr>
              <w:t xml:space="preserve">in clause 1.2.3 on page 3 </w:t>
            </w:r>
            <w:r>
              <w:rPr>
                <w:rFonts w:ascii="Arial" w:hAnsi="Arial"/>
                <w:sz w:val="24"/>
              </w:rPr>
              <w:t xml:space="preserve">about having a degree of flexibility to take advantage of unexpected </w:t>
            </w:r>
            <w:proofErr w:type="gramStart"/>
            <w:r>
              <w:rPr>
                <w:rFonts w:ascii="Arial" w:hAnsi="Arial"/>
                <w:sz w:val="24"/>
              </w:rPr>
              <w:t>changes</w:t>
            </w:r>
            <w:r w:rsidR="008E03CF">
              <w:rPr>
                <w:rFonts w:ascii="Arial" w:hAnsi="Arial"/>
                <w:sz w:val="24"/>
              </w:rPr>
              <w:t xml:space="preserve">  has</w:t>
            </w:r>
            <w:proofErr w:type="gramEnd"/>
            <w:r w:rsidR="008E03CF">
              <w:rPr>
                <w:rFonts w:ascii="Arial" w:hAnsi="Arial"/>
                <w:sz w:val="24"/>
              </w:rPr>
              <w:t xml:space="preserve"> been retained</w:t>
            </w:r>
            <w:r>
              <w:rPr>
                <w:rFonts w:ascii="Arial" w:hAnsi="Arial"/>
                <w:sz w:val="24"/>
              </w:rPr>
              <w:t xml:space="preserve">. </w:t>
            </w:r>
            <w:r w:rsidR="008E03CF">
              <w:rPr>
                <w:rFonts w:ascii="Arial" w:hAnsi="Arial"/>
                <w:sz w:val="24"/>
              </w:rPr>
              <w:t xml:space="preserve">Clause 1.2.6 has been added on p4 of the TMP to make it clear that the Board has the </w:t>
            </w:r>
            <w:r>
              <w:rPr>
                <w:rFonts w:ascii="Arial" w:hAnsi="Arial"/>
                <w:sz w:val="24"/>
              </w:rPr>
              <w:t xml:space="preserve">power to override the TMP if there is a sufficiently strong business case. </w:t>
            </w:r>
          </w:p>
          <w:p w:rsidR="008E03CF" w:rsidRDefault="008E03CF" w:rsidP="008E03CF">
            <w:pPr>
              <w:rPr>
                <w:rFonts w:ascii="Arial" w:hAnsi="Arial"/>
                <w:sz w:val="24"/>
              </w:rPr>
            </w:pPr>
          </w:p>
        </w:tc>
      </w:tr>
      <w:tr w:rsidR="000C59DE" w:rsidTr="0046071B">
        <w:tc>
          <w:tcPr>
            <w:tcW w:w="606" w:type="dxa"/>
          </w:tcPr>
          <w:p w:rsidR="000C59DE" w:rsidRPr="000E160F" w:rsidRDefault="000E160F">
            <w:pPr>
              <w:rPr>
                <w:rFonts w:ascii="Arial" w:hAnsi="Arial"/>
                <w:b/>
                <w:i/>
                <w:sz w:val="28"/>
              </w:rPr>
            </w:pPr>
            <w:r w:rsidRPr="000E160F">
              <w:rPr>
                <w:rFonts w:ascii="Arial" w:hAnsi="Arial"/>
                <w:b/>
                <w:i/>
                <w:sz w:val="28"/>
              </w:rPr>
              <w:lastRenderedPageBreak/>
              <w:t>3.0</w:t>
            </w:r>
          </w:p>
        </w:tc>
        <w:tc>
          <w:tcPr>
            <w:tcW w:w="7724" w:type="dxa"/>
          </w:tcPr>
          <w:p w:rsidR="000C59DE" w:rsidRDefault="00C50F7D">
            <w:pPr>
              <w:rPr>
                <w:rFonts w:ascii="Arial" w:hAnsi="Arial"/>
                <w:b/>
                <w:i/>
                <w:sz w:val="28"/>
              </w:rPr>
            </w:pPr>
            <w:r>
              <w:rPr>
                <w:rFonts w:ascii="Arial" w:hAnsi="Arial"/>
                <w:b/>
                <w:i/>
                <w:sz w:val="28"/>
              </w:rPr>
              <w:t>Changes needed to allow for investment of substantial surplus funds</w:t>
            </w:r>
          </w:p>
          <w:p w:rsidR="009F5B98" w:rsidRPr="000E160F" w:rsidRDefault="009F5B98">
            <w:pPr>
              <w:rPr>
                <w:rFonts w:ascii="Arial" w:hAnsi="Arial"/>
                <w:b/>
                <w:i/>
                <w:sz w:val="28"/>
              </w:rPr>
            </w:pPr>
          </w:p>
        </w:tc>
      </w:tr>
      <w:tr w:rsidR="000C59DE" w:rsidTr="0046071B">
        <w:tc>
          <w:tcPr>
            <w:tcW w:w="606" w:type="dxa"/>
          </w:tcPr>
          <w:p w:rsidR="000C59DE" w:rsidRDefault="000E160F">
            <w:pPr>
              <w:rPr>
                <w:rFonts w:ascii="Arial" w:hAnsi="Arial"/>
                <w:sz w:val="24"/>
              </w:rPr>
            </w:pPr>
            <w:r>
              <w:rPr>
                <w:rFonts w:ascii="Arial" w:hAnsi="Arial"/>
                <w:sz w:val="24"/>
              </w:rPr>
              <w:t>3.1</w:t>
            </w:r>
          </w:p>
        </w:tc>
        <w:tc>
          <w:tcPr>
            <w:tcW w:w="7724" w:type="dxa"/>
          </w:tcPr>
          <w:p w:rsidR="000C59DE" w:rsidRDefault="00C50F7D">
            <w:pPr>
              <w:rPr>
                <w:rFonts w:ascii="Arial" w:hAnsi="Arial"/>
                <w:sz w:val="24"/>
              </w:rPr>
            </w:pPr>
            <w:r>
              <w:rPr>
                <w:rFonts w:ascii="Arial" w:hAnsi="Arial"/>
                <w:sz w:val="24"/>
              </w:rPr>
              <w:t xml:space="preserve">In common with the rest of the social housing sector, Hexagon is increasingly raising finance via bond loans rather than by bank loan. </w:t>
            </w:r>
          </w:p>
          <w:p w:rsidR="00C50F7D" w:rsidRDefault="00C50F7D">
            <w:pPr>
              <w:rPr>
                <w:rFonts w:ascii="Arial" w:hAnsi="Arial"/>
                <w:sz w:val="24"/>
              </w:rPr>
            </w:pPr>
            <w:r>
              <w:rPr>
                <w:rFonts w:ascii="Arial" w:hAnsi="Arial"/>
                <w:sz w:val="24"/>
              </w:rPr>
              <w:t xml:space="preserve">Unless an element of deferral is built in, bond loans have to be drawn as soon as they have been completed. </w:t>
            </w:r>
            <w:proofErr w:type="gramStart"/>
            <w:r>
              <w:rPr>
                <w:rFonts w:ascii="Arial" w:hAnsi="Arial"/>
                <w:sz w:val="24"/>
              </w:rPr>
              <w:t>Bank  loans</w:t>
            </w:r>
            <w:proofErr w:type="gramEnd"/>
            <w:r>
              <w:rPr>
                <w:rFonts w:ascii="Arial" w:hAnsi="Arial"/>
                <w:sz w:val="24"/>
              </w:rPr>
              <w:t xml:space="preserve"> can be arranged in advance and drawn when needed (although there are commitment fees to be paid on the undrawn amount). </w:t>
            </w:r>
          </w:p>
          <w:p w:rsidR="00C50F7D" w:rsidRDefault="00C50F7D" w:rsidP="00594B76">
            <w:pPr>
              <w:rPr>
                <w:rFonts w:ascii="Arial" w:hAnsi="Arial"/>
                <w:sz w:val="24"/>
              </w:rPr>
            </w:pPr>
            <w:r>
              <w:rPr>
                <w:rFonts w:ascii="Arial" w:hAnsi="Arial"/>
                <w:sz w:val="24"/>
              </w:rPr>
              <w:t>The increasing use of bond loans</w:t>
            </w:r>
            <w:r w:rsidR="000E4836">
              <w:rPr>
                <w:rFonts w:ascii="Arial" w:hAnsi="Arial"/>
                <w:sz w:val="24"/>
              </w:rPr>
              <w:t>, together with the requirement to have funds arranged 18 months ahead of need,</w:t>
            </w:r>
            <w:r>
              <w:rPr>
                <w:rFonts w:ascii="Arial" w:hAnsi="Arial"/>
                <w:sz w:val="24"/>
              </w:rPr>
              <w:t xml:space="preserve"> means that Hexagon is likely to have substantial</w:t>
            </w:r>
            <w:r w:rsidR="000E4836">
              <w:rPr>
                <w:rFonts w:ascii="Arial" w:hAnsi="Arial"/>
                <w:sz w:val="24"/>
              </w:rPr>
              <w:t xml:space="preserve"> amounts</w:t>
            </w:r>
            <w:r>
              <w:rPr>
                <w:rFonts w:ascii="Arial" w:hAnsi="Arial"/>
                <w:sz w:val="24"/>
              </w:rPr>
              <w:t xml:space="preserve"> surplus cash</w:t>
            </w:r>
            <w:r w:rsidR="000E4836">
              <w:rPr>
                <w:rFonts w:ascii="Arial" w:hAnsi="Arial"/>
                <w:sz w:val="24"/>
              </w:rPr>
              <w:t xml:space="preserve"> in the months following completion of a bond loan.  This is the case at the moment, when we have £17m of funds from the AHF bond loan, as well as £2m on deposit with </w:t>
            </w:r>
            <w:r w:rsidR="000E4836" w:rsidRPr="00594B76">
              <w:rPr>
                <w:rFonts w:ascii="Arial" w:hAnsi="Arial"/>
                <w:sz w:val="24"/>
              </w:rPr>
              <w:t>Santander and £</w:t>
            </w:r>
            <w:r w:rsidR="00594B76" w:rsidRPr="00594B76">
              <w:rPr>
                <w:rFonts w:ascii="Arial" w:hAnsi="Arial"/>
                <w:sz w:val="24"/>
              </w:rPr>
              <w:t>3</w:t>
            </w:r>
            <w:r w:rsidR="000E4836" w:rsidRPr="00594B76">
              <w:rPr>
                <w:rFonts w:ascii="Arial" w:hAnsi="Arial"/>
                <w:sz w:val="24"/>
              </w:rPr>
              <w:t>m</w:t>
            </w:r>
            <w:r w:rsidR="000E4836">
              <w:rPr>
                <w:rFonts w:ascii="Arial" w:hAnsi="Arial"/>
                <w:sz w:val="24"/>
              </w:rPr>
              <w:t xml:space="preserve"> with our clearing bank (NatWest)</w:t>
            </w:r>
            <w:r w:rsidR="0046071B">
              <w:rPr>
                <w:rFonts w:ascii="Arial" w:hAnsi="Arial"/>
                <w:sz w:val="24"/>
              </w:rPr>
              <w:t>.</w:t>
            </w:r>
          </w:p>
          <w:p w:rsidR="0046071B" w:rsidRDefault="0046071B" w:rsidP="00594B76">
            <w:pPr>
              <w:rPr>
                <w:rFonts w:ascii="Arial" w:hAnsi="Arial"/>
                <w:sz w:val="24"/>
              </w:rPr>
            </w:pPr>
          </w:p>
        </w:tc>
      </w:tr>
      <w:tr w:rsidR="000C59DE" w:rsidTr="0046071B">
        <w:tc>
          <w:tcPr>
            <w:tcW w:w="606" w:type="dxa"/>
          </w:tcPr>
          <w:p w:rsidR="000C59DE" w:rsidRDefault="000E15B3">
            <w:pPr>
              <w:rPr>
                <w:rFonts w:ascii="Arial" w:hAnsi="Arial"/>
                <w:sz w:val="24"/>
              </w:rPr>
            </w:pPr>
            <w:r>
              <w:rPr>
                <w:rFonts w:ascii="Arial" w:hAnsi="Arial"/>
                <w:sz w:val="24"/>
              </w:rPr>
              <w:t>3.2</w:t>
            </w:r>
          </w:p>
        </w:tc>
        <w:tc>
          <w:tcPr>
            <w:tcW w:w="7724" w:type="dxa"/>
          </w:tcPr>
          <w:p w:rsidR="00A04846" w:rsidRDefault="000E15B3" w:rsidP="000E15B3">
            <w:pPr>
              <w:rPr>
                <w:rFonts w:ascii="Arial" w:hAnsi="Arial"/>
                <w:sz w:val="24"/>
              </w:rPr>
            </w:pPr>
            <w:r w:rsidRPr="000E15B3">
              <w:rPr>
                <w:rFonts w:ascii="Arial" w:hAnsi="Arial"/>
                <w:sz w:val="24"/>
              </w:rPr>
              <w:t xml:space="preserve">The </w:t>
            </w:r>
            <w:r w:rsidR="00E42701">
              <w:rPr>
                <w:rFonts w:ascii="Arial" w:hAnsi="Arial"/>
                <w:sz w:val="24"/>
              </w:rPr>
              <w:t xml:space="preserve">current </w:t>
            </w:r>
            <w:r w:rsidR="000E4836">
              <w:rPr>
                <w:rFonts w:ascii="Arial" w:hAnsi="Arial"/>
                <w:sz w:val="24"/>
              </w:rPr>
              <w:t>TMP sets a limit of £2m</w:t>
            </w:r>
            <w:r w:rsidR="00E42701">
              <w:rPr>
                <w:rFonts w:ascii="Arial" w:hAnsi="Arial"/>
                <w:sz w:val="24"/>
              </w:rPr>
              <w:t xml:space="preserve"> to be placed on deposit with any one institution other than the clearing bank. This would mean finding nine further institutions which meet the Association’s counterparty risk requirements, and undertaking banking due diligence with each (a process which takes 2-3 weeks).  It is recommended that the TMP be revised to raise the limit to £5m with any one institution</w:t>
            </w:r>
            <w:r w:rsidR="00B735C3">
              <w:rPr>
                <w:rFonts w:ascii="Arial" w:hAnsi="Arial"/>
                <w:sz w:val="24"/>
              </w:rPr>
              <w:t xml:space="preserve"> (provided this is no more than 33% of the total)</w:t>
            </w:r>
            <w:r w:rsidR="00C96BEF">
              <w:rPr>
                <w:rFonts w:ascii="Arial" w:hAnsi="Arial"/>
                <w:sz w:val="24"/>
              </w:rPr>
              <w:t xml:space="preserve">. </w:t>
            </w:r>
            <w:r w:rsidR="00E42701">
              <w:rPr>
                <w:rFonts w:ascii="Arial" w:hAnsi="Arial"/>
                <w:sz w:val="24"/>
              </w:rPr>
              <w:t xml:space="preserve"> </w:t>
            </w:r>
          </w:p>
          <w:p w:rsidR="0046071B" w:rsidRDefault="0046071B" w:rsidP="000E15B3">
            <w:pPr>
              <w:rPr>
                <w:rFonts w:ascii="Arial" w:hAnsi="Arial"/>
                <w:sz w:val="24"/>
              </w:rPr>
            </w:pPr>
          </w:p>
          <w:p w:rsidR="000E15B3" w:rsidRDefault="00B735C3" w:rsidP="00C96BEF">
            <w:pPr>
              <w:rPr>
                <w:rFonts w:ascii="Arial" w:hAnsi="Arial"/>
                <w:sz w:val="24"/>
              </w:rPr>
            </w:pPr>
            <w:r>
              <w:rPr>
                <w:rFonts w:ascii="Arial" w:hAnsi="Arial"/>
                <w:sz w:val="24"/>
              </w:rPr>
              <w:t>Placing £5m with any one institution (rather than the current limit of £2m) increases the amount at risk of that institution fails. However, the risk is limited by the requirement that the funds can only be invested for three months, after which the count</w:t>
            </w:r>
            <w:bookmarkStart w:id="0" w:name="_GoBack"/>
            <w:bookmarkEnd w:id="0"/>
            <w:r>
              <w:rPr>
                <w:rFonts w:ascii="Arial" w:hAnsi="Arial"/>
                <w:sz w:val="24"/>
              </w:rPr>
              <w:t>erparty risk has to be reassessed</w:t>
            </w:r>
            <w:r w:rsidR="006D4B50">
              <w:rPr>
                <w:rFonts w:ascii="Arial" w:hAnsi="Arial"/>
                <w:sz w:val="24"/>
              </w:rPr>
              <w:t xml:space="preserve"> (see below)</w:t>
            </w:r>
            <w:r>
              <w:rPr>
                <w:rFonts w:ascii="Arial" w:hAnsi="Arial"/>
                <w:sz w:val="24"/>
              </w:rPr>
              <w:t xml:space="preserve">.  </w:t>
            </w:r>
          </w:p>
          <w:p w:rsidR="0046071B" w:rsidRDefault="0046071B" w:rsidP="00C96BEF">
            <w:pPr>
              <w:rPr>
                <w:rFonts w:ascii="Arial" w:hAnsi="Arial"/>
                <w:sz w:val="24"/>
              </w:rPr>
            </w:pPr>
          </w:p>
        </w:tc>
      </w:tr>
      <w:tr w:rsidR="00C96BEF" w:rsidTr="0046071B">
        <w:tc>
          <w:tcPr>
            <w:tcW w:w="606" w:type="dxa"/>
          </w:tcPr>
          <w:p w:rsidR="00C96BEF" w:rsidRDefault="00C96BEF">
            <w:pPr>
              <w:rPr>
                <w:rFonts w:ascii="Arial" w:hAnsi="Arial"/>
                <w:sz w:val="24"/>
              </w:rPr>
            </w:pPr>
            <w:r>
              <w:rPr>
                <w:rFonts w:ascii="Arial" w:hAnsi="Arial"/>
                <w:sz w:val="24"/>
              </w:rPr>
              <w:t>3.3</w:t>
            </w:r>
          </w:p>
        </w:tc>
        <w:tc>
          <w:tcPr>
            <w:tcW w:w="7724" w:type="dxa"/>
          </w:tcPr>
          <w:p w:rsidR="008E03CF" w:rsidRDefault="00C96BEF" w:rsidP="000E15B3">
            <w:pPr>
              <w:rPr>
                <w:rFonts w:ascii="Arial" w:hAnsi="Arial"/>
                <w:sz w:val="24"/>
              </w:rPr>
            </w:pPr>
            <w:r>
              <w:rPr>
                <w:rFonts w:ascii="Arial" w:hAnsi="Arial"/>
                <w:sz w:val="24"/>
              </w:rPr>
              <w:t xml:space="preserve">The current TMP allows funds to be invested in Money Market Funds, but only if the funds have been approved by the Board and after appropriate advice has been taken. </w:t>
            </w:r>
            <w:r w:rsidR="008E03CF">
              <w:rPr>
                <w:rFonts w:ascii="Arial" w:hAnsi="Arial"/>
                <w:sz w:val="24"/>
              </w:rPr>
              <w:t xml:space="preserve">Hexagon has so far not needed to use Money Market Funds. </w:t>
            </w:r>
            <w:r>
              <w:rPr>
                <w:rFonts w:ascii="Arial" w:hAnsi="Arial"/>
                <w:sz w:val="24"/>
              </w:rPr>
              <w:t xml:space="preserve">AAA </w:t>
            </w:r>
            <w:r w:rsidR="00E64326">
              <w:rPr>
                <w:rFonts w:ascii="Arial" w:hAnsi="Arial"/>
                <w:sz w:val="24"/>
              </w:rPr>
              <w:t xml:space="preserve">rated </w:t>
            </w:r>
            <w:r>
              <w:rPr>
                <w:rFonts w:ascii="Arial" w:hAnsi="Arial"/>
                <w:sz w:val="24"/>
              </w:rPr>
              <w:t xml:space="preserve">Money Market Funds have a lower counterparty risk than single institutions, and </w:t>
            </w:r>
            <w:r w:rsidR="00E64326">
              <w:rPr>
                <w:rFonts w:ascii="Arial" w:hAnsi="Arial"/>
                <w:sz w:val="24"/>
              </w:rPr>
              <w:t xml:space="preserve">provide instant access to Hexagon’s money.  </w:t>
            </w:r>
            <w:r w:rsidR="008E03CF">
              <w:rPr>
                <w:rFonts w:ascii="Arial" w:hAnsi="Arial"/>
                <w:sz w:val="24"/>
              </w:rPr>
              <w:t>Because of the lower risk, it is r</w:t>
            </w:r>
            <w:r w:rsidR="00E64326">
              <w:rPr>
                <w:rFonts w:ascii="Arial" w:hAnsi="Arial"/>
                <w:sz w:val="24"/>
              </w:rPr>
              <w:t>ecommended that</w:t>
            </w:r>
            <w:r w:rsidR="008E03CF">
              <w:rPr>
                <w:rFonts w:ascii="Arial" w:hAnsi="Arial"/>
                <w:sz w:val="24"/>
              </w:rPr>
              <w:t>:</w:t>
            </w:r>
          </w:p>
          <w:p w:rsidR="008E03CF" w:rsidRDefault="00E64326" w:rsidP="008E03CF">
            <w:pPr>
              <w:pStyle w:val="ListParagraph"/>
              <w:numPr>
                <w:ilvl w:val="0"/>
                <w:numId w:val="6"/>
              </w:numPr>
              <w:rPr>
                <w:rFonts w:ascii="Arial" w:hAnsi="Arial"/>
                <w:sz w:val="24"/>
              </w:rPr>
            </w:pPr>
            <w:proofErr w:type="gramStart"/>
            <w:r w:rsidRPr="008E03CF">
              <w:rPr>
                <w:rFonts w:ascii="Arial" w:hAnsi="Arial"/>
                <w:sz w:val="24"/>
              </w:rPr>
              <w:t>a</w:t>
            </w:r>
            <w:proofErr w:type="gramEnd"/>
            <w:r w:rsidRPr="008E03CF">
              <w:rPr>
                <w:rFonts w:ascii="Arial" w:hAnsi="Arial"/>
                <w:sz w:val="24"/>
              </w:rPr>
              <w:t xml:space="preserve"> higher limit if £15m be applied to investments with AAA rated Money Market funds. </w:t>
            </w:r>
          </w:p>
          <w:p w:rsidR="00C96BEF" w:rsidRPr="008E03CF" w:rsidRDefault="00E64326" w:rsidP="008E03CF">
            <w:pPr>
              <w:pStyle w:val="ListParagraph"/>
              <w:numPr>
                <w:ilvl w:val="0"/>
                <w:numId w:val="6"/>
              </w:numPr>
              <w:rPr>
                <w:rFonts w:ascii="Arial" w:hAnsi="Arial"/>
                <w:sz w:val="24"/>
              </w:rPr>
            </w:pPr>
            <w:proofErr w:type="gramStart"/>
            <w:r w:rsidRPr="008E03CF">
              <w:rPr>
                <w:rFonts w:ascii="Arial" w:hAnsi="Arial"/>
                <w:sz w:val="24"/>
              </w:rPr>
              <w:t>that</w:t>
            </w:r>
            <w:proofErr w:type="gramEnd"/>
            <w:r w:rsidRPr="008E03CF">
              <w:rPr>
                <w:rFonts w:ascii="Arial" w:hAnsi="Arial"/>
                <w:sz w:val="24"/>
              </w:rPr>
              <w:t xml:space="preserve"> decisions to invest in Money Market Funds, within the parameters of the TMP</w:t>
            </w:r>
            <w:r w:rsidR="008E03CF">
              <w:rPr>
                <w:rFonts w:ascii="Arial" w:hAnsi="Arial"/>
                <w:sz w:val="24"/>
              </w:rPr>
              <w:t>,</w:t>
            </w:r>
            <w:r w:rsidRPr="008E03CF">
              <w:rPr>
                <w:rFonts w:ascii="Arial" w:hAnsi="Arial"/>
                <w:sz w:val="24"/>
              </w:rPr>
              <w:t xml:space="preserve"> be delegated to officers</w:t>
            </w:r>
            <w:r w:rsidR="008E03CF">
              <w:rPr>
                <w:rFonts w:ascii="Arial" w:hAnsi="Arial"/>
                <w:sz w:val="24"/>
              </w:rPr>
              <w:t xml:space="preserve"> </w:t>
            </w:r>
            <w:r w:rsidRPr="008E03CF">
              <w:rPr>
                <w:rFonts w:ascii="Arial" w:hAnsi="Arial"/>
                <w:sz w:val="24"/>
              </w:rPr>
              <w:t>in the same way that deposits with single institutions are</w:t>
            </w:r>
            <w:r w:rsidR="00270E55" w:rsidRPr="008E03CF">
              <w:rPr>
                <w:rFonts w:ascii="Arial" w:hAnsi="Arial"/>
                <w:sz w:val="24"/>
              </w:rPr>
              <w:t>.</w:t>
            </w:r>
            <w:r w:rsidR="008E03CF">
              <w:rPr>
                <w:rFonts w:ascii="Arial" w:hAnsi="Arial"/>
                <w:sz w:val="24"/>
              </w:rPr>
              <w:t xml:space="preserve"> Officers would have to take advice from Capita before investing. </w:t>
            </w:r>
          </w:p>
          <w:p w:rsidR="00C96BEF" w:rsidRDefault="00C96BEF" w:rsidP="000E15B3">
            <w:pPr>
              <w:rPr>
                <w:rFonts w:ascii="Arial" w:hAnsi="Arial"/>
                <w:sz w:val="24"/>
              </w:rPr>
            </w:pPr>
          </w:p>
          <w:p w:rsidR="00C96BEF" w:rsidRDefault="00C96BEF" w:rsidP="00C96BEF">
            <w:pPr>
              <w:rPr>
                <w:rFonts w:ascii="Arial" w:hAnsi="Arial"/>
                <w:sz w:val="24"/>
              </w:rPr>
            </w:pPr>
            <w:r w:rsidRPr="00C96BEF">
              <w:rPr>
                <w:rFonts w:ascii="Arial" w:hAnsi="Arial"/>
                <w:sz w:val="24"/>
              </w:rPr>
              <w:t>Section 1.3 of the TMP has been revised to reflect th</w:t>
            </w:r>
            <w:r>
              <w:rPr>
                <w:rFonts w:ascii="Arial" w:hAnsi="Arial"/>
                <w:sz w:val="24"/>
              </w:rPr>
              <w:t>ese</w:t>
            </w:r>
            <w:r w:rsidRPr="00C96BEF">
              <w:rPr>
                <w:rFonts w:ascii="Arial" w:hAnsi="Arial"/>
                <w:sz w:val="24"/>
              </w:rPr>
              <w:t xml:space="preserve"> recommendation</w:t>
            </w:r>
            <w:r>
              <w:rPr>
                <w:rFonts w:ascii="Arial" w:hAnsi="Arial"/>
                <w:sz w:val="24"/>
              </w:rPr>
              <w:t>s</w:t>
            </w:r>
            <w:r w:rsidR="00270E55">
              <w:rPr>
                <w:rFonts w:ascii="Arial" w:hAnsi="Arial"/>
                <w:sz w:val="24"/>
              </w:rPr>
              <w:t xml:space="preserve">, and paragraph 15 on page 22 has been deleted. </w:t>
            </w:r>
          </w:p>
          <w:p w:rsidR="00594B76" w:rsidRDefault="00594B76" w:rsidP="00C96BEF">
            <w:pPr>
              <w:rPr>
                <w:rFonts w:ascii="Arial" w:hAnsi="Arial"/>
                <w:sz w:val="24"/>
              </w:rPr>
            </w:pPr>
          </w:p>
          <w:p w:rsidR="001C435E" w:rsidRPr="000E15B3" w:rsidRDefault="001C435E" w:rsidP="00C96BEF">
            <w:pPr>
              <w:rPr>
                <w:rFonts w:ascii="Arial" w:hAnsi="Arial"/>
                <w:sz w:val="24"/>
              </w:rPr>
            </w:pPr>
          </w:p>
        </w:tc>
      </w:tr>
      <w:tr w:rsidR="000C59DE" w:rsidTr="0046071B">
        <w:tc>
          <w:tcPr>
            <w:tcW w:w="606" w:type="dxa"/>
          </w:tcPr>
          <w:p w:rsidR="000C59DE" w:rsidRPr="000E160F" w:rsidRDefault="000E160F">
            <w:pPr>
              <w:rPr>
                <w:rFonts w:ascii="Arial" w:hAnsi="Arial"/>
                <w:b/>
                <w:i/>
                <w:sz w:val="28"/>
              </w:rPr>
            </w:pPr>
            <w:r w:rsidRPr="000E160F">
              <w:rPr>
                <w:rFonts w:ascii="Arial" w:hAnsi="Arial"/>
                <w:b/>
                <w:i/>
                <w:sz w:val="28"/>
              </w:rPr>
              <w:lastRenderedPageBreak/>
              <w:t>4.0</w:t>
            </w:r>
          </w:p>
        </w:tc>
        <w:tc>
          <w:tcPr>
            <w:tcW w:w="7724" w:type="dxa"/>
          </w:tcPr>
          <w:p w:rsidR="000C59DE" w:rsidRDefault="001411CE">
            <w:pPr>
              <w:rPr>
                <w:rFonts w:ascii="Arial" w:hAnsi="Arial"/>
                <w:b/>
                <w:i/>
                <w:sz w:val="28"/>
              </w:rPr>
            </w:pPr>
            <w:r w:rsidRPr="001411CE">
              <w:rPr>
                <w:rFonts w:ascii="Arial" w:hAnsi="Arial"/>
                <w:b/>
                <w:i/>
                <w:sz w:val="28"/>
              </w:rPr>
              <w:t>Counterparty credit risk</w:t>
            </w:r>
          </w:p>
          <w:p w:rsidR="009F5B98" w:rsidRPr="000E160F" w:rsidRDefault="009F5B98">
            <w:pPr>
              <w:rPr>
                <w:rFonts w:ascii="Arial" w:hAnsi="Arial"/>
                <w:b/>
                <w:i/>
                <w:sz w:val="28"/>
              </w:rPr>
            </w:pPr>
          </w:p>
        </w:tc>
      </w:tr>
      <w:tr w:rsidR="000C59DE" w:rsidTr="0046071B">
        <w:tc>
          <w:tcPr>
            <w:tcW w:w="606" w:type="dxa"/>
          </w:tcPr>
          <w:p w:rsidR="000C59DE" w:rsidRDefault="001411CE">
            <w:pPr>
              <w:rPr>
                <w:rFonts w:ascii="Arial" w:hAnsi="Arial"/>
                <w:sz w:val="24"/>
              </w:rPr>
            </w:pPr>
            <w:r>
              <w:rPr>
                <w:rFonts w:ascii="Arial" w:hAnsi="Arial"/>
                <w:sz w:val="24"/>
              </w:rPr>
              <w:t xml:space="preserve">4.1 </w:t>
            </w:r>
          </w:p>
        </w:tc>
        <w:tc>
          <w:tcPr>
            <w:tcW w:w="7724" w:type="dxa"/>
          </w:tcPr>
          <w:p w:rsidR="008926F1" w:rsidRDefault="001411CE" w:rsidP="008926F1">
            <w:pPr>
              <w:rPr>
                <w:rFonts w:ascii="Arial" w:hAnsi="Arial"/>
                <w:sz w:val="24"/>
              </w:rPr>
            </w:pPr>
            <w:r w:rsidRPr="001411CE">
              <w:rPr>
                <w:rFonts w:ascii="Arial" w:hAnsi="Arial"/>
                <w:sz w:val="24"/>
              </w:rPr>
              <w:t>Capita provide a weekly creditworthiness list of institutions that are suitable for</w:t>
            </w:r>
            <w:r>
              <w:rPr>
                <w:rFonts w:ascii="Arial" w:hAnsi="Arial"/>
                <w:sz w:val="24"/>
              </w:rPr>
              <w:t xml:space="preserve"> placing deposits of up to 12 months.  This list is checked before any funds are placed on deposit or before a deposit is re-invested. </w:t>
            </w:r>
            <w:r w:rsidR="008926F1">
              <w:rPr>
                <w:rFonts w:ascii="Arial" w:hAnsi="Arial"/>
                <w:sz w:val="24"/>
              </w:rPr>
              <w:t xml:space="preserve"> </w:t>
            </w:r>
          </w:p>
          <w:p w:rsidR="008926F1" w:rsidRDefault="008926F1" w:rsidP="008926F1">
            <w:pPr>
              <w:rPr>
                <w:rFonts w:ascii="Arial" w:hAnsi="Arial"/>
                <w:sz w:val="24"/>
              </w:rPr>
            </w:pPr>
          </w:p>
          <w:p w:rsidR="001411CE" w:rsidRDefault="001411CE" w:rsidP="008926F1">
            <w:pPr>
              <w:rPr>
                <w:rFonts w:ascii="Arial" w:hAnsi="Arial"/>
                <w:sz w:val="24"/>
              </w:rPr>
            </w:pPr>
            <w:r>
              <w:rPr>
                <w:rFonts w:ascii="Arial" w:hAnsi="Arial"/>
                <w:sz w:val="24"/>
              </w:rPr>
              <w:t xml:space="preserve">Section 1.3 of the TMP has been revised to reflect recent changes in the way that this list is produced. </w:t>
            </w:r>
          </w:p>
        </w:tc>
      </w:tr>
    </w:tbl>
    <w:p w:rsidR="000C59DE" w:rsidRDefault="000C59DE">
      <w:pPr>
        <w:rPr>
          <w:rFonts w:ascii="Arial" w:hAnsi="Arial"/>
          <w:sz w:val="24"/>
        </w:rPr>
      </w:pPr>
    </w:p>
    <w:p w:rsidR="000E160F" w:rsidRDefault="000E160F">
      <w:pPr>
        <w:rPr>
          <w:rFonts w:ascii="Arial" w:hAnsi="Arial"/>
          <w:sz w:val="24"/>
        </w:rPr>
      </w:pPr>
    </w:p>
    <w:p w:rsidR="000E160F" w:rsidRDefault="000E160F">
      <w:pPr>
        <w:rPr>
          <w:rFonts w:ascii="Arial" w:hAnsi="Arial"/>
          <w:sz w:val="24"/>
        </w:rPr>
      </w:pPr>
      <w:r>
        <w:rPr>
          <w:rFonts w:ascii="Arial" w:hAnsi="Arial"/>
          <w:sz w:val="24"/>
        </w:rPr>
        <w:t>Phil Newsam</w:t>
      </w:r>
    </w:p>
    <w:p w:rsidR="000C59DE" w:rsidRDefault="000C59DE">
      <w:pPr>
        <w:rPr>
          <w:rFonts w:ascii="Arial" w:hAnsi="Arial"/>
          <w:sz w:val="24"/>
        </w:rPr>
      </w:pPr>
    </w:p>
    <w:p w:rsidR="000C59DE" w:rsidRDefault="000C59DE">
      <w:pPr>
        <w:rPr>
          <w:rFonts w:ascii="Arial" w:hAnsi="Arial"/>
          <w:sz w:val="24"/>
        </w:rPr>
      </w:pPr>
    </w:p>
    <w:p w:rsidR="000C59DE" w:rsidRDefault="000C59DE">
      <w:pPr>
        <w:rPr>
          <w:rFonts w:ascii="Arial" w:hAnsi="Arial"/>
          <w:sz w:val="24"/>
        </w:rPr>
      </w:pPr>
    </w:p>
    <w:p w:rsidR="000C59DE" w:rsidRDefault="000C59DE">
      <w:pPr>
        <w:rPr>
          <w:rFonts w:ascii="Arial" w:hAnsi="Arial"/>
          <w:sz w:val="24"/>
        </w:rPr>
      </w:pPr>
    </w:p>
    <w:p w:rsidR="000C59DE" w:rsidRDefault="000C59DE">
      <w:pPr>
        <w:rPr>
          <w:rFonts w:ascii="Arial" w:hAnsi="Arial"/>
          <w:sz w:val="24"/>
        </w:rPr>
      </w:pPr>
    </w:p>
    <w:tbl>
      <w:tblPr>
        <w:tblW w:w="0" w:type="auto"/>
        <w:tblLayout w:type="fixed"/>
        <w:tblLook w:val="0000" w:firstRow="0" w:lastRow="0" w:firstColumn="0" w:lastColumn="0" w:noHBand="0" w:noVBand="0"/>
      </w:tblPr>
      <w:tblGrid>
        <w:gridCol w:w="959"/>
        <w:gridCol w:w="7563"/>
      </w:tblGrid>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jc w:val="both"/>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jc w:val="both"/>
              <w:rPr>
                <w:rFonts w:ascii="Arial" w:hAnsi="Arial"/>
                <w:sz w:val="24"/>
              </w:rPr>
            </w:pPr>
          </w:p>
        </w:tc>
      </w:tr>
      <w:tr w:rsidR="001E73FF">
        <w:tc>
          <w:tcPr>
            <w:tcW w:w="959" w:type="dxa"/>
          </w:tcPr>
          <w:p w:rsidR="001E73FF" w:rsidRDefault="001E73FF">
            <w:pPr>
              <w:rPr>
                <w:rFonts w:ascii="Arial" w:hAnsi="Arial"/>
                <w:b/>
                <w:i/>
                <w:sz w:val="28"/>
              </w:rPr>
            </w:pPr>
          </w:p>
        </w:tc>
        <w:tc>
          <w:tcPr>
            <w:tcW w:w="7563" w:type="dxa"/>
          </w:tcPr>
          <w:p w:rsidR="001E73FF" w:rsidRDefault="001E73FF">
            <w:pPr>
              <w:rPr>
                <w:rFonts w:ascii="Arial" w:hAnsi="Arial"/>
                <w:b/>
                <w:i/>
                <w:sz w:val="28"/>
              </w:rPr>
            </w:pPr>
          </w:p>
        </w:tc>
      </w:tr>
      <w:tr w:rsidR="001E73FF">
        <w:tc>
          <w:tcPr>
            <w:tcW w:w="959" w:type="dxa"/>
          </w:tcPr>
          <w:p w:rsidR="001E73FF" w:rsidRDefault="001E73FF">
            <w:pPr>
              <w:rPr>
                <w:rFonts w:ascii="Arial" w:hAnsi="Arial"/>
                <w:sz w:val="24"/>
              </w:rPr>
            </w:pPr>
          </w:p>
        </w:tc>
        <w:tc>
          <w:tcPr>
            <w:tcW w:w="7563" w:type="dxa"/>
          </w:tcPr>
          <w:p w:rsidR="001E73FF" w:rsidRDefault="001E73FF">
            <w:pPr>
              <w:rPr>
                <w:rFonts w:ascii="Arial" w:hAnsi="Arial"/>
                <w:sz w:val="24"/>
              </w:rPr>
            </w:pPr>
          </w:p>
        </w:tc>
      </w:tr>
    </w:tbl>
    <w:p w:rsidR="00511226" w:rsidRDefault="00511226">
      <w:pPr>
        <w:rPr>
          <w:sz w:val="24"/>
        </w:rPr>
      </w:pPr>
    </w:p>
    <w:sectPr w:rsidR="00511226" w:rsidSect="00694F38">
      <w:footerReference w:type="default" r:id="rId8"/>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54" w:rsidRDefault="005A4154">
      <w:r>
        <w:separator/>
      </w:r>
    </w:p>
  </w:endnote>
  <w:endnote w:type="continuationSeparator" w:id="0">
    <w:p w:rsidR="005A4154" w:rsidRDefault="005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FF" w:rsidRDefault="001E73FF">
    <w:pPr>
      <w:pStyle w:val="Footer"/>
      <w:pBdr>
        <w:bottom w:val="single" w:sz="12" w:space="1" w:color="auto"/>
      </w:pBdr>
      <w:rPr>
        <w:lang w:val="en-GB"/>
      </w:rPr>
    </w:pPr>
  </w:p>
  <w:p w:rsidR="001E73FF" w:rsidRDefault="001E73FF">
    <w:pPr>
      <w:pStyle w:val="Footer"/>
      <w:rPr>
        <w:sz w:val="22"/>
        <w:lang w:val="en-GB"/>
      </w:rPr>
    </w:pPr>
    <w:r>
      <w:rPr>
        <w:sz w:val="22"/>
        <w:lang w:val="en-GB"/>
      </w:rPr>
      <w:t>{Name of report}</w:t>
    </w:r>
    <w:r>
      <w:rPr>
        <w:sz w:val="22"/>
        <w:lang w:val="en-GB"/>
      </w:rPr>
      <w:tab/>
    </w:r>
    <w:r>
      <w:rPr>
        <w:sz w:val="22"/>
        <w:lang w:val="en-GB"/>
      </w:rPr>
      <w:tab/>
    </w:r>
    <w:r>
      <w:rPr>
        <w:rStyle w:val="PageNumber"/>
      </w:rPr>
      <w:fldChar w:fldCharType="begin"/>
    </w:r>
    <w:r>
      <w:rPr>
        <w:rStyle w:val="PageNumber"/>
      </w:rPr>
      <w:instrText xml:space="preserve"> PAGE </w:instrText>
    </w:r>
    <w:r>
      <w:rPr>
        <w:rStyle w:val="PageNumber"/>
      </w:rPr>
      <w:fldChar w:fldCharType="separate"/>
    </w:r>
    <w:r w:rsidR="009F5B98">
      <w:rPr>
        <w:rStyle w:val="PageNumber"/>
        <w:noProof/>
      </w:rPr>
      <w:t>2</w:t>
    </w:r>
    <w:r>
      <w:rPr>
        <w:rStyle w:val="PageNumber"/>
      </w:rPr>
      <w:fldChar w:fldCharType="end"/>
    </w:r>
  </w:p>
  <w:p w:rsidR="001E73FF" w:rsidRDefault="001E73FF">
    <w:pPr>
      <w:pStyle w:val="Footer"/>
      <w:rPr>
        <w:sz w:val="22"/>
        <w:lang w:val="en-GB"/>
      </w:rPr>
    </w:pPr>
    <w:r>
      <w:rPr>
        <w:sz w:val="22"/>
        <w:lang w:val="en-GB"/>
      </w:rPr>
      <w:t>Report to Board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54" w:rsidRDefault="005A4154">
      <w:r>
        <w:separator/>
      </w:r>
    </w:p>
  </w:footnote>
  <w:footnote w:type="continuationSeparator" w:id="0">
    <w:p w:rsidR="005A4154" w:rsidRDefault="005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B7E"/>
    <w:multiLevelType w:val="hybridMultilevel"/>
    <w:tmpl w:val="699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D6018"/>
    <w:multiLevelType w:val="hybridMultilevel"/>
    <w:tmpl w:val="AB96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967F0"/>
    <w:multiLevelType w:val="hybridMultilevel"/>
    <w:tmpl w:val="64F2F8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D1F20AE"/>
    <w:multiLevelType w:val="hybridMultilevel"/>
    <w:tmpl w:val="D08E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F6121D"/>
    <w:multiLevelType w:val="hybridMultilevel"/>
    <w:tmpl w:val="386AC8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57C2FB0"/>
    <w:multiLevelType w:val="hybridMultilevel"/>
    <w:tmpl w:val="8272E8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3EE4853"/>
    <w:multiLevelType w:val="hybridMultilevel"/>
    <w:tmpl w:val="B5C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54"/>
    <w:rsid w:val="00056908"/>
    <w:rsid w:val="000C59DE"/>
    <w:rsid w:val="000E15B3"/>
    <w:rsid w:val="000E160F"/>
    <w:rsid w:val="000E4836"/>
    <w:rsid w:val="001411CE"/>
    <w:rsid w:val="001B1E3A"/>
    <w:rsid w:val="001C435E"/>
    <w:rsid w:val="001E3D7C"/>
    <w:rsid w:val="001E73FF"/>
    <w:rsid w:val="001F28FD"/>
    <w:rsid w:val="00254CA4"/>
    <w:rsid w:val="00270E55"/>
    <w:rsid w:val="0030662F"/>
    <w:rsid w:val="00364395"/>
    <w:rsid w:val="003D2C82"/>
    <w:rsid w:val="003D540D"/>
    <w:rsid w:val="00434E66"/>
    <w:rsid w:val="0046071B"/>
    <w:rsid w:val="00480586"/>
    <w:rsid w:val="00511226"/>
    <w:rsid w:val="00594B76"/>
    <w:rsid w:val="005A4154"/>
    <w:rsid w:val="00633BF4"/>
    <w:rsid w:val="00694F38"/>
    <w:rsid w:val="006D4B50"/>
    <w:rsid w:val="0072753E"/>
    <w:rsid w:val="007F1748"/>
    <w:rsid w:val="008926F1"/>
    <w:rsid w:val="008E03CF"/>
    <w:rsid w:val="008F6A8F"/>
    <w:rsid w:val="0090047D"/>
    <w:rsid w:val="009454F1"/>
    <w:rsid w:val="00994FD0"/>
    <w:rsid w:val="009F1593"/>
    <w:rsid w:val="009F5B98"/>
    <w:rsid w:val="00A04846"/>
    <w:rsid w:val="00A5440A"/>
    <w:rsid w:val="00A566CA"/>
    <w:rsid w:val="00A64965"/>
    <w:rsid w:val="00AD6600"/>
    <w:rsid w:val="00B735C3"/>
    <w:rsid w:val="00BC4858"/>
    <w:rsid w:val="00C033D8"/>
    <w:rsid w:val="00C50F7D"/>
    <w:rsid w:val="00C96BEF"/>
    <w:rsid w:val="00CA36A9"/>
    <w:rsid w:val="00CE62CC"/>
    <w:rsid w:val="00CF437F"/>
    <w:rsid w:val="00D96519"/>
    <w:rsid w:val="00DB2985"/>
    <w:rsid w:val="00E3518D"/>
    <w:rsid w:val="00E42701"/>
    <w:rsid w:val="00E64326"/>
    <w:rsid w:val="00EA0DCF"/>
    <w:rsid w:val="00F8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40"/>
    </w:rPr>
  </w:style>
  <w:style w:type="paragraph" w:styleId="Heading4">
    <w:name w:val="heading 4"/>
    <w:basedOn w:val="Normal"/>
    <w:next w:val="Normal"/>
    <w:qFormat/>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table" w:styleId="TableGrid">
    <w:name w:val="Table Grid"/>
    <w:basedOn w:val="TableNormal"/>
    <w:rsid w:val="000C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62F"/>
    <w:pPr>
      <w:ind w:left="720"/>
      <w:contextualSpacing/>
    </w:pPr>
  </w:style>
  <w:style w:type="paragraph" w:styleId="BalloonText">
    <w:name w:val="Balloon Text"/>
    <w:basedOn w:val="Normal"/>
    <w:link w:val="BalloonTextChar"/>
    <w:rsid w:val="0046071B"/>
    <w:rPr>
      <w:rFonts w:ascii="Tahoma" w:hAnsi="Tahoma" w:cs="Tahoma"/>
      <w:sz w:val="16"/>
      <w:szCs w:val="16"/>
    </w:rPr>
  </w:style>
  <w:style w:type="character" w:customStyle="1" w:styleId="BalloonTextChar">
    <w:name w:val="Balloon Text Char"/>
    <w:basedOn w:val="DefaultParagraphFont"/>
    <w:link w:val="BalloonText"/>
    <w:rsid w:val="0046071B"/>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40"/>
    </w:rPr>
  </w:style>
  <w:style w:type="paragraph" w:styleId="Heading4">
    <w:name w:val="heading 4"/>
    <w:basedOn w:val="Normal"/>
    <w:next w:val="Normal"/>
    <w:qFormat/>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table" w:styleId="TableGrid">
    <w:name w:val="Table Grid"/>
    <w:basedOn w:val="TableNormal"/>
    <w:rsid w:val="000C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62F"/>
    <w:pPr>
      <w:ind w:left="720"/>
      <w:contextualSpacing/>
    </w:pPr>
  </w:style>
  <w:style w:type="paragraph" w:styleId="BalloonText">
    <w:name w:val="Balloon Text"/>
    <w:basedOn w:val="Normal"/>
    <w:link w:val="BalloonTextChar"/>
    <w:rsid w:val="0046071B"/>
    <w:rPr>
      <w:rFonts w:ascii="Tahoma" w:hAnsi="Tahoma" w:cs="Tahoma"/>
      <w:sz w:val="16"/>
      <w:szCs w:val="16"/>
    </w:rPr>
  </w:style>
  <w:style w:type="character" w:customStyle="1" w:styleId="BalloonTextChar">
    <w:name w:val="Balloon Text Char"/>
    <w:basedOn w:val="DefaultParagraphFont"/>
    <w:link w:val="BalloonText"/>
    <w:rsid w:val="0046071B"/>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phant\vdi_profiles\pnewsam\Downloads\Board%20reports%20template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reports template_1</Template>
  <TotalTime>10</TotalTime>
  <Pages>4</Pages>
  <Words>1167</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Hexagon Housing Association</vt:lpstr>
    </vt:vector>
  </TitlesOfParts>
  <Company>Heaxgon Housing</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dc:title>
  <dc:creator>Phil Newsam</dc:creator>
  <cp:lastModifiedBy>Valerie Sharpe</cp:lastModifiedBy>
  <cp:revision>2</cp:revision>
  <cp:lastPrinted>2015-09-10T15:35:00Z</cp:lastPrinted>
  <dcterms:created xsi:type="dcterms:W3CDTF">2015-09-21T13:24:00Z</dcterms:created>
  <dcterms:modified xsi:type="dcterms:W3CDTF">2015-09-21T13:24:00Z</dcterms:modified>
</cp:coreProperties>
</file>