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1C5" w:rsidRPr="001F7F68" w:rsidRDefault="009D61C5">
      <w:pPr>
        <w:rPr>
          <w:rFonts w:ascii="Arial" w:hAnsi="Arial" w:cs="Arial"/>
          <w:b/>
          <w:sz w:val="32"/>
          <w:szCs w:val="32"/>
        </w:rPr>
      </w:pPr>
      <w:r w:rsidRPr="001F7F68">
        <w:rPr>
          <w:rFonts w:ascii="Arial" w:hAnsi="Arial" w:cs="Arial"/>
          <w:b/>
          <w:sz w:val="32"/>
          <w:szCs w:val="32"/>
        </w:rPr>
        <w:t xml:space="preserve">Hexagon Housing Association </w:t>
      </w:r>
    </w:p>
    <w:p w:rsidR="009D61C5" w:rsidRPr="001F7F68" w:rsidRDefault="009D61C5">
      <w:pPr>
        <w:rPr>
          <w:rFonts w:ascii="Arial" w:hAnsi="Arial" w:cs="Arial"/>
          <w:b/>
          <w:sz w:val="32"/>
          <w:szCs w:val="32"/>
        </w:rPr>
      </w:pPr>
      <w:r w:rsidRPr="001F7F68">
        <w:rPr>
          <w:rFonts w:ascii="Arial" w:hAnsi="Arial" w:cs="Arial"/>
          <w:b/>
          <w:sz w:val="32"/>
          <w:szCs w:val="32"/>
        </w:rPr>
        <w:t xml:space="preserve">Board of Management </w:t>
      </w:r>
    </w:p>
    <w:p w:rsidR="009D61C5" w:rsidRPr="001F7F68" w:rsidRDefault="009D61C5">
      <w:pPr>
        <w:rPr>
          <w:rFonts w:ascii="Arial" w:hAnsi="Arial" w:cs="Arial"/>
          <w:b/>
          <w:sz w:val="32"/>
          <w:szCs w:val="32"/>
        </w:rPr>
      </w:pPr>
      <w:r w:rsidRPr="001F7F68">
        <w:rPr>
          <w:rFonts w:ascii="Arial" w:hAnsi="Arial" w:cs="Arial"/>
          <w:b/>
          <w:sz w:val="32"/>
          <w:szCs w:val="32"/>
        </w:rPr>
        <w:t>29 September 2015</w:t>
      </w:r>
    </w:p>
    <w:p w:rsidR="009D61C5" w:rsidRPr="001F7F68" w:rsidRDefault="009D61C5">
      <w:pPr>
        <w:rPr>
          <w:rFonts w:ascii="Arial" w:hAnsi="Arial" w:cs="Arial"/>
          <w:b/>
          <w:sz w:val="32"/>
          <w:szCs w:val="32"/>
        </w:rPr>
      </w:pPr>
      <w:r w:rsidRPr="001F7F68">
        <w:rPr>
          <w:rFonts w:ascii="Arial" w:hAnsi="Arial" w:cs="Arial"/>
          <w:b/>
          <w:sz w:val="32"/>
          <w:szCs w:val="32"/>
        </w:rPr>
        <w:t xml:space="preserve">Agenda item </w:t>
      </w:r>
      <w:r w:rsidR="00A2456D">
        <w:rPr>
          <w:rFonts w:ascii="Arial" w:hAnsi="Arial" w:cs="Arial"/>
          <w:b/>
          <w:sz w:val="32"/>
          <w:szCs w:val="32"/>
        </w:rPr>
        <w:t>6</w:t>
      </w:r>
      <w:bookmarkStart w:id="0" w:name="_GoBack"/>
      <w:bookmarkEnd w:id="0"/>
    </w:p>
    <w:p w:rsidR="009D61C5" w:rsidRPr="001F7F68" w:rsidRDefault="009D61C5">
      <w:pPr>
        <w:rPr>
          <w:rFonts w:ascii="Arial" w:hAnsi="Arial" w:cs="Arial"/>
          <w:b/>
          <w:sz w:val="32"/>
          <w:szCs w:val="32"/>
        </w:rPr>
      </w:pPr>
      <w:r w:rsidRPr="001F7F68">
        <w:rPr>
          <w:rFonts w:ascii="Arial" w:hAnsi="Arial" w:cs="Arial"/>
          <w:b/>
          <w:sz w:val="32"/>
          <w:szCs w:val="32"/>
        </w:rPr>
        <w:t xml:space="preserve">Strategic matters arising from annual review of Resident Involvement </w:t>
      </w:r>
    </w:p>
    <w:p w:rsidR="009D61C5" w:rsidRPr="00FA1ABF" w:rsidRDefault="009D61C5">
      <w:pPr>
        <w:rPr>
          <w:rFonts w:ascii="Arial" w:hAnsi="Arial" w:cs="Arial"/>
          <w:sz w:val="32"/>
          <w:szCs w:val="32"/>
        </w:rPr>
      </w:pPr>
      <w:r w:rsidRPr="001F7F68">
        <w:rPr>
          <w:rFonts w:ascii="Arial" w:hAnsi="Arial" w:cs="Arial"/>
          <w:b/>
          <w:sz w:val="32"/>
          <w:szCs w:val="32"/>
        </w:rPr>
        <w:t xml:space="preserve">Report by the Operations Director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8492"/>
      </w:tblGrid>
      <w:tr w:rsidR="009D61C5" w:rsidRPr="00FA1ABF" w:rsidTr="001F7F68">
        <w:tc>
          <w:tcPr>
            <w:tcW w:w="750" w:type="dxa"/>
          </w:tcPr>
          <w:p w:rsidR="009D61C5" w:rsidRPr="00FA1ABF" w:rsidRDefault="009D61C5">
            <w:pPr>
              <w:rPr>
                <w:rFonts w:ascii="Arial" w:hAnsi="Arial" w:cs="Arial"/>
                <w:i/>
                <w:sz w:val="28"/>
                <w:szCs w:val="28"/>
              </w:rPr>
            </w:pPr>
            <w:r w:rsidRPr="00FA1ABF">
              <w:rPr>
                <w:rFonts w:ascii="Arial" w:hAnsi="Arial" w:cs="Arial"/>
                <w:i/>
                <w:sz w:val="28"/>
                <w:szCs w:val="28"/>
              </w:rPr>
              <w:t>1</w:t>
            </w:r>
          </w:p>
        </w:tc>
        <w:tc>
          <w:tcPr>
            <w:tcW w:w="8492" w:type="dxa"/>
          </w:tcPr>
          <w:p w:rsidR="009D61C5" w:rsidRPr="001F7F68" w:rsidRDefault="009D61C5">
            <w:pPr>
              <w:rPr>
                <w:rFonts w:ascii="Arial" w:hAnsi="Arial" w:cs="Arial"/>
                <w:b/>
                <w:i/>
                <w:sz w:val="28"/>
                <w:szCs w:val="28"/>
              </w:rPr>
            </w:pPr>
            <w:r w:rsidRPr="001F7F68">
              <w:rPr>
                <w:rFonts w:ascii="Arial" w:hAnsi="Arial" w:cs="Arial"/>
                <w:b/>
                <w:i/>
                <w:sz w:val="28"/>
                <w:szCs w:val="28"/>
              </w:rPr>
              <w:t>Summary</w:t>
            </w:r>
          </w:p>
          <w:p w:rsidR="001F7F68" w:rsidRPr="00FA1ABF" w:rsidRDefault="001F7F68">
            <w:pPr>
              <w:rPr>
                <w:rFonts w:ascii="Arial" w:hAnsi="Arial" w:cs="Arial"/>
                <w:i/>
                <w:sz w:val="28"/>
                <w:szCs w:val="28"/>
              </w:rPr>
            </w:pPr>
          </w:p>
        </w:tc>
      </w:tr>
      <w:tr w:rsidR="009D61C5" w:rsidRPr="00FA1ABF" w:rsidTr="001F7F68">
        <w:tc>
          <w:tcPr>
            <w:tcW w:w="750" w:type="dxa"/>
          </w:tcPr>
          <w:p w:rsidR="009D61C5" w:rsidRPr="00FA1ABF" w:rsidRDefault="009D61C5">
            <w:pPr>
              <w:rPr>
                <w:rFonts w:ascii="Arial" w:hAnsi="Arial" w:cs="Arial"/>
                <w:sz w:val="24"/>
                <w:szCs w:val="24"/>
              </w:rPr>
            </w:pPr>
          </w:p>
        </w:tc>
        <w:tc>
          <w:tcPr>
            <w:tcW w:w="8492" w:type="dxa"/>
          </w:tcPr>
          <w:p w:rsidR="009D61C5" w:rsidRDefault="009C1D6B" w:rsidP="009C1D6B">
            <w:pPr>
              <w:rPr>
                <w:rFonts w:ascii="Arial" w:hAnsi="Arial" w:cs="Arial"/>
                <w:sz w:val="24"/>
                <w:szCs w:val="24"/>
              </w:rPr>
            </w:pPr>
            <w:r>
              <w:rPr>
                <w:rFonts w:ascii="Arial" w:hAnsi="Arial" w:cs="Arial"/>
                <w:sz w:val="24"/>
                <w:szCs w:val="24"/>
              </w:rPr>
              <w:t>The report summarises progress on the matters it agreed 12 months ago in relation to the work of the Resident Involvement team and sets out four  priority areas for the coming year, including progressing via a mechanism to be agreed by the Board the ideas for resident involvement which came out of the Away Day in early September</w:t>
            </w:r>
          </w:p>
          <w:p w:rsidR="009C1D6B" w:rsidRPr="00FA1ABF" w:rsidRDefault="009C1D6B" w:rsidP="009C1D6B">
            <w:pPr>
              <w:rPr>
                <w:rFonts w:ascii="Arial" w:hAnsi="Arial" w:cs="Arial"/>
                <w:sz w:val="24"/>
                <w:szCs w:val="24"/>
              </w:rPr>
            </w:pPr>
          </w:p>
        </w:tc>
      </w:tr>
      <w:tr w:rsidR="009D61C5" w:rsidRPr="00FA1ABF" w:rsidTr="001F7F68">
        <w:tc>
          <w:tcPr>
            <w:tcW w:w="750" w:type="dxa"/>
          </w:tcPr>
          <w:p w:rsidR="009D61C5" w:rsidRPr="00FA1ABF" w:rsidRDefault="009D61C5">
            <w:pPr>
              <w:rPr>
                <w:rFonts w:ascii="Arial" w:hAnsi="Arial" w:cs="Arial"/>
                <w:i/>
                <w:sz w:val="28"/>
                <w:szCs w:val="28"/>
              </w:rPr>
            </w:pPr>
            <w:r w:rsidRPr="00FA1ABF">
              <w:rPr>
                <w:rFonts w:ascii="Arial" w:hAnsi="Arial" w:cs="Arial"/>
                <w:i/>
                <w:sz w:val="28"/>
                <w:szCs w:val="28"/>
              </w:rPr>
              <w:t>2.</w:t>
            </w:r>
          </w:p>
        </w:tc>
        <w:tc>
          <w:tcPr>
            <w:tcW w:w="8492" w:type="dxa"/>
          </w:tcPr>
          <w:p w:rsidR="009D61C5" w:rsidRPr="001F7F68" w:rsidRDefault="009D61C5">
            <w:pPr>
              <w:rPr>
                <w:rFonts w:ascii="Arial" w:hAnsi="Arial" w:cs="Arial"/>
                <w:b/>
                <w:i/>
                <w:sz w:val="28"/>
                <w:szCs w:val="28"/>
              </w:rPr>
            </w:pPr>
            <w:r w:rsidRPr="001F7F68">
              <w:rPr>
                <w:rFonts w:ascii="Arial" w:hAnsi="Arial" w:cs="Arial"/>
                <w:b/>
                <w:i/>
                <w:sz w:val="28"/>
                <w:szCs w:val="28"/>
              </w:rPr>
              <w:t xml:space="preserve">Recommendations </w:t>
            </w:r>
          </w:p>
          <w:p w:rsidR="003D3703" w:rsidRPr="00FA1ABF" w:rsidRDefault="003D3703">
            <w:pPr>
              <w:rPr>
                <w:rFonts w:ascii="Arial" w:hAnsi="Arial" w:cs="Arial"/>
                <w:i/>
                <w:sz w:val="28"/>
                <w:szCs w:val="28"/>
              </w:rPr>
            </w:pPr>
          </w:p>
        </w:tc>
      </w:tr>
      <w:tr w:rsidR="009D61C5" w:rsidRPr="00FA1ABF" w:rsidTr="001F7F68">
        <w:tc>
          <w:tcPr>
            <w:tcW w:w="750" w:type="dxa"/>
          </w:tcPr>
          <w:p w:rsidR="009D61C5" w:rsidRPr="00FA1ABF" w:rsidRDefault="009C1D6B">
            <w:pPr>
              <w:rPr>
                <w:rFonts w:ascii="Arial" w:hAnsi="Arial" w:cs="Arial"/>
                <w:sz w:val="24"/>
                <w:szCs w:val="24"/>
              </w:rPr>
            </w:pPr>
            <w:r>
              <w:rPr>
                <w:rFonts w:ascii="Arial" w:hAnsi="Arial" w:cs="Arial"/>
                <w:sz w:val="24"/>
                <w:szCs w:val="24"/>
              </w:rPr>
              <w:t xml:space="preserve">2.1 </w:t>
            </w:r>
          </w:p>
        </w:tc>
        <w:tc>
          <w:tcPr>
            <w:tcW w:w="8492" w:type="dxa"/>
          </w:tcPr>
          <w:p w:rsidR="009D61C5" w:rsidRDefault="009C1D6B">
            <w:pPr>
              <w:rPr>
                <w:rFonts w:ascii="Arial" w:hAnsi="Arial" w:cs="Arial"/>
                <w:sz w:val="24"/>
                <w:szCs w:val="24"/>
              </w:rPr>
            </w:pPr>
            <w:r>
              <w:rPr>
                <w:rFonts w:ascii="Arial" w:hAnsi="Arial" w:cs="Arial"/>
                <w:sz w:val="24"/>
                <w:szCs w:val="24"/>
              </w:rPr>
              <w:t xml:space="preserve">That the progress on the 2014 strategic matters is noted. </w:t>
            </w:r>
          </w:p>
          <w:p w:rsidR="009C1D6B" w:rsidRPr="00FA1ABF" w:rsidRDefault="009C1D6B">
            <w:pPr>
              <w:rPr>
                <w:rFonts w:ascii="Arial" w:hAnsi="Arial" w:cs="Arial"/>
                <w:sz w:val="24"/>
                <w:szCs w:val="24"/>
              </w:rPr>
            </w:pPr>
          </w:p>
        </w:tc>
      </w:tr>
      <w:tr w:rsidR="009C1D6B" w:rsidRPr="00FA1ABF" w:rsidTr="001F7F68">
        <w:tc>
          <w:tcPr>
            <w:tcW w:w="750" w:type="dxa"/>
          </w:tcPr>
          <w:p w:rsidR="009C1D6B" w:rsidRDefault="009C1D6B">
            <w:pPr>
              <w:rPr>
                <w:rFonts w:ascii="Arial" w:hAnsi="Arial" w:cs="Arial"/>
                <w:sz w:val="24"/>
                <w:szCs w:val="24"/>
              </w:rPr>
            </w:pPr>
            <w:r>
              <w:rPr>
                <w:rFonts w:ascii="Arial" w:hAnsi="Arial" w:cs="Arial"/>
                <w:sz w:val="24"/>
                <w:szCs w:val="24"/>
              </w:rPr>
              <w:t>2.2</w:t>
            </w:r>
          </w:p>
        </w:tc>
        <w:tc>
          <w:tcPr>
            <w:tcW w:w="8492" w:type="dxa"/>
          </w:tcPr>
          <w:p w:rsidR="009C1D6B" w:rsidRPr="009C1D6B" w:rsidRDefault="009C1D6B" w:rsidP="009C1D6B">
            <w:pPr>
              <w:rPr>
                <w:rFonts w:ascii="Arial" w:hAnsi="Arial" w:cs="Arial"/>
                <w:sz w:val="24"/>
                <w:szCs w:val="24"/>
              </w:rPr>
            </w:pPr>
            <w:r w:rsidRPr="009C1D6B">
              <w:rPr>
                <w:rFonts w:ascii="Arial" w:hAnsi="Arial" w:cs="Arial"/>
                <w:sz w:val="24"/>
                <w:szCs w:val="24"/>
              </w:rPr>
              <w:t xml:space="preserve">Once the Board has made a decision on the method of recruitment for TBMs, the implementation becomes a strategic priority for the Resident Involvement team supported by Directors’ Group. </w:t>
            </w:r>
          </w:p>
          <w:p w:rsidR="009C1D6B" w:rsidRDefault="009C1D6B">
            <w:pPr>
              <w:rPr>
                <w:rFonts w:ascii="Arial" w:hAnsi="Arial" w:cs="Arial"/>
                <w:sz w:val="24"/>
                <w:szCs w:val="24"/>
              </w:rPr>
            </w:pPr>
          </w:p>
        </w:tc>
      </w:tr>
      <w:tr w:rsidR="009C1D6B" w:rsidRPr="00FA1ABF" w:rsidTr="001F7F68">
        <w:tc>
          <w:tcPr>
            <w:tcW w:w="750" w:type="dxa"/>
          </w:tcPr>
          <w:p w:rsidR="009C1D6B" w:rsidRDefault="009C1D6B">
            <w:pPr>
              <w:rPr>
                <w:rFonts w:ascii="Arial" w:hAnsi="Arial" w:cs="Arial"/>
                <w:sz w:val="24"/>
                <w:szCs w:val="24"/>
              </w:rPr>
            </w:pPr>
            <w:r>
              <w:rPr>
                <w:rFonts w:ascii="Arial" w:hAnsi="Arial" w:cs="Arial"/>
                <w:sz w:val="24"/>
                <w:szCs w:val="24"/>
              </w:rPr>
              <w:t>2.3</w:t>
            </w:r>
          </w:p>
        </w:tc>
        <w:tc>
          <w:tcPr>
            <w:tcW w:w="8492" w:type="dxa"/>
          </w:tcPr>
          <w:p w:rsidR="009C1D6B" w:rsidRPr="009C1D6B" w:rsidRDefault="009C1D6B" w:rsidP="009C1D6B">
            <w:pPr>
              <w:rPr>
                <w:rFonts w:ascii="Arial" w:hAnsi="Arial" w:cs="Arial"/>
                <w:sz w:val="24"/>
                <w:szCs w:val="24"/>
              </w:rPr>
            </w:pPr>
            <w:r>
              <w:rPr>
                <w:rFonts w:ascii="Arial" w:hAnsi="Arial" w:cs="Arial"/>
                <w:sz w:val="24"/>
                <w:szCs w:val="24"/>
              </w:rPr>
              <w:t>T</w:t>
            </w:r>
            <w:r w:rsidRPr="009C1D6B">
              <w:rPr>
                <w:rFonts w:ascii="Arial" w:hAnsi="Arial" w:cs="Arial"/>
                <w:sz w:val="24"/>
                <w:szCs w:val="24"/>
              </w:rPr>
              <w:t xml:space="preserve">he implementation of the Board’s decisions on the Residents’ Forum review should become a strategic priority for the Resident Involvement team. </w:t>
            </w:r>
          </w:p>
          <w:p w:rsidR="009C1D6B" w:rsidRDefault="009C1D6B">
            <w:pPr>
              <w:rPr>
                <w:rFonts w:ascii="Arial" w:hAnsi="Arial" w:cs="Arial"/>
                <w:sz w:val="24"/>
                <w:szCs w:val="24"/>
              </w:rPr>
            </w:pPr>
          </w:p>
        </w:tc>
      </w:tr>
      <w:tr w:rsidR="009C1D6B" w:rsidRPr="00FA1ABF" w:rsidTr="001F7F68">
        <w:tc>
          <w:tcPr>
            <w:tcW w:w="750" w:type="dxa"/>
          </w:tcPr>
          <w:p w:rsidR="009C1D6B" w:rsidRDefault="009C1D6B">
            <w:pPr>
              <w:rPr>
                <w:rFonts w:ascii="Arial" w:hAnsi="Arial" w:cs="Arial"/>
                <w:sz w:val="24"/>
                <w:szCs w:val="24"/>
              </w:rPr>
            </w:pPr>
            <w:r>
              <w:rPr>
                <w:rFonts w:ascii="Arial" w:hAnsi="Arial" w:cs="Arial"/>
                <w:sz w:val="24"/>
                <w:szCs w:val="24"/>
              </w:rPr>
              <w:t>2.4</w:t>
            </w:r>
          </w:p>
        </w:tc>
        <w:tc>
          <w:tcPr>
            <w:tcW w:w="8492" w:type="dxa"/>
          </w:tcPr>
          <w:p w:rsidR="009C1D6B" w:rsidRPr="00FF31A4" w:rsidRDefault="009C1D6B" w:rsidP="009C1D6B">
            <w:pPr>
              <w:rPr>
                <w:rFonts w:ascii="Arial" w:hAnsi="Arial" w:cs="Arial"/>
                <w:sz w:val="24"/>
                <w:szCs w:val="24"/>
              </w:rPr>
            </w:pPr>
            <w:r w:rsidRPr="00FF31A4">
              <w:rPr>
                <w:rFonts w:ascii="Arial" w:hAnsi="Arial" w:cs="Arial"/>
                <w:sz w:val="24"/>
                <w:szCs w:val="24"/>
              </w:rPr>
              <w:t xml:space="preserve">The Resident Involvement team continue to monitor the co-ops closely in relation to compliance with the regulatory code. </w:t>
            </w:r>
          </w:p>
          <w:p w:rsidR="009C1D6B" w:rsidRDefault="009C1D6B">
            <w:pPr>
              <w:rPr>
                <w:rFonts w:ascii="Arial" w:hAnsi="Arial" w:cs="Arial"/>
                <w:sz w:val="24"/>
                <w:szCs w:val="24"/>
              </w:rPr>
            </w:pPr>
          </w:p>
        </w:tc>
      </w:tr>
      <w:tr w:rsidR="009C1D6B" w:rsidRPr="00FA1ABF" w:rsidTr="001F7F68">
        <w:tc>
          <w:tcPr>
            <w:tcW w:w="750" w:type="dxa"/>
          </w:tcPr>
          <w:p w:rsidR="009C1D6B" w:rsidRDefault="00FF31A4">
            <w:pPr>
              <w:rPr>
                <w:rFonts w:ascii="Arial" w:hAnsi="Arial" w:cs="Arial"/>
                <w:sz w:val="24"/>
                <w:szCs w:val="24"/>
              </w:rPr>
            </w:pPr>
            <w:r>
              <w:rPr>
                <w:rFonts w:ascii="Arial" w:hAnsi="Arial" w:cs="Arial"/>
                <w:sz w:val="24"/>
                <w:szCs w:val="24"/>
              </w:rPr>
              <w:t>2.5</w:t>
            </w:r>
          </w:p>
        </w:tc>
        <w:tc>
          <w:tcPr>
            <w:tcW w:w="8492" w:type="dxa"/>
          </w:tcPr>
          <w:p w:rsidR="009C1D6B" w:rsidRDefault="00FF31A4" w:rsidP="00FF31A4">
            <w:pPr>
              <w:rPr>
                <w:rFonts w:ascii="Arial" w:hAnsi="Arial" w:cs="Arial"/>
                <w:sz w:val="24"/>
                <w:szCs w:val="24"/>
              </w:rPr>
            </w:pPr>
            <w:r>
              <w:rPr>
                <w:rFonts w:ascii="Arial" w:hAnsi="Arial" w:cs="Arial"/>
                <w:sz w:val="24"/>
                <w:szCs w:val="24"/>
              </w:rPr>
              <w:t xml:space="preserve">That once the Board has decided how it wishes to take forward the policy change ideas mentioned at the Away day, the Resident Involvement team draw up an action plan for implementation. </w:t>
            </w:r>
          </w:p>
        </w:tc>
      </w:tr>
      <w:tr w:rsidR="009C1D6B" w:rsidRPr="00FA1ABF" w:rsidTr="001F7F68">
        <w:tc>
          <w:tcPr>
            <w:tcW w:w="750" w:type="dxa"/>
          </w:tcPr>
          <w:p w:rsidR="009C1D6B" w:rsidRDefault="009C1D6B">
            <w:pPr>
              <w:rPr>
                <w:rFonts w:ascii="Arial" w:hAnsi="Arial" w:cs="Arial"/>
                <w:sz w:val="24"/>
                <w:szCs w:val="24"/>
              </w:rPr>
            </w:pPr>
          </w:p>
        </w:tc>
        <w:tc>
          <w:tcPr>
            <w:tcW w:w="8492" w:type="dxa"/>
          </w:tcPr>
          <w:p w:rsidR="009C1D6B" w:rsidRDefault="009C1D6B">
            <w:pPr>
              <w:rPr>
                <w:rFonts w:ascii="Arial" w:hAnsi="Arial" w:cs="Arial"/>
                <w:sz w:val="24"/>
                <w:szCs w:val="24"/>
              </w:rPr>
            </w:pPr>
          </w:p>
        </w:tc>
      </w:tr>
      <w:tr w:rsidR="009D61C5" w:rsidRPr="00FA1ABF" w:rsidTr="001F7F68">
        <w:tc>
          <w:tcPr>
            <w:tcW w:w="750" w:type="dxa"/>
          </w:tcPr>
          <w:p w:rsidR="009D61C5" w:rsidRPr="00FA1ABF" w:rsidRDefault="009D61C5">
            <w:pPr>
              <w:rPr>
                <w:rFonts w:ascii="Arial" w:hAnsi="Arial" w:cs="Arial"/>
                <w:i/>
                <w:sz w:val="28"/>
                <w:szCs w:val="28"/>
              </w:rPr>
            </w:pPr>
            <w:r w:rsidRPr="00FA1ABF">
              <w:rPr>
                <w:rFonts w:ascii="Arial" w:hAnsi="Arial" w:cs="Arial"/>
                <w:i/>
                <w:sz w:val="28"/>
                <w:szCs w:val="28"/>
              </w:rPr>
              <w:t xml:space="preserve">3. </w:t>
            </w:r>
          </w:p>
        </w:tc>
        <w:tc>
          <w:tcPr>
            <w:tcW w:w="8492" w:type="dxa"/>
          </w:tcPr>
          <w:p w:rsidR="001F7F68" w:rsidRPr="001F7F68" w:rsidRDefault="009D61C5">
            <w:pPr>
              <w:rPr>
                <w:rFonts w:ascii="Arial" w:hAnsi="Arial" w:cs="Arial"/>
                <w:b/>
                <w:i/>
                <w:sz w:val="28"/>
                <w:szCs w:val="28"/>
              </w:rPr>
            </w:pPr>
            <w:r w:rsidRPr="001F7F68">
              <w:rPr>
                <w:rFonts w:ascii="Arial" w:hAnsi="Arial" w:cs="Arial"/>
                <w:b/>
                <w:i/>
                <w:sz w:val="28"/>
                <w:szCs w:val="28"/>
              </w:rPr>
              <w:t>Progress on strategic matters identified in 2014</w:t>
            </w:r>
          </w:p>
          <w:p w:rsidR="009D61C5" w:rsidRPr="00FA1ABF" w:rsidRDefault="009D61C5">
            <w:pPr>
              <w:rPr>
                <w:rFonts w:ascii="Arial" w:hAnsi="Arial" w:cs="Arial"/>
                <w:i/>
                <w:sz w:val="28"/>
                <w:szCs w:val="28"/>
              </w:rPr>
            </w:pPr>
            <w:r w:rsidRPr="00FA1ABF">
              <w:rPr>
                <w:rFonts w:ascii="Arial" w:hAnsi="Arial" w:cs="Arial"/>
                <w:i/>
                <w:sz w:val="28"/>
                <w:szCs w:val="28"/>
              </w:rPr>
              <w:t xml:space="preserve"> </w:t>
            </w:r>
          </w:p>
        </w:tc>
      </w:tr>
      <w:tr w:rsidR="009D61C5" w:rsidRPr="00FA1ABF" w:rsidTr="001F7F68">
        <w:tc>
          <w:tcPr>
            <w:tcW w:w="750" w:type="dxa"/>
          </w:tcPr>
          <w:p w:rsidR="009D61C5" w:rsidRPr="00FA1ABF" w:rsidRDefault="00C85F88">
            <w:pPr>
              <w:rPr>
                <w:rFonts w:ascii="Arial" w:hAnsi="Arial" w:cs="Arial"/>
                <w:sz w:val="24"/>
                <w:szCs w:val="24"/>
              </w:rPr>
            </w:pPr>
            <w:r w:rsidRPr="00FA1ABF">
              <w:rPr>
                <w:rFonts w:ascii="Arial" w:hAnsi="Arial" w:cs="Arial"/>
                <w:sz w:val="24"/>
                <w:szCs w:val="24"/>
              </w:rPr>
              <w:t>3.1</w:t>
            </w:r>
          </w:p>
        </w:tc>
        <w:tc>
          <w:tcPr>
            <w:tcW w:w="8492" w:type="dxa"/>
          </w:tcPr>
          <w:p w:rsidR="001F7F68" w:rsidRDefault="00C85F88">
            <w:pPr>
              <w:rPr>
                <w:rFonts w:ascii="Arial" w:hAnsi="Arial" w:cs="Arial"/>
                <w:sz w:val="24"/>
                <w:szCs w:val="24"/>
              </w:rPr>
            </w:pPr>
            <w:r w:rsidRPr="00FA1ABF">
              <w:rPr>
                <w:rFonts w:ascii="Arial" w:hAnsi="Arial" w:cs="Arial"/>
                <w:sz w:val="24"/>
                <w:szCs w:val="24"/>
              </w:rPr>
              <w:t>There were three priorities identified last year following the annual review:</w:t>
            </w:r>
          </w:p>
          <w:p w:rsidR="009D61C5" w:rsidRPr="00FA1ABF" w:rsidRDefault="00C85F88">
            <w:pPr>
              <w:rPr>
                <w:rFonts w:ascii="Arial" w:hAnsi="Arial" w:cs="Arial"/>
                <w:sz w:val="24"/>
                <w:szCs w:val="24"/>
              </w:rPr>
            </w:pPr>
            <w:r w:rsidRPr="00FA1ABF">
              <w:rPr>
                <w:rFonts w:ascii="Arial" w:hAnsi="Arial" w:cs="Arial"/>
                <w:sz w:val="24"/>
                <w:szCs w:val="24"/>
              </w:rPr>
              <w:t xml:space="preserve"> </w:t>
            </w:r>
          </w:p>
          <w:p w:rsidR="00C85F88" w:rsidRDefault="00C85F88" w:rsidP="00C85F88">
            <w:pPr>
              <w:pStyle w:val="ListParagraph"/>
              <w:numPr>
                <w:ilvl w:val="0"/>
                <w:numId w:val="1"/>
              </w:numPr>
              <w:rPr>
                <w:rFonts w:ascii="Arial" w:hAnsi="Arial" w:cs="Arial"/>
                <w:sz w:val="24"/>
                <w:szCs w:val="24"/>
              </w:rPr>
            </w:pPr>
            <w:r w:rsidRPr="00FA1ABF">
              <w:rPr>
                <w:rFonts w:ascii="Arial" w:hAnsi="Arial" w:cs="Arial"/>
                <w:sz w:val="24"/>
                <w:szCs w:val="24"/>
              </w:rPr>
              <w:t>To endorse the more rigorous approach adopted to any co-op non-compliance with gas safety legislation</w:t>
            </w:r>
            <w:r w:rsidR="001F7F68">
              <w:rPr>
                <w:rFonts w:ascii="Arial" w:hAnsi="Arial" w:cs="Arial"/>
                <w:sz w:val="24"/>
                <w:szCs w:val="24"/>
              </w:rPr>
              <w:t>;</w:t>
            </w:r>
          </w:p>
          <w:p w:rsidR="001F7F68" w:rsidRDefault="001F7F68" w:rsidP="001F7F68">
            <w:pPr>
              <w:pStyle w:val="ListParagraph"/>
              <w:rPr>
                <w:rFonts w:ascii="Arial" w:hAnsi="Arial" w:cs="Arial"/>
                <w:sz w:val="24"/>
                <w:szCs w:val="24"/>
              </w:rPr>
            </w:pPr>
          </w:p>
          <w:p w:rsidR="001F7F68" w:rsidRPr="00FA1ABF" w:rsidRDefault="001F7F68" w:rsidP="001F7F68">
            <w:pPr>
              <w:pStyle w:val="ListParagraph"/>
              <w:rPr>
                <w:rFonts w:ascii="Arial" w:hAnsi="Arial" w:cs="Arial"/>
                <w:sz w:val="24"/>
                <w:szCs w:val="24"/>
              </w:rPr>
            </w:pPr>
          </w:p>
          <w:p w:rsidR="001F7F68" w:rsidRDefault="00C85F88" w:rsidP="00C85F88">
            <w:pPr>
              <w:pStyle w:val="ListParagraph"/>
              <w:numPr>
                <w:ilvl w:val="0"/>
                <w:numId w:val="1"/>
              </w:numPr>
              <w:rPr>
                <w:rFonts w:ascii="Arial" w:hAnsi="Arial" w:cs="Arial"/>
                <w:sz w:val="24"/>
                <w:szCs w:val="24"/>
              </w:rPr>
            </w:pPr>
            <w:r w:rsidRPr="00FA1ABF">
              <w:rPr>
                <w:rFonts w:ascii="Arial" w:hAnsi="Arial" w:cs="Arial"/>
                <w:sz w:val="24"/>
                <w:szCs w:val="24"/>
              </w:rPr>
              <w:lastRenderedPageBreak/>
              <w:t xml:space="preserve">To approve the proposal to review the role and constitution of the Residents Forum with a report </w:t>
            </w:r>
            <w:r w:rsidR="001F7F68">
              <w:rPr>
                <w:rFonts w:ascii="Arial" w:hAnsi="Arial" w:cs="Arial"/>
                <w:sz w:val="24"/>
                <w:szCs w:val="24"/>
              </w:rPr>
              <w:t>back to the Board in early 2015;</w:t>
            </w:r>
          </w:p>
          <w:p w:rsidR="00C85F88" w:rsidRPr="00FA1ABF" w:rsidRDefault="00C85F88" w:rsidP="001F7F68">
            <w:pPr>
              <w:pStyle w:val="ListParagraph"/>
              <w:rPr>
                <w:rFonts w:ascii="Arial" w:hAnsi="Arial" w:cs="Arial"/>
                <w:sz w:val="24"/>
                <w:szCs w:val="24"/>
              </w:rPr>
            </w:pPr>
          </w:p>
          <w:p w:rsidR="00C85F88" w:rsidRDefault="00C85F88" w:rsidP="00C85F88">
            <w:pPr>
              <w:pStyle w:val="ListParagraph"/>
              <w:numPr>
                <w:ilvl w:val="0"/>
                <w:numId w:val="1"/>
              </w:numPr>
              <w:rPr>
                <w:rFonts w:ascii="Arial" w:hAnsi="Arial" w:cs="Arial"/>
                <w:sz w:val="24"/>
                <w:szCs w:val="24"/>
              </w:rPr>
            </w:pPr>
            <w:r w:rsidRPr="00FA1ABF">
              <w:rPr>
                <w:rFonts w:ascii="Arial" w:hAnsi="Arial" w:cs="Arial"/>
                <w:sz w:val="24"/>
                <w:szCs w:val="24"/>
              </w:rPr>
              <w:t>To approve the new Resident Involvement policy</w:t>
            </w:r>
            <w:r w:rsidR="001F7F68">
              <w:rPr>
                <w:rFonts w:ascii="Arial" w:hAnsi="Arial" w:cs="Arial"/>
                <w:sz w:val="24"/>
                <w:szCs w:val="24"/>
              </w:rPr>
              <w:t>.</w:t>
            </w:r>
          </w:p>
          <w:p w:rsidR="001F7F68" w:rsidRPr="001F7F68" w:rsidRDefault="001F7F68" w:rsidP="001F7F68">
            <w:pPr>
              <w:rPr>
                <w:rFonts w:ascii="Arial" w:hAnsi="Arial" w:cs="Arial"/>
                <w:sz w:val="24"/>
                <w:szCs w:val="24"/>
              </w:rPr>
            </w:pPr>
          </w:p>
          <w:p w:rsidR="00C85F88" w:rsidRDefault="000B0135" w:rsidP="00C85F88">
            <w:pPr>
              <w:rPr>
                <w:rFonts w:ascii="Arial" w:hAnsi="Arial" w:cs="Arial"/>
                <w:sz w:val="24"/>
                <w:szCs w:val="24"/>
              </w:rPr>
            </w:pPr>
            <w:r>
              <w:rPr>
                <w:rFonts w:ascii="Arial" w:hAnsi="Arial" w:cs="Arial"/>
                <w:sz w:val="24"/>
                <w:szCs w:val="24"/>
              </w:rPr>
              <w:t xml:space="preserve">The progress on these is set out below. </w:t>
            </w:r>
          </w:p>
          <w:p w:rsidR="000B0135" w:rsidRPr="00FA1ABF" w:rsidRDefault="000B0135" w:rsidP="00C85F88">
            <w:pPr>
              <w:rPr>
                <w:rFonts w:ascii="Arial" w:hAnsi="Arial" w:cs="Arial"/>
                <w:sz w:val="24"/>
                <w:szCs w:val="24"/>
              </w:rPr>
            </w:pPr>
          </w:p>
        </w:tc>
      </w:tr>
      <w:tr w:rsidR="00C85F88" w:rsidRPr="00FA1ABF" w:rsidTr="001F7F68">
        <w:tc>
          <w:tcPr>
            <w:tcW w:w="750" w:type="dxa"/>
          </w:tcPr>
          <w:p w:rsidR="00C85F88" w:rsidRPr="00FA1ABF" w:rsidRDefault="00C85F88">
            <w:pPr>
              <w:rPr>
                <w:rFonts w:ascii="Arial" w:hAnsi="Arial" w:cs="Arial"/>
                <w:i/>
                <w:sz w:val="28"/>
                <w:szCs w:val="28"/>
              </w:rPr>
            </w:pPr>
            <w:r w:rsidRPr="00FA1ABF">
              <w:rPr>
                <w:rFonts w:ascii="Arial" w:hAnsi="Arial" w:cs="Arial"/>
                <w:i/>
                <w:sz w:val="28"/>
                <w:szCs w:val="28"/>
              </w:rPr>
              <w:lastRenderedPageBreak/>
              <w:t xml:space="preserve">3.2 </w:t>
            </w:r>
          </w:p>
        </w:tc>
        <w:tc>
          <w:tcPr>
            <w:tcW w:w="8492" w:type="dxa"/>
          </w:tcPr>
          <w:p w:rsidR="00C85F88" w:rsidRPr="00FA1ABF" w:rsidRDefault="00F1035C" w:rsidP="003249E2">
            <w:pPr>
              <w:rPr>
                <w:rFonts w:ascii="Arial" w:hAnsi="Arial" w:cs="Arial"/>
                <w:i/>
                <w:sz w:val="28"/>
                <w:szCs w:val="28"/>
              </w:rPr>
            </w:pPr>
            <w:r w:rsidRPr="00FA1ABF">
              <w:rPr>
                <w:rFonts w:ascii="Arial" w:hAnsi="Arial" w:cs="Arial"/>
                <w:i/>
                <w:sz w:val="28"/>
                <w:szCs w:val="28"/>
              </w:rPr>
              <w:t xml:space="preserve">Gas safety compliance </w:t>
            </w:r>
          </w:p>
        </w:tc>
      </w:tr>
      <w:tr w:rsidR="00C85F88" w:rsidRPr="00FA1ABF" w:rsidTr="001F7F68">
        <w:tc>
          <w:tcPr>
            <w:tcW w:w="750" w:type="dxa"/>
          </w:tcPr>
          <w:p w:rsidR="00C85F88" w:rsidRPr="00FA1ABF" w:rsidRDefault="000B0135">
            <w:pPr>
              <w:rPr>
                <w:rFonts w:ascii="Arial" w:hAnsi="Arial" w:cs="Arial"/>
                <w:sz w:val="24"/>
                <w:szCs w:val="24"/>
              </w:rPr>
            </w:pPr>
            <w:r>
              <w:rPr>
                <w:rFonts w:ascii="Arial" w:hAnsi="Arial" w:cs="Arial"/>
                <w:sz w:val="24"/>
                <w:szCs w:val="24"/>
              </w:rPr>
              <w:t>3.2.1</w:t>
            </w:r>
          </w:p>
        </w:tc>
        <w:tc>
          <w:tcPr>
            <w:tcW w:w="8492" w:type="dxa"/>
          </w:tcPr>
          <w:p w:rsidR="00C85F88" w:rsidRPr="00FA1ABF" w:rsidRDefault="00F1035C" w:rsidP="00F1035C">
            <w:pPr>
              <w:rPr>
                <w:rFonts w:ascii="Arial" w:hAnsi="Arial" w:cs="Arial"/>
                <w:sz w:val="24"/>
                <w:szCs w:val="24"/>
              </w:rPr>
            </w:pPr>
            <w:r w:rsidRPr="00FA1ABF">
              <w:rPr>
                <w:rFonts w:ascii="Arial" w:hAnsi="Arial" w:cs="Arial"/>
                <w:sz w:val="24"/>
                <w:szCs w:val="24"/>
              </w:rPr>
              <w:t>Co-op performance on gas safety compliance over the last f</w:t>
            </w:r>
            <w:r w:rsidR="00333C7B" w:rsidRPr="00FA1ABF">
              <w:rPr>
                <w:rFonts w:ascii="Arial" w:hAnsi="Arial" w:cs="Arial"/>
                <w:sz w:val="24"/>
                <w:szCs w:val="24"/>
              </w:rPr>
              <w:t>ive</w:t>
            </w:r>
            <w:r w:rsidRPr="00FA1ABF">
              <w:rPr>
                <w:rFonts w:ascii="Arial" w:hAnsi="Arial" w:cs="Arial"/>
                <w:sz w:val="24"/>
                <w:szCs w:val="24"/>
              </w:rPr>
              <w:t xml:space="preserve"> quarters, although not always 100%, has improved compared with previous years.</w:t>
            </w:r>
            <w:r w:rsidR="00836383" w:rsidRPr="00FA1ABF">
              <w:rPr>
                <w:rFonts w:ascii="Arial" w:hAnsi="Arial" w:cs="Arial"/>
                <w:sz w:val="24"/>
                <w:szCs w:val="24"/>
              </w:rPr>
              <w:t xml:space="preserve"> The performance </w:t>
            </w:r>
            <w:r w:rsidR="00333C7B" w:rsidRPr="00FA1ABF">
              <w:rPr>
                <w:rFonts w:ascii="Arial" w:hAnsi="Arial" w:cs="Arial"/>
                <w:sz w:val="24"/>
                <w:szCs w:val="24"/>
              </w:rPr>
              <w:t xml:space="preserve">at the end of </w:t>
            </w:r>
            <w:r w:rsidR="00836383" w:rsidRPr="00FA1ABF">
              <w:rPr>
                <w:rFonts w:ascii="Arial" w:hAnsi="Arial" w:cs="Arial"/>
                <w:sz w:val="24"/>
                <w:szCs w:val="24"/>
              </w:rPr>
              <w:t>each quarter is set out below:</w:t>
            </w:r>
          </w:p>
          <w:p w:rsidR="00836383" w:rsidRPr="00FA1ABF" w:rsidRDefault="00836383" w:rsidP="00F1035C">
            <w:pPr>
              <w:rPr>
                <w:rFonts w:ascii="Arial" w:hAnsi="Arial" w:cs="Arial"/>
                <w:sz w:val="24"/>
                <w:szCs w:val="24"/>
              </w:rPr>
            </w:pPr>
          </w:p>
          <w:tbl>
            <w:tblPr>
              <w:tblStyle w:val="TableGrid"/>
              <w:tblW w:w="0" w:type="auto"/>
              <w:tblLook w:val="04A0" w:firstRow="1" w:lastRow="0" w:firstColumn="1" w:lastColumn="0" w:noHBand="0" w:noVBand="1"/>
            </w:tblPr>
            <w:tblGrid>
              <w:gridCol w:w="2760"/>
              <w:gridCol w:w="2750"/>
              <w:gridCol w:w="2756"/>
            </w:tblGrid>
            <w:tr w:rsidR="00836383" w:rsidRPr="00FA1ABF" w:rsidTr="00636CFA">
              <w:tc>
                <w:tcPr>
                  <w:tcW w:w="2760" w:type="dxa"/>
                </w:tcPr>
                <w:p w:rsidR="00836383" w:rsidRPr="00FA1ABF" w:rsidRDefault="00836383" w:rsidP="00F1035C">
                  <w:pPr>
                    <w:rPr>
                      <w:rFonts w:ascii="Arial" w:hAnsi="Arial" w:cs="Arial"/>
                      <w:b/>
                      <w:sz w:val="24"/>
                      <w:szCs w:val="24"/>
                    </w:rPr>
                  </w:pPr>
                  <w:r w:rsidRPr="00FA1ABF">
                    <w:rPr>
                      <w:rFonts w:ascii="Arial" w:hAnsi="Arial" w:cs="Arial"/>
                      <w:b/>
                      <w:sz w:val="24"/>
                      <w:szCs w:val="24"/>
                    </w:rPr>
                    <w:t>Quarter</w:t>
                  </w:r>
                </w:p>
              </w:tc>
              <w:tc>
                <w:tcPr>
                  <w:tcW w:w="2750" w:type="dxa"/>
                </w:tcPr>
                <w:p w:rsidR="00836383" w:rsidRPr="00FA1ABF" w:rsidRDefault="00836383" w:rsidP="00F1035C">
                  <w:pPr>
                    <w:rPr>
                      <w:rFonts w:ascii="Arial" w:hAnsi="Arial" w:cs="Arial"/>
                      <w:sz w:val="24"/>
                      <w:szCs w:val="24"/>
                    </w:rPr>
                  </w:pPr>
                  <w:r w:rsidRPr="00FA1ABF">
                    <w:rPr>
                      <w:rFonts w:ascii="Arial" w:hAnsi="Arial" w:cs="Arial"/>
                      <w:sz w:val="24"/>
                      <w:szCs w:val="24"/>
                    </w:rPr>
                    <w:t xml:space="preserve">% </w:t>
                  </w:r>
                </w:p>
              </w:tc>
              <w:tc>
                <w:tcPr>
                  <w:tcW w:w="2756" w:type="dxa"/>
                </w:tcPr>
                <w:p w:rsidR="00836383" w:rsidRPr="00FA1ABF" w:rsidRDefault="00836383" w:rsidP="00F1035C">
                  <w:pPr>
                    <w:rPr>
                      <w:rFonts w:ascii="Arial" w:hAnsi="Arial" w:cs="Arial"/>
                      <w:b/>
                      <w:sz w:val="24"/>
                      <w:szCs w:val="24"/>
                    </w:rPr>
                  </w:pPr>
                  <w:r w:rsidRPr="00FA1ABF">
                    <w:rPr>
                      <w:rFonts w:ascii="Arial" w:hAnsi="Arial" w:cs="Arial"/>
                      <w:b/>
                      <w:sz w:val="24"/>
                      <w:szCs w:val="24"/>
                    </w:rPr>
                    <w:t xml:space="preserve">Number overdue </w:t>
                  </w:r>
                </w:p>
              </w:tc>
            </w:tr>
            <w:tr w:rsidR="00333C7B" w:rsidRPr="00FA1ABF" w:rsidTr="00636CFA">
              <w:tc>
                <w:tcPr>
                  <w:tcW w:w="2760" w:type="dxa"/>
                </w:tcPr>
                <w:p w:rsidR="00333C7B" w:rsidRPr="00FA1ABF" w:rsidRDefault="00333C7B" w:rsidP="00F1035C">
                  <w:pPr>
                    <w:rPr>
                      <w:rFonts w:ascii="Arial" w:hAnsi="Arial" w:cs="Arial"/>
                      <w:sz w:val="24"/>
                      <w:szCs w:val="24"/>
                    </w:rPr>
                  </w:pPr>
                  <w:r w:rsidRPr="00FA1ABF">
                    <w:rPr>
                      <w:rFonts w:ascii="Arial" w:hAnsi="Arial" w:cs="Arial"/>
                      <w:sz w:val="24"/>
                      <w:szCs w:val="24"/>
                    </w:rPr>
                    <w:t>Q1, 2014/15</w:t>
                  </w:r>
                </w:p>
              </w:tc>
              <w:tc>
                <w:tcPr>
                  <w:tcW w:w="2750" w:type="dxa"/>
                </w:tcPr>
                <w:p w:rsidR="00333C7B" w:rsidRPr="00FA1ABF" w:rsidRDefault="00333C7B" w:rsidP="00F1035C">
                  <w:pPr>
                    <w:rPr>
                      <w:rFonts w:ascii="Arial" w:hAnsi="Arial" w:cs="Arial"/>
                      <w:sz w:val="24"/>
                      <w:szCs w:val="24"/>
                    </w:rPr>
                  </w:pPr>
                  <w:r w:rsidRPr="00FA1ABF">
                    <w:rPr>
                      <w:rFonts w:ascii="Arial" w:hAnsi="Arial" w:cs="Arial"/>
                      <w:sz w:val="24"/>
                      <w:szCs w:val="24"/>
                    </w:rPr>
                    <w:t>99.3</w:t>
                  </w:r>
                </w:p>
              </w:tc>
              <w:tc>
                <w:tcPr>
                  <w:tcW w:w="2756" w:type="dxa"/>
                </w:tcPr>
                <w:p w:rsidR="00333C7B" w:rsidRPr="00FA1ABF" w:rsidRDefault="00333C7B" w:rsidP="00F1035C">
                  <w:pPr>
                    <w:rPr>
                      <w:rFonts w:ascii="Arial" w:hAnsi="Arial" w:cs="Arial"/>
                      <w:sz w:val="24"/>
                      <w:szCs w:val="24"/>
                    </w:rPr>
                  </w:pPr>
                  <w:r w:rsidRPr="00FA1ABF">
                    <w:rPr>
                      <w:rFonts w:ascii="Arial" w:hAnsi="Arial" w:cs="Arial"/>
                      <w:sz w:val="24"/>
                      <w:szCs w:val="24"/>
                    </w:rPr>
                    <w:t>2</w:t>
                  </w:r>
                </w:p>
              </w:tc>
            </w:tr>
            <w:tr w:rsidR="00836383" w:rsidRPr="00FA1ABF" w:rsidTr="00636CFA">
              <w:tc>
                <w:tcPr>
                  <w:tcW w:w="2760" w:type="dxa"/>
                </w:tcPr>
                <w:p w:rsidR="00836383" w:rsidRPr="00FA1ABF" w:rsidRDefault="00836383" w:rsidP="00F1035C">
                  <w:pPr>
                    <w:rPr>
                      <w:rFonts w:ascii="Arial" w:hAnsi="Arial" w:cs="Arial"/>
                      <w:sz w:val="24"/>
                      <w:szCs w:val="24"/>
                    </w:rPr>
                  </w:pPr>
                  <w:r w:rsidRPr="00FA1ABF">
                    <w:rPr>
                      <w:rFonts w:ascii="Arial" w:hAnsi="Arial" w:cs="Arial"/>
                      <w:sz w:val="24"/>
                      <w:szCs w:val="24"/>
                    </w:rPr>
                    <w:t>Q2, 2014/15</w:t>
                  </w:r>
                </w:p>
              </w:tc>
              <w:tc>
                <w:tcPr>
                  <w:tcW w:w="2750" w:type="dxa"/>
                </w:tcPr>
                <w:p w:rsidR="00836383" w:rsidRPr="00FA1ABF" w:rsidRDefault="00836383" w:rsidP="00F1035C">
                  <w:pPr>
                    <w:rPr>
                      <w:rFonts w:ascii="Arial" w:hAnsi="Arial" w:cs="Arial"/>
                      <w:sz w:val="24"/>
                      <w:szCs w:val="24"/>
                    </w:rPr>
                  </w:pPr>
                  <w:r w:rsidRPr="00FA1ABF">
                    <w:rPr>
                      <w:rFonts w:ascii="Arial" w:hAnsi="Arial" w:cs="Arial"/>
                      <w:sz w:val="24"/>
                      <w:szCs w:val="24"/>
                    </w:rPr>
                    <w:t>99.9</w:t>
                  </w:r>
                </w:p>
              </w:tc>
              <w:tc>
                <w:tcPr>
                  <w:tcW w:w="2756" w:type="dxa"/>
                </w:tcPr>
                <w:p w:rsidR="00836383" w:rsidRPr="00FA1ABF" w:rsidRDefault="00836383" w:rsidP="00F1035C">
                  <w:pPr>
                    <w:rPr>
                      <w:rFonts w:ascii="Arial" w:hAnsi="Arial" w:cs="Arial"/>
                      <w:sz w:val="24"/>
                      <w:szCs w:val="24"/>
                    </w:rPr>
                  </w:pPr>
                  <w:r w:rsidRPr="00FA1ABF">
                    <w:rPr>
                      <w:rFonts w:ascii="Arial" w:hAnsi="Arial" w:cs="Arial"/>
                      <w:sz w:val="24"/>
                      <w:szCs w:val="24"/>
                    </w:rPr>
                    <w:t>1</w:t>
                  </w:r>
                </w:p>
              </w:tc>
            </w:tr>
            <w:tr w:rsidR="00836383" w:rsidRPr="00FA1ABF" w:rsidTr="00636CFA">
              <w:tc>
                <w:tcPr>
                  <w:tcW w:w="2760" w:type="dxa"/>
                </w:tcPr>
                <w:p w:rsidR="00836383" w:rsidRPr="00FA1ABF" w:rsidRDefault="00836383" w:rsidP="00F1035C">
                  <w:pPr>
                    <w:rPr>
                      <w:rFonts w:ascii="Arial" w:hAnsi="Arial" w:cs="Arial"/>
                      <w:sz w:val="24"/>
                      <w:szCs w:val="24"/>
                    </w:rPr>
                  </w:pPr>
                  <w:r w:rsidRPr="00FA1ABF">
                    <w:rPr>
                      <w:rFonts w:ascii="Arial" w:hAnsi="Arial" w:cs="Arial"/>
                      <w:sz w:val="24"/>
                      <w:szCs w:val="24"/>
                    </w:rPr>
                    <w:t>Q3, 2014/15</w:t>
                  </w:r>
                </w:p>
              </w:tc>
              <w:tc>
                <w:tcPr>
                  <w:tcW w:w="2750" w:type="dxa"/>
                </w:tcPr>
                <w:p w:rsidR="00836383" w:rsidRPr="00FA1ABF" w:rsidRDefault="00836383" w:rsidP="00F1035C">
                  <w:pPr>
                    <w:rPr>
                      <w:rFonts w:ascii="Arial" w:hAnsi="Arial" w:cs="Arial"/>
                      <w:sz w:val="24"/>
                      <w:szCs w:val="24"/>
                    </w:rPr>
                  </w:pPr>
                  <w:r w:rsidRPr="00FA1ABF">
                    <w:rPr>
                      <w:rFonts w:ascii="Arial" w:hAnsi="Arial" w:cs="Arial"/>
                      <w:sz w:val="24"/>
                      <w:szCs w:val="24"/>
                    </w:rPr>
                    <w:t>98.0</w:t>
                  </w:r>
                </w:p>
              </w:tc>
              <w:tc>
                <w:tcPr>
                  <w:tcW w:w="2756" w:type="dxa"/>
                </w:tcPr>
                <w:p w:rsidR="00836383" w:rsidRPr="00FA1ABF" w:rsidRDefault="00836383" w:rsidP="00F1035C">
                  <w:pPr>
                    <w:rPr>
                      <w:rFonts w:ascii="Arial" w:hAnsi="Arial" w:cs="Arial"/>
                      <w:sz w:val="24"/>
                      <w:szCs w:val="24"/>
                    </w:rPr>
                  </w:pPr>
                  <w:r w:rsidRPr="00FA1ABF">
                    <w:rPr>
                      <w:rFonts w:ascii="Arial" w:hAnsi="Arial" w:cs="Arial"/>
                      <w:sz w:val="24"/>
                      <w:szCs w:val="24"/>
                    </w:rPr>
                    <w:t>6</w:t>
                  </w:r>
                </w:p>
              </w:tc>
            </w:tr>
            <w:tr w:rsidR="00836383" w:rsidRPr="00FA1ABF" w:rsidTr="00636CFA">
              <w:tc>
                <w:tcPr>
                  <w:tcW w:w="2760" w:type="dxa"/>
                </w:tcPr>
                <w:p w:rsidR="00836383" w:rsidRPr="00FA1ABF" w:rsidRDefault="00836383" w:rsidP="00F1035C">
                  <w:pPr>
                    <w:rPr>
                      <w:rFonts w:ascii="Arial" w:hAnsi="Arial" w:cs="Arial"/>
                      <w:sz w:val="24"/>
                      <w:szCs w:val="24"/>
                    </w:rPr>
                  </w:pPr>
                  <w:r w:rsidRPr="00FA1ABF">
                    <w:rPr>
                      <w:rFonts w:ascii="Arial" w:hAnsi="Arial" w:cs="Arial"/>
                      <w:sz w:val="24"/>
                      <w:szCs w:val="24"/>
                    </w:rPr>
                    <w:t>Q4,2015/16</w:t>
                  </w:r>
                </w:p>
              </w:tc>
              <w:tc>
                <w:tcPr>
                  <w:tcW w:w="2750" w:type="dxa"/>
                </w:tcPr>
                <w:p w:rsidR="00836383" w:rsidRPr="00FA1ABF" w:rsidRDefault="00836383" w:rsidP="00F1035C">
                  <w:pPr>
                    <w:rPr>
                      <w:rFonts w:ascii="Arial" w:hAnsi="Arial" w:cs="Arial"/>
                      <w:sz w:val="24"/>
                      <w:szCs w:val="24"/>
                    </w:rPr>
                  </w:pPr>
                  <w:r w:rsidRPr="00FA1ABF">
                    <w:rPr>
                      <w:rFonts w:ascii="Arial" w:hAnsi="Arial" w:cs="Arial"/>
                      <w:sz w:val="24"/>
                      <w:szCs w:val="24"/>
                    </w:rPr>
                    <w:t>100</w:t>
                  </w:r>
                </w:p>
              </w:tc>
              <w:tc>
                <w:tcPr>
                  <w:tcW w:w="2756" w:type="dxa"/>
                </w:tcPr>
                <w:p w:rsidR="00836383" w:rsidRPr="00FA1ABF" w:rsidRDefault="00836383" w:rsidP="00F1035C">
                  <w:pPr>
                    <w:rPr>
                      <w:rFonts w:ascii="Arial" w:hAnsi="Arial" w:cs="Arial"/>
                      <w:sz w:val="24"/>
                      <w:szCs w:val="24"/>
                    </w:rPr>
                  </w:pPr>
                  <w:r w:rsidRPr="00FA1ABF">
                    <w:rPr>
                      <w:rFonts w:ascii="Arial" w:hAnsi="Arial" w:cs="Arial"/>
                      <w:sz w:val="24"/>
                      <w:szCs w:val="24"/>
                    </w:rPr>
                    <w:t>0</w:t>
                  </w:r>
                </w:p>
              </w:tc>
            </w:tr>
            <w:tr w:rsidR="00836383" w:rsidRPr="00FA1ABF" w:rsidTr="00636CFA">
              <w:tc>
                <w:tcPr>
                  <w:tcW w:w="2760" w:type="dxa"/>
                </w:tcPr>
                <w:p w:rsidR="00836383" w:rsidRPr="00FA1ABF" w:rsidRDefault="00836383" w:rsidP="00F1035C">
                  <w:pPr>
                    <w:rPr>
                      <w:rFonts w:ascii="Arial" w:hAnsi="Arial" w:cs="Arial"/>
                      <w:sz w:val="24"/>
                      <w:szCs w:val="24"/>
                    </w:rPr>
                  </w:pPr>
                  <w:r w:rsidRPr="00FA1ABF">
                    <w:rPr>
                      <w:rFonts w:ascii="Arial" w:hAnsi="Arial" w:cs="Arial"/>
                      <w:sz w:val="24"/>
                      <w:szCs w:val="24"/>
                    </w:rPr>
                    <w:t>Q1, 2015/16</w:t>
                  </w:r>
                </w:p>
              </w:tc>
              <w:tc>
                <w:tcPr>
                  <w:tcW w:w="2750" w:type="dxa"/>
                </w:tcPr>
                <w:p w:rsidR="00836383" w:rsidRPr="00FA1ABF" w:rsidRDefault="00836383" w:rsidP="00F1035C">
                  <w:pPr>
                    <w:rPr>
                      <w:rFonts w:ascii="Arial" w:hAnsi="Arial" w:cs="Arial"/>
                      <w:sz w:val="24"/>
                      <w:szCs w:val="24"/>
                    </w:rPr>
                  </w:pPr>
                  <w:r w:rsidRPr="00FA1ABF">
                    <w:rPr>
                      <w:rFonts w:ascii="Arial" w:hAnsi="Arial" w:cs="Arial"/>
                      <w:sz w:val="24"/>
                      <w:szCs w:val="24"/>
                    </w:rPr>
                    <w:t>100</w:t>
                  </w:r>
                </w:p>
              </w:tc>
              <w:tc>
                <w:tcPr>
                  <w:tcW w:w="2756" w:type="dxa"/>
                </w:tcPr>
                <w:p w:rsidR="00836383" w:rsidRPr="00FA1ABF" w:rsidRDefault="00836383" w:rsidP="00F1035C">
                  <w:pPr>
                    <w:rPr>
                      <w:rFonts w:ascii="Arial" w:hAnsi="Arial" w:cs="Arial"/>
                      <w:sz w:val="24"/>
                      <w:szCs w:val="24"/>
                    </w:rPr>
                  </w:pPr>
                  <w:r w:rsidRPr="00FA1ABF">
                    <w:rPr>
                      <w:rFonts w:ascii="Arial" w:hAnsi="Arial" w:cs="Arial"/>
                      <w:sz w:val="24"/>
                      <w:szCs w:val="24"/>
                    </w:rPr>
                    <w:t>0</w:t>
                  </w:r>
                </w:p>
              </w:tc>
            </w:tr>
          </w:tbl>
          <w:p w:rsidR="00836383" w:rsidRPr="00FA1ABF" w:rsidRDefault="00836383" w:rsidP="00F1035C">
            <w:pPr>
              <w:rPr>
                <w:rFonts w:ascii="Arial" w:hAnsi="Arial" w:cs="Arial"/>
                <w:sz w:val="24"/>
                <w:szCs w:val="24"/>
              </w:rPr>
            </w:pPr>
          </w:p>
        </w:tc>
      </w:tr>
      <w:tr w:rsidR="00C85F88" w:rsidRPr="00FA1ABF" w:rsidTr="001F7F68">
        <w:tc>
          <w:tcPr>
            <w:tcW w:w="750" w:type="dxa"/>
          </w:tcPr>
          <w:p w:rsidR="00BD6631" w:rsidRDefault="00BD6631">
            <w:pPr>
              <w:rPr>
                <w:rFonts w:ascii="Arial" w:hAnsi="Arial" w:cs="Arial"/>
                <w:sz w:val="24"/>
                <w:szCs w:val="24"/>
              </w:rPr>
            </w:pPr>
          </w:p>
          <w:p w:rsidR="00C85F88" w:rsidRPr="00FA1ABF" w:rsidRDefault="000B0135">
            <w:pPr>
              <w:rPr>
                <w:rFonts w:ascii="Arial" w:hAnsi="Arial" w:cs="Arial"/>
                <w:sz w:val="24"/>
                <w:szCs w:val="24"/>
              </w:rPr>
            </w:pPr>
            <w:r>
              <w:rPr>
                <w:rFonts w:ascii="Arial" w:hAnsi="Arial" w:cs="Arial"/>
                <w:sz w:val="24"/>
                <w:szCs w:val="24"/>
              </w:rPr>
              <w:t>3.2.2</w:t>
            </w:r>
          </w:p>
        </w:tc>
        <w:tc>
          <w:tcPr>
            <w:tcW w:w="8492" w:type="dxa"/>
          </w:tcPr>
          <w:p w:rsidR="00BD6631" w:rsidRDefault="00BD6631" w:rsidP="00333C7B">
            <w:pPr>
              <w:rPr>
                <w:rFonts w:ascii="Arial" w:hAnsi="Arial" w:cs="Arial"/>
                <w:sz w:val="24"/>
                <w:szCs w:val="24"/>
              </w:rPr>
            </w:pPr>
          </w:p>
          <w:p w:rsidR="00C85F88" w:rsidRPr="00FA1ABF" w:rsidRDefault="009B4D3C" w:rsidP="00333C7B">
            <w:pPr>
              <w:rPr>
                <w:rFonts w:ascii="Arial" w:hAnsi="Arial" w:cs="Arial"/>
                <w:sz w:val="24"/>
                <w:szCs w:val="24"/>
              </w:rPr>
            </w:pPr>
            <w:r>
              <w:rPr>
                <w:rFonts w:ascii="Arial" w:hAnsi="Arial" w:cs="Arial"/>
                <w:sz w:val="24"/>
                <w:szCs w:val="24"/>
              </w:rPr>
              <w:t xml:space="preserve">In addition to the quarterly reporting to the Board, there is monitoring internally and as a </w:t>
            </w:r>
            <w:r w:rsidR="007147F2">
              <w:rPr>
                <w:rFonts w:ascii="Arial" w:hAnsi="Arial" w:cs="Arial"/>
                <w:sz w:val="24"/>
                <w:szCs w:val="24"/>
              </w:rPr>
              <w:t>result, f</w:t>
            </w:r>
            <w:r w:rsidR="007147F2" w:rsidRPr="00FA1ABF">
              <w:rPr>
                <w:rFonts w:ascii="Arial" w:hAnsi="Arial" w:cs="Arial"/>
                <w:sz w:val="24"/>
                <w:szCs w:val="24"/>
              </w:rPr>
              <w:t>or</w:t>
            </w:r>
            <w:r w:rsidR="00333C7B" w:rsidRPr="00FA1ABF">
              <w:rPr>
                <w:rFonts w:ascii="Arial" w:hAnsi="Arial" w:cs="Arial"/>
                <w:sz w:val="24"/>
                <w:szCs w:val="24"/>
              </w:rPr>
              <w:t xml:space="preserve"> 2014/15 a total of seven Breach Notices were served individually on Acceptable Face, Balfour St, LFSA, BTC and Kirkdale, with the latter two each receiving two separate Notices. In all seven cases the co-op claimed that the safety check had been carried out and indeed the LGSR certificates were received straight away after the Notices were issued. However last year, and against  a background of the HCA issuing of judgements against RSLs with late or non-existing gas safety certificates, we responded immediately to cases of late certificates and in spite of appeals from co-ops, the message has been received that we will not tolerate anything less than 100% compliance with the gas safety regulations.</w:t>
            </w:r>
          </w:p>
          <w:p w:rsidR="00333C7B" w:rsidRPr="00FA1ABF" w:rsidRDefault="00333C7B" w:rsidP="00333C7B">
            <w:pPr>
              <w:rPr>
                <w:rFonts w:ascii="Arial" w:hAnsi="Arial" w:cs="Arial"/>
                <w:sz w:val="24"/>
                <w:szCs w:val="24"/>
              </w:rPr>
            </w:pPr>
          </w:p>
        </w:tc>
      </w:tr>
      <w:tr w:rsidR="00C85F88" w:rsidRPr="00FA1ABF" w:rsidTr="001F7F68">
        <w:tc>
          <w:tcPr>
            <w:tcW w:w="750" w:type="dxa"/>
          </w:tcPr>
          <w:p w:rsidR="00C85F88" w:rsidRPr="00FA1ABF" w:rsidRDefault="00333C7B">
            <w:pPr>
              <w:rPr>
                <w:rFonts w:ascii="Arial" w:hAnsi="Arial" w:cs="Arial"/>
                <w:i/>
                <w:sz w:val="28"/>
                <w:szCs w:val="28"/>
              </w:rPr>
            </w:pPr>
            <w:r w:rsidRPr="00FA1ABF">
              <w:rPr>
                <w:rFonts w:ascii="Arial" w:hAnsi="Arial" w:cs="Arial"/>
                <w:i/>
                <w:sz w:val="28"/>
                <w:szCs w:val="28"/>
              </w:rPr>
              <w:t>3.3</w:t>
            </w:r>
          </w:p>
        </w:tc>
        <w:tc>
          <w:tcPr>
            <w:tcW w:w="8492" w:type="dxa"/>
          </w:tcPr>
          <w:p w:rsidR="00C85F88" w:rsidRPr="00FA1ABF" w:rsidRDefault="00333C7B">
            <w:pPr>
              <w:rPr>
                <w:rFonts w:ascii="Arial" w:hAnsi="Arial" w:cs="Arial"/>
                <w:i/>
                <w:sz w:val="28"/>
                <w:szCs w:val="28"/>
              </w:rPr>
            </w:pPr>
            <w:r w:rsidRPr="00FA1ABF">
              <w:rPr>
                <w:rFonts w:ascii="Arial" w:hAnsi="Arial" w:cs="Arial"/>
                <w:i/>
                <w:sz w:val="28"/>
                <w:szCs w:val="28"/>
              </w:rPr>
              <w:t xml:space="preserve">Review of the Residents Forum </w:t>
            </w:r>
          </w:p>
        </w:tc>
      </w:tr>
      <w:tr w:rsidR="00C85F88" w:rsidRPr="00FA1ABF" w:rsidTr="001F7F68">
        <w:tc>
          <w:tcPr>
            <w:tcW w:w="750" w:type="dxa"/>
          </w:tcPr>
          <w:p w:rsidR="00C85F88" w:rsidRPr="00FA1ABF" w:rsidRDefault="00C85F88">
            <w:pPr>
              <w:rPr>
                <w:rFonts w:ascii="Arial" w:hAnsi="Arial" w:cs="Arial"/>
                <w:sz w:val="24"/>
                <w:szCs w:val="24"/>
              </w:rPr>
            </w:pPr>
          </w:p>
        </w:tc>
        <w:tc>
          <w:tcPr>
            <w:tcW w:w="8492" w:type="dxa"/>
          </w:tcPr>
          <w:p w:rsidR="00C85F88" w:rsidRPr="00FA1ABF" w:rsidRDefault="00333C7B">
            <w:pPr>
              <w:rPr>
                <w:rFonts w:ascii="Arial" w:hAnsi="Arial" w:cs="Arial"/>
                <w:sz w:val="24"/>
                <w:szCs w:val="24"/>
              </w:rPr>
            </w:pPr>
            <w:r w:rsidRPr="00FA1ABF">
              <w:rPr>
                <w:rFonts w:ascii="Arial" w:hAnsi="Arial" w:cs="Arial"/>
                <w:sz w:val="24"/>
                <w:szCs w:val="24"/>
              </w:rPr>
              <w:t xml:space="preserve">The proposal to review the Forum has been implemented and after some discussion at the Board and in the Forum, an external review was agreed and a brief approved by both the Forum and the Board. A market testing exercise was carried out and HQN selected by the panel. </w:t>
            </w:r>
            <w:r w:rsidR="000B0135">
              <w:rPr>
                <w:rFonts w:ascii="Arial" w:hAnsi="Arial" w:cs="Arial"/>
                <w:sz w:val="24"/>
                <w:szCs w:val="24"/>
              </w:rPr>
              <w:t xml:space="preserve"> The review has been carried out and it had been hoped to make a decision on the way forward at this meeting as planned. </w:t>
            </w:r>
            <w:r w:rsidRPr="00FA1ABF">
              <w:rPr>
                <w:rFonts w:ascii="Arial" w:hAnsi="Arial" w:cs="Arial"/>
                <w:sz w:val="24"/>
                <w:szCs w:val="24"/>
              </w:rPr>
              <w:t>The report is contained within a separate item on this agenda</w:t>
            </w:r>
            <w:r w:rsidR="00E40330">
              <w:rPr>
                <w:rFonts w:ascii="Arial" w:hAnsi="Arial" w:cs="Arial"/>
                <w:sz w:val="24"/>
                <w:szCs w:val="24"/>
              </w:rPr>
              <w:t>.</w:t>
            </w:r>
            <w:r w:rsidRPr="00FA1ABF">
              <w:rPr>
                <w:rFonts w:ascii="Arial" w:hAnsi="Arial" w:cs="Arial"/>
                <w:sz w:val="24"/>
                <w:szCs w:val="24"/>
              </w:rPr>
              <w:t xml:space="preserve"> </w:t>
            </w:r>
            <w:r w:rsidR="000B0135">
              <w:rPr>
                <w:rFonts w:ascii="Arial" w:hAnsi="Arial" w:cs="Arial"/>
                <w:sz w:val="24"/>
                <w:szCs w:val="24"/>
              </w:rPr>
              <w:t>However the Residents Forum which met on 9 September wi</w:t>
            </w:r>
            <w:r w:rsidR="00E40330">
              <w:rPr>
                <w:rFonts w:ascii="Arial" w:hAnsi="Arial" w:cs="Arial"/>
                <w:sz w:val="24"/>
                <w:szCs w:val="24"/>
              </w:rPr>
              <w:t xml:space="preserve">th the report on the agenda needs </w:t>
            </w:r>
            <w:r w:rsidR="000B0135">
              <w:rPr>
                <w:rFonts w:ascii="Arial" w:hAnsi="Arial" w:cs="Arial"/>
                <w:sz w:val="24"/>
                <w:szCs w:val="24"/>
              </w:rPr>
              <w:t>more time to consider the recommendations so the Board will not see the Forum’s views till November.</w:t>
            </w:r>
            <w:r w:rsidRPr="00FA1ABF">
              <w:rPr>
                <w:rFonts w:ascii="Arial" w:hAnsi="Arial" w:cs="Arial"/>
                <w:sz w:val="24"/>
                <w:szCs w:val="24"/>
              </w:rPr>
              <w:t xml:space="preserve"> </w:t>
            </w:r>
            <w:r w:rsidR="00DC7C46" w:rsidRPr="00FA1ABF">
              <w:rPr>
                <w:rFonts w:ascii="Arial" w:hAnsi="Arial" w:cs="Arial"/>
                <w:sz w:val="24"/>
                <w:szCs w:val="24"/>
              </w:rPr>
              <w:t xml:space="preserve"> </w:t>
            </w:r>
          </w:p>
          <w:p w:rsidR="00DC7C46" w:rsidRPr="00FA1ABF" w:rsidRDefault="00DC7C46">
            <w:pPr>
              <w:rPr>
                <w:rFonts w:ascii="Arial" w:hAnsi="Arial" w:cs="Arial"/>
                <w:sz w:val="24"/>
                <w:szCs w:val="24"/>
              </w:rPr>
            </w:pPr>
          </w:p>
        </w:tc>
      </w:tr>
      <w:tr w:rsidR="00C85F88" w:rsidRPr="00FA1ABF" w:rsidTr="001F7F68">
        <w:tc>
          <w:tcPr>
            <w:tcW w:w="750" w:type="dxa"/>
          </w:tcPr>
          <w:p w:rsidR="00C85F88" w:rsidRPr="00FA1ABF" w:rsidRDefault="00DC7C46">
            <w:pPr>
              <w:rPr>
                <w:rFonts w:ascii="Arial" w:hAnsi="Arial" w:cs="Arial"/>
                <w:i/>
                <w:sz w:val="28"/>
                <w:szCs w:val="28"/>
              </w:rPr>
            </w:pPr>
            <w:r w:rsidRPr="00FA1ABF">
              <w:rPr>
                <w:rFonts w:ascii="Arial" w:hAnsi="Arial" w:cs="Arial"/>
                <w:i/>
                <w:sz w:val="28"/>
                <w:szCs w:val="28"/>
              </w:rPr>
              <w:t>3.4</w:t>
            </w:r>
          </w:p>
        </w:tc>
        <w:tc>
          <w:tcPr>
            <w:tcW w:w="8492" w:type="dxa"/>
          </w:tcPr>
          <w:p w:rsidR="00C85F88" w:rsidRPr="00FA1ABF" w:rsidRDefault="00DC7C46">
            <w:pPr>
              <w:rPr>
                <w:rFonts w:ascii="Arial" w:hAnsi="Arial" w:cs="Arial"/>
                <w:i/>
                <w:sz w:val="28"/>
                <w:szCs w:val="28"/>
              </w:rPr>
            </w:pPr>
            <w:r w:rsidRPr="00FA1ABF">
              <w:rPr>
                <w:rFonts w:ascii="Arial" w:hAnsi="Arial" w:cs="Arial"/>
                <w:i/>
                <w:sz w:val="28"/>
                <w:szCs w:val="28"/>
              </w:rPr>
              <w:t xml:space="preserve">Resident Involvement policy </w:t>
            </w:r>
          </w:p>
        </w:tc>
      </w:tr>
      <w:tr w:rsidR="00C85F88" w:rsidRPr="00FA1ABF" w:rsidTr="001F7F68">
        <w:tc>
          <w:tcPr>
            <w:tcW w:w="750" w:type="dxa"/>
          </w:tcPr>
          <w:p w:rsidR="00C85F88" w:rsidRPr="00FA1ABF" w:rsidRDefault="00C85F88">
            <w:pPr>
              <w:rPr>
                <w:rFonts w:ascii="Arial" w:hAnsi="Arial" w:cs="Arial"/>
                <w:sz w:val="24"/>
                <w:szCs w:val="24"/>
              </w:rPr>
            </w:pPr>
          </w:p>
        </w:tc>
        <w:tc>
          <w:tcPr>
            <w:tcW w:w="8492" w:type="dxa"/>
          </w:tcPr>
          <w:p w:rsidR="00C85F88" w:rsidRPr="00FA1ABF" w:rsidRDefault="00DC7C46" w:rsidP="00DC7C46">
            <w:pPr>
              <w:rPr>
                <w:rFonts w:ascii="Arial" w:hAnsi="Arial" w:cs="Arial"/>
                <w:sz w:val="24"/>
                <w:szCs w:val="24"/>
              </w:rPr>
            </w:pPr>
            <w:r w:rsidRPr="00FA1ABF">
              <w:rPr>
                <w:rFonts w:ascii="Arial" w:hAnsi="Arial" w:cs="Arial"/>
                <w:sz w:val="24"/>
                <w:szCs w:val="24"/>
              </w:rPr>
              <w:t xml:space="preserve">This was approved last year and has set the basis of the resident involvement </w:t>
            </w:r>
            <w:r w:rsidR="002518D1" w:rsidRPr="00FA1ABF">
              <w:rPr>
                <w:rFonts w:ascii="Arial" w:hAnsi="Arial" w:cs="Arial"/>
                <w:sz w:val="24"/>
                <w:szCs w:val="24"/>
              </w:rPr>
              <w:t>activities over</w:t>
            </w:r>
            <w:r w:rsidRPr="00FA1ABF">
              <w:rPr>
                <w:rFonts w:ascii="Arial" w:hAnsi="Arial" w:cs="Arial"/>
                <w:sz w:val="24"/>
                <w:szCs w:val="24"/>
              </w:rPr>
              <w:t xml:space="preserve"> the last year.  The Board received a report in May which assessed the impact of </w:t>
            </w:r>
            <w:r w:rsidR="002518D1" w:rsidRPr="00FA1ABF">
              <w:rPr>
                <w:rFonts w:ascii="Arial" w:hAnsi="Arial" w:cs="Arial"/>
                <w:sz w:val="24"/>
                <w:szCs w:val="24"/>
              </w:rPr>
              <w:t>each</w:t>
            </w:r>
            <w:r w:rsidRPr="00FA1ABF">
              <w:rPr>
                <w:rFonts w:ascii="Arial" w:hAnsi="Arial" w:cs="Arial"/>
                <w:sz w:val="24"/>
                <w:szCs w:val="24"/>
              </w:rPr>
              <w:t xml:space="preserve"> of the activities mentioned in the policy. </w:t>
            </w:r>
          </w:p>
          <w:p w:rsidR="00DC7C46" w:rsidRDefault="00DC7C46" w:rsidP="00DC7C46">
            <w:pPr>
              <w:rPr>
                <w:rFonts w:ascii="Arial" w:hAnsi="Arial" w:cs="Arial"/>
                <w:sz w:val="24"/>
                <w:szCs w:val="24"/>
              </w:rPr>
            </w:pPr>
          </w:p>
          <w:p w:rsidR="001F7F68" w:rsidRDefault="001F7F68" w:rsidP="00DC7C46">
            <w:pPr>
              <w:rPr>
                <w:rFonts w:ascii="Arial" w:hAnsi="Arial" w:cs="Arial"/>
                <w:sz w:val="24"/>
                <w:szCs w:val="24"/>
              </w:rPr>
            </w:pPr>
          </w:p>
          <w:p w:rsidR="001F7F68" w:rsidRPr="00FA1ABF" w:rsidRDefault="001F7F68" w:rsidP="00DC7C46">
            <w:pPr>
              <w:rPr>
                <w:rFonts w:ascii="Arial" w:hAnsi="Arial" w:cs="Arial"/>
                <w:sz w:val="24"/>
                <w:szCs w:val="24"/>
              </w:rPr>
            </w:pPr>
          </w:p>
        </w:tc>
      </w:tr>
      <w:tr w:rsidR="00C85F88" w:rsidRPr="00FA1ABF" w:rsidTr="001F7F68">
        <w:tc>
          <w:tcPr>
            <w:tcW w:w="750" w:type="dxa"/>
          </w:tcPr>
          <w:p w:rsidR="00C85F88" w:rsidRPr="00FA1ABF" w:rsidRDefault="00DC7C46">
            <w:pPr>
              <w:rPr>
                <w:rFonts w:ascii="Arial" w:hAnsi="Arial" w:cs="Arial"/>
                <w:i/>
                <w:sz w:val="28"/>
                <w:szCs w:val="28"/>
              </w:rPr>
            </w:pPr>
            <w:r w:rsidRPr="00FA1ABF">
              <w:rPr>
                <w:rFonts w:ascii="Arial" w:hAnsi="Arial" w:cs="Arial"/>
                <w:i/>
                <w:sz w:val="28"/>
                <w:szCs w:val="28"/>
              </w:rPr>
              <w:lastRenderedPageBreak/>
              <w:t xml:space="preserve">4. </w:t>
            </w:r>
          </w:p>
        </w:tc>
        <w:tc>
          <w:tcPr>
            <w:tcW w:w="8492" w:type="dxa"/>
          </w:tcPr>
          <w:p w:rsidR="00EF4B58" w:rsidRPr="001F7F68" w:rsidRDefault="00EF4B58">
            <w:pPr>
              <w:rPr>
                <w:rFonts w:ascii="Arial" w:hAnsi="Arial" w:cs="Arial"/>
                <w:b/>
                <w:i/>
                <w:sz w:val="28"/>
                <w:szCs w:val="28"/>
              </w:rPr>
            </w:pPr>
            <w:r w:rsidRPr="001F7F68">
              <w:rPr>
                <w:rFonts w:ascii="Arial" w:hAnsi="Arial" w:cs="Arial"/>
                <w:b/>
                <w:i/>
                <w:sz w:val="28"/>
                <w:szCs w:val="28"/>
              </w:rPr>
              <w:t xml:space="preserve">Strategic priorities for the next 12 months </w:t>
            </w:r>
          </w:p>
          <w:p w:rsidR="00C85F88" w:rsidRPr="00FA1ABF" w:rsidRDefault="00C85F88">
            <w:pPr>
              <w:rPr>
                <w:rFonts w:ascii="Arial" w:hAnsi="Arial" w:cs="Arial"/>
                <w:i/>
                <w:sz w:val="28"/>
                <w:szCs w:val="28"/>
              </w:rPr>
            </w:pPr>
          </w:p>
        </w:tc>
      </w:tr>
      <w:tr w:rsidR="00EF4B58" w:rsidRPr="00FA1ABF" w:rsidTr="001F7F68">
        <w:tc>
          <w:tcPr>
            <w:tcW w:w="750" w:type="dxa"/>
          </w:tcPr>
          <w:p w:rsidR="00EF4B58" w:rsidRPr="00FA1ABF" w:rsidRDefault="00EF4B58">
            <w:pPr>
              <w:rPr>
                <w:rFonts w:ascii="Arial" w:hAnsi="Arial" w:cs="Arial"/>
                <w:sz w:val="24"/>
                <w:szCs w:val="24"/>
              </w:rPr>
            </w:pPr>
          </w:p>
        </w:tc>
        <w:tc>
          <w:tcPr>
            <w:tcW w:w="8492" w:type="dxa"/>
          </w:tcPr>
          <w:p w:rsidR="00EF4B58" w:rsidRDefault="00EF4B58">
            <w:pPr>
              <w:rPr>
                <w:rFonts w:ascii="Arial" w:hAnsi="Arial" w:cs="Arial"/>
                <w:sz w:val="24"/>
                <w:szCs w:val="24"/>
              </w:rPr>
            </w:pPr>
            <w:r w:rsidRPr="00FA1ABF">
              <w:rPr>
                <w:rFonts w:ascii="Arial" w:hAnsi="Arial" w:cs="Arial"/>
                <w:sz w:val="24"/>
                <w:szCs w:val="24"/>
              </w:rPr>
              <w:t xml:space="preserve">There are three </w:t>
            </w:r>
            <w:r w:rsidR="00C14B26" w:rsidRPr="00FA1ABF">
              <w:rPr>
                <w:rFonts w:ascii="Arial" w:hAnsi="Arial" w:cs="Arial"/>
                <w:sz w:val="24"/>
                <w:szCs w:val="24"/>
              </w:rPr>
              <w:t>pieces of work which need to be priorities for the coming year:</w:t>
            </w:r>
          </w:p>
          <w:p w:rsidR="001F7F68" w:rsidRPr="00FA1ABF" w:rsidRDefault="001F7F68">
            <w:pPr>
              <w:rPr>
                <w:rFonts w:ascii="Arial" w:hAnsi="Arial" w:cs="Arial"/>
                <w:sz w:val="24"/>
                <w:szCs w:val="24"/>
              </w:rPr>
            </w:pPr>
          </w:p>
          <w:p w:rsidR="00C14B26" w:rsidRDefault="00C14B26" w:rsidP="00C14B26">
            <w:pPr>
              <w:pStyle w:val="ListParagraph"/>
              <w:numPr>
                <w:ilvl w:val="0"/>
                <w:numId w:val="2"/>
              </w:numPr>
              <w:rPr>
                <w:rFonts w:ascii="Arial" w:hAnsi="Arial" w:cs="Arial"/>
                <w:sz w:val="24"/>
                <w:szCs w:val="24"/>
              </w:rPr>
            </w:pPr>
            <w:r w:rsidRPr="00FA1ABF">
              <w:rPr>
                <w:rFonts w:ascii="Arial" w:hAnsi="Arial" w:cs="Arial"/>
                <w:sz w:val="24"/>
                <w:szCs w:val="24"/>
              </w:rPr>
              <w:t xml:space="preserve">Implementing the Board’s decision in relation to recruiting and </w:t>
            </w:r>
            <w:r w:rsidR="001F7F68">
              <w:rPr>
                <w:rFonts w:ascii="Arial" w:hAnsi="Arial" w:cs="Arial"/>
                <w:sz w:val="24"/>
                <w:szCs w:val="24"/>
              </w:rPr>
              <w:t>supporting Tenant Board members;</w:t>
            </w:r>
          </w:p>
          <w:p w:rsidR="001F7F68" w:rsidRPr="00FA1ABF" w:rsidRDefault="001F7F68" w:rsidP="001F7F68">
            <w:pPr>
              <w:pStyle w:val="ListParagraph"/>
              <w:rPr>
                <w:rFonts w:ascii="Arial" w:hAnsi="Arial" w:cs="Arial"/>
                <w:sz w:val="24"/>
                <w:szCs w:val="24"/>
              </w:rPr>
            </w:pPr>
          </w:p>
          <w:p w:rsidR="001F7F68" w:rsidRDefault="00C14B26" w:rsidP="00C14B26">
            <w:pPr>
              <w:pStyle w:val="ListParagraph"/>
              <w:numPr>
                <w:ilvl w:val="0"/>
                <w:numId w:val="2"/>
              </w:numPr>
              <w:rPr>
                <w:rFonts w:ascii="Arial" w:hAnsi="Arial" w:cs="Arial"/>
                <w:sz w:val="24"/>
                <w:szCs w:val="24"/>
              </w:rPr>
            </w:pPr>
            <w:r w:rsidRPr="00FA1ABF">
              <w:rPr>
                <w:rFonts w:ascii="Arial" w:hAnsi="Arial" w:cs="Arial"/>
                <w:sz w:val="24"/>
                <w:szCs w:val="24"/>
              </w:rPr>
              <w:t>Implementing the recommendations which are agreed following the review of the Residents Forum</w:t>
            </w:r>
            <w:r w:rsidR="001F7F68">
              <w:rPr>
                <w:rFonts w:ascii="Arial" w:hAnsi="Arial" w:cs="Arial"/>
                <w:sz w:val="24"/>
                <w:szCs w:val="24"/>
              </w:rPr>
              <w:t>;</w:t>
            </w:r>
          </w:p>
          <w:p w:rsidR="00C14B26" w:rsidRPr="001F7F68" w:rsidRDefault="00C14B26" w:rsidP="001F7F68">
            <w:pPr>
              <w:rPr>
                <w:rFonts w:ascii="Arial" w:hAnsi="Arial" w:cs="Arial"/>
                <w:sz w:val="24"/>
                <w:szCs w:val="24"/>
              </w:rPr>
            </w:pPr>
          </w:p>
          <w:p w:rsidR="00C14B26" w:rsidRDefault="00C14B26" w:rsidP="00C14B26">
            <w:pPr>
              <w:pStyle w:val="ListParagraph"/>
              <w:numPr>
                <w:ilvl w:val="0"/>
                <w:numId w:val="2"/>
              </w:numPr>
              <w:rPr>
                <w:rFonts w:ascii="Arial" w:hAnsi="Arial" w:cs="Arial"/>
                <w:sz w:val="24"/>
                <w:szCs w:val="24"/>
              </w:rPr>
            </w:pPr>
            <w:r w:rsidRPr="00FA1ABF">
              <w:rPr>
                <w:rFonts w:ascii="Arial" w:hAnsi="Arial" w:cs="Arial"/>
                <w:sz w:val="24"/>
                <w:szCs w:val="24"/>
              </w:rPr>
              <w:t xml:space="preserve">Focus on ensuring that our co-ops especially BTC are </w:t>
            </w:r>
            <w:r w:rsidR="000B0135">
              <w:rPr>
                <w:rFonts w:ascii="Arial" w:hAnsi="Arial" w:cs="Arial"/>
                <w:sz w:val="24"/>
                <w:szCs w:val="24"/>
              </w:rPr>
              <w:t xml:space="preserve">operating in a way which allows Hexagon to maintain </w:t>
            </w:r>
            <w:r w:rsidRPr="00FA1ABF">
              <w:rPr>
                <w:rFonts w:ascii="Arial" w:hAnsi="Arial" w:cs="Arial"/>
                <w:sz w:val="24"/>
                <w:szCs w:val="24"/>
              </w:rPr>
              <w:t>complian</w:t>
            </w:r>
            <w:r w:rsidR="000B0135">
              <w:rPr>
                <w:rFonts w:ascii="Arial" w:hAnsi="Arial" w:cs="Arial"/>
                <w:sz w:val="24"/>
                <w:szCs w:val="24"/>
              </w:rPr>
              <w:t>ce</w:t>
            </w:r>
            <w:r w:rsidRPr="00FA1ABF">
              <w:rPr>
                <w:rFonts w:ascii="Arial" w:hAnsi="Arial" w:cs="Arial"/>
                <w:sz w:val="24"/>
                <w:szCs w:val="24"/>
              </w:rPr>
              <w:t xml:space="preserve"> with the regulatory code, not only in relation to safety compliance but also in relation to governance issues. </w:t>
            </w:r>
          </w:p>
          <w:p w:rsidR="001F7F68" w:rsidRPr="001F7F68" w:rsidRDefault="001F7F68" w:rsidP="001F7F68">
            <w:pPr>
              <w:rPr>
                <w:rFonts w:ascii="Arial" w:hAnsi="Arial" w:cs="Arial"/>
                <w:sz w:val="24"/>
                <w:szCs w:val="24"/>
              </w:rPr>
            </w:pPr>
          </w:p>
          <w:p w:rsidR="00FA1ABF" w:rsidRDefault="003D3703" w:rsidP="003D3703">
            <w:pPr>
              <w:pStyle w:val="ListParagraph"/>
              <w:ind w:left="360"/>
              <w:rPr>
                <w:rFonts w:ascii="Arial" w:hAnsi="Arial" w:cs="Arial"/>
                <w:sz w:val="24"/>
                <w:szCs w:val="24"/>
              </w:rPr>
            </w:pPr>
            <w:r>
              <w:rPr>
                <w:rFonts w:ascii="Arial" w:hAnsi="Arial" w:cs="Arial"/>
                <w:sz w:val="24"/>
                <w:szCs w:val="24"/>
              </w:rPr>
              <w:t xml:space="preserve">In addition, if the Board make decisions on the issues raised at the Away-day in relation to resident involvement, the Resident Involvement team will work on the implementation. </w:t>
            </w:r>
          </w:p>
          <w:p w:rsidR="003D3703" w:rsidRPr="00FA1ABF" w:rsidRDefault="003D3703" w:rsidP="003D3703">
            <w:pPr>
              <w:pStyle w:val="ListParagraph"/>
              <w:ind w:left="360"/>
              <w:rPr>
                <w:rFonts w:ascii="Arial" w:hAnsi="Arial" w:cs="Arial"/>
                <w:sz w:val="24"/>
                <w:szCs w:val="24"/>
              </w:rPr>
            </w:pPr>
          </w:p>
        </w:tc>
      </w:tr>
      <w:tr w:rsidR="00EF4B58" w:rsidRPr="00FA1ABF" w:rsidTr="001F7F68">
        <w:tc>
          <w:tcPr>
            <w:tcW w:w="750" w:type="dxa"/>
          </w:tcPr>
          <w:p w:rsidR="00EF4B58" w:rsidRPr="00FA1ABF" w:rsidRDefault="00C14B26">
            <w:pPr>
              <w:rPr>
                <w:rFonts w:ascii="Arial" w:hAnsi="Arial" w:cs="Arial"/>
                <w:i/>
                <w:sz w:val="28"/>
                <w:szCs w:val="28"/>
              </w:rPr>
            </w:pPr>
            <w:r w:rsidRPr="00FA1ABF">
              <w:rPr>
                <w:rFonts w:ascii="Arial" w:hAnsi="Arial" w:cs="Arial"/>
                <w:i/>
                <w:sz w:val="28"/>
                <w:szCs w:val="28"/>
              </w:rPr>
              <w:t xml:space="preserve">5. </w:t>
            </w:r>
          </w:p>
        </w:tc>
        <w:tc>
          <w:tcPr>
            <w:tcW w:w="8492" w:type="dxa"/>
          </w:tcPr>
          <w:p w:rsidR="00EF4B58" w:rsidRPr="001F7F68" w:rsidRDefault="00EF4B58" w:rsidP="00EF4B58">
            <w:pPr>
              <w:rPr>
                <w:rFonts w:ascii="Arial" w:hAnsi="Arial" w:cs="Arial"/>
                <w:b/>
                <w:i/>
                <w:sz w:val="28"/>
                <w:szCs w:val="28"/>
              </w:rPr>
            </w:pPr>
            <w:r w:rsidRPr="001F7F68">
              <w:rPr>
                <w:rFonts w:ascii="Arial" w:hAnsi="Arial" w:cs="Arial"/>
                <w:b/>
                <w:i/>
                <w:sz w:val="28"/>
                <w:szCs w:val="28"/>
              </w:rPr>
              <w:t>Method of selecting Tenant Board members</w:t>
            </w:r>
          </w:p>
          <w:p w:rsidR="001F7F68" w:rsidRPr="00FA1ABF" w:rsidRDefault="001F7F68" w:rsidP="00EF4B58">
            <w:pPr>
              <w:rPr>
                <w:rFonts w:ascii="Arial" w:hAnsi="Arial" w:cs="Arial"/>
                <w:i/>
                <w:sz w:val="28"/>
                <w:szCs w:val="28"/>
              </w:rPr>
            </w:pPr>
          </w:p>
        </w:tc>
      </w:tr>
      <w:tr w:rsidR="00C85F88" w:rsidRPr="00FA1ABF" w:rsidTr="001F7F68">
        <w:tc>
          <w:tcPr>
            <w:tcW w:w="750" w:type="dxa"/>
          </w:tcPr>
          <w:p w:rsidR="00C85F88" w:rsidRPr="00FA1ABF" w:rsidRDefault="00EF4B58" w:rsidP="00EF4B58">
            <w:pPr>
              <w:rPr>
                <w:rFonts w:ascii="Arial" w:hAnsi="Arial" w:cs="Arial"/>
                <w:sz w:val="24"/>
                <w:szCs w:val="24"/>
              </w:rPr>
            </w:pPr>
            <w:r w:rsidRPr="00FA1ABF">
              <w:rPr>
                <w:rFonts w:ascii="Arial" w:hAnsi="Arial" w:cs="Arial"/>
                <w:sz w:val="24"/>
                <w:szCs w:val="24"/>
              </w:rPr>
              <w:t>5</w:t>
            </w:r>
            <w:r w:rsidR="00DC7C46" w:rsidRPr="00FA1ABF">
              <w:rPr>
                <w:rFonts w:ascii="Arial" w:hAnsi="Arial" w:cs="Arial"/>
                <w:sz w:val="24"/>
                <w:szCs w:val="24"/>
              </w:rPr>
              <w:t xml:space="preserve">.1 </w:t>
            </w:r>
          </w:p>
        </w:tc>
        <w:tc>
          <w:tcPr>
            <w:tcW w:w="8492" w:type="dxa"/>
          </w:tcPr>
          <w:p w:rsidR="00C85F88" w:rsidRDefault="00DC7C46" w:rsidP="00EF4B58">
            <w:pPr>
              <w:rPr>
                <w:rFonts w:ascii="Arial" w:hAnsi="Arial" w:cs="Arial"/>
                <w:sz w:val="24"/>
                <w:szCs w:val="24"/>
              </w:rPr>
            </w:pPr>
            <w:r w:rsidRPr="00FA1ABF">
              <w:rPr>
                <w:rFonts w:ascii="Arial" w:hAnsi="Arial" w:cs="Arial"/>
                <w:sz w:val="24"/>
                <w:szCs w:val="24"/>
              </w:rPr>
              <w:t xml:space="preserve">This issue was not one of the strategic matters coming out of last year’s review but it has been an important governance issue discussed at the Board and at the away day during the year. The need to comply with a suitable code of governance is a requirement under the HCA’s regulatory code and Hexagon has decided that it wishes to use the NHF’s code. This places emphasis on assessing the skills of Board members prior to selection and our current method of recruiting Tenant Board Members does not meet the requirements. The Board agreed that a panel of Tenant Board Members should be tasked with looking into this issue and coming up with some alternatives. This was done and Rosalind Watson’s presentation at the </w:t>
            </w:r>
            <w:r w:rsidR="002518D1" w:rsidRPr="00FA1ABF">
              <w:rPr>
                <w:rFonts w:ascii="Arial" w:hAnsi="Arial" w:cs="Arial"/>
                <w:sz w:val="24"/>
                <w:szCs w:val="24"/>
              </w:rPr>
              <w:t>Away day</w:t>
            </w:r>
            <w:r w:rsidRPr="00FA1ABF">
              <w:rPr>
                <w:rFonts w:ascii="Arial" w:hAnsi="Arial" w:cs="Arial"/>
                <w:sz w:val="24"/>
                <w:szCs w:val="24"/>
              </w:rPr>
              <w:t xml:space="preserve"> in early </w:t>
            </w:r>
            <w:r w:rsidR="002518D1" w:rsidRPr="00FA1ABF">
              <w:rPr>
                <w:rFonts w:ascii="Arial" w:hAnsi="Arial" w:cs="Arial"/>
                <w:sz w:val="24"/>
                <w:szCs w:val="24"/>
              </w:rPr>
              <w:t>September provided</w:t>
            </w:r>
            <w:r w:rsidR="00EF4B58" w:rsidRPr="00FA1ABF">
              <w:rPr>
                <w:rFonts w:ascii="Arial" w:hAnsi="Arial" w:cs="Arial"/>
                <w:sz w:val="24"/>
                <w:szCs w:val="24"/>
              </w:rPr>
              <w:t xml:space="preserve"> the Board with “food for thought” although no specific recommendations were made. There is therefore a need to do more work on this in the coming few months so that new arrangements can be put in place for next year. </w:t>
            </w:r>
          </w:p>
          <w:p w:rsidR="001F7F68" w:rsidRPr="00FA1ABF" w:rsidRDefault="001F7F68" w:rsidP="00EF4B58">
            <w:pPr>
              <w:rPr>
                <w:rFonts w:ascii="Arial" w:hAnsi="Arial" w:cs="Arial"/>
                <w:sz w:val="24"/>
                <w:szCs w:val="24"/>
              </w:rPr>
            </w:pPr>
          </w:p>
          <w:p w:rsidR="00EF4B58" w:rsidRPr="00FA1ABF" w:rsidRDefault="00EF4B58" w:rsidP="00EF4B58">
            <w:pPr>
              <w:rPr>
                <w:rFonts w:ascii="Arial" w:hAnsi="Arial" w:cs="Arial"/>
                <w:sz w:val="24"/>
                <w:szCs w:val="24"/>
              </w:rPr>
            </w:pPr>
            <w:r w:rsidRPr="00FA1ABF">
              <w:rPr>
                <w:rFonts w:ascii="Arial" w:hAnsi="Arial" w:cs="Arial"/>
                <w:sz w:val="24"/>
                <w:szCs w:val="24"/>
              </w:rPr>
              <w:t xml:space="preserve">This work is essential to ensure that Hexagon complies with the regulatory code in future. </w:t>
            </w:r>
          </w:p>
          <w:p w:rsidR="00EF4B58" w:rsidRPr="00FA1ABF" w:rsidRDefault="00EF4B58" w:rsidP="00EF4B58">
            <w:pPr>
              <w:rPr>
                <w:rFonts w:ascii="Arial" w:hAnsi="Arial" w:cs="Arial"/>
                <w:sz w:val="24"/>
                <w:szCs w:val="24"/>
              </w:rPr>
            </w:pPr>
          </w:p>
          <w:p w:rsidR="00EF4B58" w:rsidRPr="00FA1ABF" w:rsidRDefault="00EF4B58" w:rsidP="00EF4B58">
            <w:pPr>
              <w:rPr>
                <w:rFonts w:ascii="Arial" w:hAnsi="Arial" w:cs="Arial"/>
                <w:b/>
                <w:sz w:val="24"/>
                <w:szCs w:val="24"/>
              </w:rPr>
            </w:pPr>
            <w:r w:rsidRPr="00FA1ABF">
              <w:rPr>
                <w:rFonts w:ascii="Arial" w:hAnsi="Arial" w:cs="Arial"/>
                <w:b/>
                <w:sz w:val="24"/>
                <w:szCs w:val="24"/>
              </w:rPr>
              <w:t xml:space="preserve">It is therefore recommended that, once the Board has made a decision on the method of recruitment for TBMs, the implementation becomes a strategic priority for the Resident Involvement team supported by Directors’ Group. </w:t>
            </w:r>
          </w:p>
          <w:p w:rsidR="00EF4B58" w:rsidRDefault="00EF4B58" w:rsidP="00EF4B58">
            <w:pPr>
              <w:rPr>
                <w:rFonts w:ascii="Arial" w:hAnsi="Arial" w:cs="Arial"/>
                <w:b/>
                <w:sz w:val="24"/>
                <w:szCs w:val="24"/>
              </w:rPr>
            </w:pPr>
          </w:p>
          <w:p w:rsidR="001F7F68" w:rsidRDefault="001F7F68" w:rsidP="00EF4B58">
            <w:pPr>
              <w:rPr>
                <w:rFonts w:ascii="Arial" w:hAnsi="Arial" w:cs="Arial"/>
                <w:b/>
                <w:sz w:val="24"/>
                <w:szCs w:val="24"/>
              </w:rPr>
            </w:pPr>
          </w:p>
          <w:p w:rsidR="001F7F68" w:rsidRDefault="001F7F68" w:rsidP="00EF4B58">
            <w:pPr>
              <w:rPr>
                <w:rFonts w:ascii="Arial" w:hAnsi="Arial" w:cs="Arial"/>
                <w:b/>
                <w:sz w:val="24"/>
                <w:szCs w:val="24"/>
              </w:rPr>
            </w:pPr>
          </w:p>
          <w:p w:rsidR="001F7F68" w:rsidRDefault="001F7F68" w:rsidP="00EF4B58">
            <w:pPr>
              <w:rPr>
                <w:rFonts w:ascii="Arial" w:hAnsi="Arial" w:cs="Arial"/>
                <w:b/>
                <w:sz w:val="24"/>
                <w:szCs w:val="24"/>
              </w:rPr>
            </w:pPr>
          </w:p>
          <w:p w:rsidR="001F7F68" w:rsidRPr="00FA1ABF" w:rsidRDefault="001F7F68" w:rsidP="00EF4B58">
            <w:pPr>
              <w:rPr>
                <w:rFonts w:ascii="Arial" w:hAnsi="Arial" w:cs="Arial"/>
                <w:b/>
                <w:sz w:val="24"/>
                <w:szCs w:val="24"/>
              </w:rPr>
            </w:pPr>
          </w:p>
        </w:tc>
      </w:tr>
      <w:tr w:rsidR="00C85F88" w:rsidRPr="00FA1ABF" w:rsidTr="001F7F68">
        <w:tc>
          <w:tcPr>
            <w:tcW w:w="750" w:type="dxa"/>
          </w:tcPr>
          <w:p w:rsidR="00C85F88" w:rsidRPr="00FA1ABF" w:rsidRDefault="00C14B26">
            <w:pPr>
              <w:rPr>
                <w:rFonts w:ascii="Arial" w:hAnsi="Arial" w:cs="Arial"/>
                <w:i/>
                <w:sz w:val="28"/>
                <w:szCs w:val="28"/>
              </w:rPr>
            </w:pPr>
            <w:r w:rsidRPr="00FA1ABF">
              <w:rPr>
                <w:rFonts w:ascii="Arial" w:hAnsi="Arial" w:cs="Arial"/>
                <w:i/>
                <w:sz w:val="28"/>
                <w:szCs w:val="28"/>
              </w:rPr>
              <w:lastRenderedPageBreak/>
              <w:t>6</w:t>
            </w:r>
            <w:r w:rsidR="00EF4B58" w:rsidRPr="00FA1ABF">
              <w:rPr>
                <w:rFonts w:ascii="Arial" w:hAnsi="Arial" w:cs="Arial"/>
                <w:i/>
                <w:sz w:val="28"/>
                <w:szCs w:val="28"/>
              </w:rPr>
              <w:t>.</w:t>
            </w:r>
          </w:p>
        </w:tc>
        <w:tc>
          <w:tcPr>
            <w:tcW w:w="8492" w:type="dxa"/>
          </w:tcPr>
          <w:p w:rsidR="00C85F88" w:rsidRPr="001F7F68" w:rsidRDefault="00C14B26">
            <w:pPr>
              <w:rPr>
                <w:rFonts w:ascii="Arial" w:hAnsi="Arial" w:cs="Arial"/>
                <w:b/>
                <w:i/>
                <w:sz w:val="28"/>
                <w:szCs w:val="28"/>
              </w:rPr>
            </w:pPr>
            <w:r w:rsidRPr="001F7F68">
              <w:rPr>
                <w:rFonts w:ascii="Arial" w:hAnsi="Arial" w:cs="Arial"/>
                <w:b/>
                <w:i/>
                <w:sz w:val="28"/>
                <w:szCs w:val="28"/>
              </w:rPr>
              <w:t xml:space="preserve">Follow up to the Residents’ Forum review </w:t>
            </w:r>
          </w:p>
          <w:p w:rsidR="001F7F68" w:rsidRPr="00FA1ABF" w:rsidRDefault="001F7F68">
            <w:pPr>
              <w:rPr>
                <w:rFonts w:ascii="Arial" w:hAnsi="Arial" w:cs="Arial"/>
                <w:i/>
                <w:sz w:val="28"/>
                <w:szCs w:val="28"/>
              </w:rPr>
            </w:pPr>
          </w:p>
        </w:tc>
      </w:tr>
      <w:tr w:rsidR="00C85F88" w:rsidRPr="00FA1ABF" w:rsidTr="001F7F68">
        <w:tc>
          <w:tcPr>
            <w:tcW w:w="750" w:type="dxa"/>
          </w:tcPr>
          <w:p w:rsidR="00C85F88" w:rsidRPr="00FA1ABF" w:rsidRDefault="00C85F88">
            <w:pPr>
              <w:rPr>
                <w:rFonts w:ascii="Arial" w:hAnsi="Arial" w:cs="Arial"/>
                <w:sz w:val="24"/>
                <w:szCs w:val="24"/>
              </w:rPr>
            </w:pPr>
          </w:p>
        </w:tc>
        <w:tc>
          <w:tcPr>
            <w:tcW w:w="8492" w:type="dxa"/>
          </w:tcPr>
          <w:p w:rsidR="00C85F88" w:rsidRPr="00FA1ABF" w:rsidRDefault="00C14B26" w:rsidP="00CC5745">
            <w:pPr>
              <w:rPr>
                <w:rFonts w:ascii="Arial" w:hAnsi="Arial" w:cs="Arial"/>
                <w:sz w:val="24"/>
                <w:szCs w:val="24"/>
              </w:rPr>
            </w:pPr>
            <w:r w:rsidRPr="00FA1ABF">
              <w:rPr>
                <w:rFonts w:ascii="Arial" w:hAnsi="Arial" w:cs="Arial"/>
                <w:sz w:val="24"/>
                <w:szCs w:val="24"/>
              </w:rPr>
              <w:t xml:space="preserve">Assuming that most of the recommendations of the review are agreed, there will be work to do </w:t>
            </w:r>
            <w:r w:rsidR="00CC5745" w:rsidRPr="00FA1ABF">
              <w:rPr>
                <w:rFonts w:ascii="Arial" w:hAnsi="Arial" w:cs="Arial"/>
                <w:sz w:val="24"/>
                <w:szCs w:val="24"/>
              </w:rPr>
              <w:t xml:space="preserve">, e.g. </w:t>
            </w:r>
            <w:r w:rsidRPr="00FA1ABF">
              <w:rPr>
                <w:rFonts w:ascii="Arial" w:hAnsi="Arial" w:cs="Arial"/>
                <w:sz w:val="24"/>
                <w:szCs w:val="24"/>
              </w:rPr>
              <w:t>to draw up a draft constitution and standing orders and devise a suitable induction and training prog</w:t>
            </w:r>
            <w:r w:rsidR="00CC5745" w:rsidRPr="00FA1ABF">
              <w:rPr>
                <w:rFonts w:ascii="Arial" w:hAnsi="Arial" w:cs="Arial"/>
                <w:sz w:val="24"/>
                <w:szCs w:val="24"/>
              </w:rPr>
              <w:t xml:space="preserve">ramme for members and officers of the new Forum. </w:t>
            </w:r>
          </w:p>
          <w:p w:rsidR="00CC5745" w:rsidRPr="00FA1ABF" w:rsidRDefault="008220DD" w:rsidP="00CC5745">
            <w:pPr>
              <w:rPr>
                <w:rFonts w:ascii="Arial" w:hAnsi="Arial" w:cs="Arial"/>
                <w:sz w:val="24"/>
                <w:szCs w:val="24"/>
              </w:rPr>
            </w:pPr>
            <w:r w:rsidRPr="00FA1ABF">
              <w:rPr>
                <w:rFonts w:ascii="Arial" w:hAnsi="Arial" w:cs="Arial"/>
                <w:sz w:val="24"/>
                <w:szCs w:val="24"/>
              </w:rPr>
              <w:t xml:space="preserve">Therefore </w:t>
            </w:r>
          </w:p>
          <w:p w:rsidR="00CC5745" w:rsidRPr="00FA1ABF" w:rsidRDefault="00CC5745" w:rsidP="00CC5745">
            <w:pPr>
              <w:rPr>
                <w:rFonts w:ascii="Arial" w:hAnsi="Arial" w:cs="Arial"/>
                <w:b/>
                <w:sz w:val="24"/>
                <w:szCs w:val="24"/>
              </w:rPr>
            </w:pPr>
            <w:r w:rsidRPr="00FA1ABF">
              <w:rPr>
                <w:rFonts w:ascii="Arial" w:hAnsi="Arial" w:cs="Arial"/>
                <w:b/>
                <w:sz w:val="24"/>
                <w:szCs w:val="24"/>
              </w:rPr>
              <w:t xml:space="preserve">It is recommended that the implementation of the Board’s decisions on the Residents’ Forum review should become a strategic priority for the Resident Involvement team. </w:t>
            </w:r>
          </w:p>
          <w:p w:rsidR="00CC5745" w:rsidRPr="00FA1ABF" w:rsidRDefault="00CC5745" w:rsidP="00CC5745">
            <w:pPr>
              <w:rPr>
                <w:rFonts w:ascii="Arial" w:hAnsi="Arial" w:cs="Arial"/>
                <w:b/>
                <w:sz w:val="24"/>
                <w:szCs w:val="24"/>
              </w:rPr>
            </w:pPr>
          </w:p>
        </w:tc>
      </w:tr>
      <w:tr w:rsidR="00C85F88" w:rsidRPr="00FA1ABF" w:rsidTr="001F7F68">
        <w:tc>
          <w:tcPr>
            <w:tcW w:w="750" w:type="dxa"/>
          </w:tcPr>
          <w:p w:rsidR="00C85F88" w:rsidRPr="00FA1ABF" w:rsidRDefault="00CC5745">
            <w:pPr>
              <w:rPr>
                <w:rFonts w:ascii="Arial" w:hAnsi="Arial" w:cs="Arial"/>
                <w:i/>
                <w:sz w:val="28"/>
                <w:szCs w:val="28"/>
              </w:rPr>
            </w:pPr>
            <w:r w:rsidRPr="00FA1ABF">
              <w:rPr>
                <w:rFonts w:ascii="Arial" w:hAnsi="Arial" w:cs="Arial"/>
                <w:i/>
                <w:sz w:val="28"/>
                <w:szCs w:val="28"/>
              </w:rPr>
              <w:t>7.</w:t>
            </w:r>
          </w:p>
        </w:tc>
        <w:tc>
          <w:tcPr>
            <w:tcW w:w="8492" w:type="dxa"/>
          </w:tcPr>
          <w:p w:rsidR="001F7F68" w:rsidRPr="001F7F68" w:rsidRDefault="00CC5745">
            <w:pPr>
              <w:rPr>
                <w:rFonts w:ascii="Arial" w:hAnsi="Arial" w:cs="Arial"/>
                <w:b/>
                <w:i/>
                <w:sz w:val="28"/>
                <w:szCs w:val="28"/>
              </w:rPr>
            </w:pPr>
            <w:r w:rsidRPr="001F7F68">
              <w:rPr>
                <w:rFonts w:ascii="Arial" w:hAnsi="Arial" w:cs="Arial"/>
                <w:b/>
                <w:i/>
                <w:sz w:val="28"/>
                <w:szCs w:val="28"/>
              </w:rPr>
              <w:t>Ensuring that our co-ops are compliant with the regulatory code</w:t>
            </w:r>
          </w:p>
          <w:p w:rsidR="00C85F88" w:rsidRPr="00FA1ABF" w:rsidRDefault="00C85F88">
            <w:pPr>
              <w:rPr>
                <w:rFonts w:ascii="Arial" w:hAnsi="Arial" w:cs="Arial"/>
                <w:i/>
                <w:sz w:val="28"/>
                <w:szCs w:val="28"/>
              </w:rPr>
            </w:pPr>
          </w:p>
        </w:tc>
      </w:tr>
      <w:tr w:rsidR="00C85F88" w:rsidRPr="00FA1ABF" w:rsidTr="001F7F68">
        <w:tc>
          <w:tcPr>
            <w:tcW w:w="750" w:type="dxa"/>
          </w:tcPr>
          <w:p w:rsidR="00C85F88" w:rsidRPr="00FA1ABF" w:rsidRDefault="00C85F88">
            <w:pPr>
              <w:rPr>
                <w:rFonts w:ascii="Arial" w:hAnsi="Arial" w:cs="Arial"/>
                <w:sz w:val="24"/>
                <w:szCs w:val="24"/>
              </w:rPr>
            </w:pPr>
          </w:p>
        </w:tc>
        <w:tc>
          <w:tcPr>
            <w:tcW w:w="8492" w:type="dxa"/>
          </w:tcPr>
          <w:p w:rsidR="00C85F88" w:rsidRPr="00FA1ABF" w:rsidRDefault="00CC5745" w:rsidP="008220DD">
            <w:pPr>
              <w:rPr>
                <w:rFonts w:ascii="Arial" w:hAnsi="Arial" w:cs="Arial"/>
                <w:sz w:val="24"/>
                <w:szCs w:val="24"/>
              </w:rPr>
            </w:pPr>
            <w:r w:rsidRPr="00FA1ABF">
              <w:rPr>
                <w:rFonts w:ascii="Arial" w:hAnsi="Arial" w:cs="Arial"/>
                <w:sz w:val="24"/>
                <w:szCs w:val="24"/>
              </w:rPr>
              <w:t xml:space="preserve">There needs to be continued focus on compliance within the co-ops as has been demonstrated by the recent need for high level intervention to get BTC back on track. </w:t>
            </w:r>
            <w:r w:rsidR="008220DD" w:rsidRPr="00FA1ABF">
              <w:rPr>
                <w:rFonts w:ascii="Arial" w:hAnsi="Arial" w:cs="Arial"/>
                <w:sz w:val="24"/>
                <w:szCs w:val="24"/>
              </w:rPr>
              <w:t>There is a separate brief report about th</w:t>
            </w:r>
            <w:r w:rsidR="003D3703">
              <w:rPr>
                <w:rFonts w:ascii="Arial" w:hAnsi="Arial" w:cs="Arial"/>
                <w:sz w:val="24"/>
                <w:szCs w:val="24"/>
              </w:rPr>
              <w:t>e BTC</w:t>
            </w:r>
            <w:r w:rsidR="008220DD" w:rsidRPr="00FA1ABF">
              <w:rPr>
                <w:rFonts w:ascii="Arial" w:hAnsi="Arial" w:cs="Arial"/>
                <w:sz w:val="24"/>
                <w:szCs w:val="24"/>
              </w:rPr>
              <w:t xml:space="preserve"> issue</w:t>
            </w:r>
            <w:r w:rsidR="003D3703">
              <w:rPr>
                <w:rFonts w:ascii="Arial" w:hAnsi="Arial" w:cs="Arial"/>
                <w:sz w:val="24"/>
                <w:szCs w:val="24"/>
              </w:rPr>
              <w:t>s</w:t>
            </w:r>
            <w:r w:rsidR="008220DD" w:rsidRPr="00FA1ABF">
              <w:rPr>
                <w:rFonts w:ascii="Arial" w:hAnsi="Arial" w:cs="Arial"/>
                <w:sz w:val="24"/>
                <w:szCs w:val="24"/>
              </w:rPr>
              <w:t xml:space="preserve"> on the agenda. T</w:t>
            </w:r>
            <w:r w:rsidRPr="00FA1ABF">
              <w:rPr>
                <w:rFonts w:ascii="Arial" w:hAnsi="Arial" w:cs="Arial"/>
                <w:sz w:val="24"/>
                <w:szCs w:val="24"/>
              </w:rPr>
              <w:t xml:space="preserve">he emphasis on safety issues with gas checks and Fire Risk Assessment reviews should be continued with close monitoring and immediate action on any </w:t>
            </w:r>
            <w:r w:rsidR="008220DD" w:rsidRPr="00FA1ABF">
              <w:rPr>
                <w:rFonts w:ascii="Arial" w:hAnsi="Arial" w:cs="Arial"/>
                <w:sz w:val="24"/>
                <w:szCs w:val="24"/>
              </w:rPr>
              <w:t xml:space="preserve">areas of </w:t>
            </w:r>
            <w:r w:rsidRPr="00FA1ABF">
              <w:rPr>
                <w:rFonts w:ascii="Arial" w:hAnsi="Arial" w:cs="Arial"/>
                <w:sz w:val="24"/>
                <w:szCs w:val="24"/>
              </w:rPr>
              <w:t xml:space="preserve">non-compliance. </w:t>
            </w:r>
            <w:r w:rsidR="008220DD" w:rsidRPr="00FA1ABF">
              <w:rPr>
                <w:rFonts w:ascii="Arial" w:hAnsi="Arial" w:cs="Arial"/>
                <w:sz w:val="24"/>
                <w:szCs w:val="24"/>
              </w:rPr>
              <w:t xml:space="preserve">In relation to BTC, the co-op has now agreed to our input </w:t>
            </w:r>
            <w:r w:rsidRPr="00FA1ABF">
              <w:rPr>
                <w:rFonts w:ascii="Arial" w:hAnsi="Arial" w:cs="Arial"/>
                <w:sz w:val="24"/>
                <w:szCs w:val="24"/>
              </w:rPr>
              <w:t>in</w:t>
            </w:r>
            <w:r w:rsidR="008220DD" w:rsidRPr="00FA1ABF">
              <w:rPr>
                <w:rFonts w:ascii="Arial" w:hAnsi="Arial" w:cs="Arial"/>
                <w:sz w:val="24"/>
                <w:szCs w:val="24"/>
              </w:rPr>
              <w:t>to</w:t>
            </w:r>
            <w:r w:rsidRPr="00FA1ABF">
              <w:rPr>
                <w:rFonts w:ascii="Arial" w:hAnsi="Arial" w:cs="Arial"/>
                <w:sz w:val="24"/>
                <w:szCs w:val="24"/>
              </w:rPr>
              <w:t xml:space="preserve"> the external reviews of alleged impropriety and </w:t>
            </w:r>
            <w:r w:rsidR="002518D1" w:rsidRPr="00FA1ABF">
              <w:rPr>
                <w:rFonts w:ascii="Arial" w:hAnsi="Arial" w:cs="Arial"/>
                <w:sz w:val="24"/>
                <w:szCs w:val="24"/>
              </w:rPr>
              <w:t>governance and</w:t>
            </w:r>
            <w:r w:rsidR="008220DD" w:rsidRPr="00FA1ABF">
              <w:rPr>
                <w:rFonts w:ascii="Arial" w:hAnsi="Arial" w:cs="Arial"/>
                <w:sz w:val="24"/>
                <w:szCs w:val="24"/>
              </w:rPr>
              <w:t xml:space="preserve"> so we will need to be involved during the year in ensuring these are followed up properly.</w:t>
            </w:r>
          </w:p>
          <w:p w:rsidR="008220DD" w:rsidRPr="00FA1ABF" w:rsidRDefault="008220DD" w:rsidP="008220DD">
            <w:pPr>
              <w:rPr>
                <w:rFonts w:ascii="Arial" w:hAnsi="Arial" w:cs="Arial"/>
                <w:sz w:val="24"/>
                <w:szCs w:val="24"/>
              </w:rPr>
            </w:pPr>
            <w:r w:rsidRPr="00FA1ABF">
              <w:rPr>
                <w:rFonts w:ascii="Arial" w:hAnsi="Arial" w:cs="Arial"/>
                <w:sz w:val="24"/>
                <w:szCs w:val="24"/>
              </w:rPr>
              <w:t>Therefore</w:t>
            </w:r>
          </w:p>
          <w:p w:rsidR="008220DD" w:rsidRPr="00FA1ABF" w:rsidRDefault="008220DD" w:rsidP="008220DD">
            <w:pPr>
              <w:rPr>
                <w:rFonts w:ascii="Arial" w:hAnsi="Arial" w:cs="Arial"/>
                <w:b/>
                <w:sz w:val="24"/>
                <w:szCs w:val="24"/>
              </w:rPr>
            </w:pPr>
            <w:r w:rsidRPr="00FA1ABF">
              <w:rPr>
                <w:rFonts w:ascii="Arial" w:hAnsi="Arial" w:cs="Arial"/>
                <w:b/>
                <w:sz w:val="24"/>
                <w:szCs w:val="24"/>
              </w:rPr>
              <w:t xml:space="preserve">It is recommended that the Resident Involvement team continue to monitor the co-ops closely in relation to compliance with the regulatory code. </w:t>
            </w:r>
          </w:p>
          <w:p w:rsidR="008220DD" w:rsidRPr="00FA1ABF" w:rsidRDefault="008220DD" w:rsidP="008220DD">
            <w:pPr>
              <w:rPr>
                <w:rFonts w:ascii="Arial" w:hAnsi="Arial" w:cs="Arial"/>
                <w:sz w:val="24"/>
                <w:szCs w:val="24"/>
              </w:rPr>
            </w:pPr>
          </w:p>
        </w:tc>
      </w:tr>
      <w:tr w:rsidR="00C85F88" w:rsidRPr="00FA1ABF" w:rsidTr="001F7F68">
        <w:tc>
          <w:tcPr>
            <w:tcW w:w="750" w:type="dxa"/>
          </w:tcPr>
          <w:p w:rsidR="00C85F88" w:rsidRPr="00FA1ABF" w:rsidRDefault="008220DD">
            <w:pPr>
              <w:rPr>
                <w:rFonts w:ascii="Arial" w:hAnsi="Arial" w:cs="Arial"/>
                <w:i/>
                <w:sz w:val="28"/>
                <w:szCs w:val="28"/>
              </w:rPr>
            </w:pPr>
            <w:r w:rsidRPr="00FA1ABF">
              <w:rPr>
                <w:rFonts w:ascii="Arial" w:hAnsi="Arial" w:cs="Arial"/>
                <w:i/>
                <w:sz w:val="28"/>
                <w:szCs w:val="28"/>
              </w:rPr>
              <w:t xml:space="preserve">8. </w:t>
            </w:r>
          </w:p>
        </w:tc>
        <w:tc>
          <w:tcPr>
            <w:tcW w:w="8492" w:type="dxa"/>
          </w:tcPr>
          <w:p w:rsidR="00C85F88" w:rsidRDefault="008220DD">
            <w:pPr>
              <w:rPr>
                <w:rFonts w:ascii="Arial" w:hAnsi="Arial" w:cs="Arial"/>
                <w:b/>
                <w:i/>
                <w:sz w:val="28"/>
                <w:szCs w:val="28"/>
              </w:rPr>
            </w:pPr>
            <w:r w:rsidRPr="001F7F68">
              <w:rPr>
                <w:rFonts w:ascii="Arial" w:hAnsi="Arial" w:cs="Arial"/>
                <w:b/>
                <w:i/>
                <w:sz w:val="28"/>
                <w:szCs w:val="28"/>
              </w:rPr>
              <w:t xml:space="preserve">Responding to possible policy changes arising from the Away-day </w:t>
            </w:r>
          </w:p>
          <w:p w:rsidR="001F7F68" w:rsidRPr="001F7F68" w:rsidRDefault="001F7F68">
            <w:pPr>
              <w:rPr>
                <w:rFonts w:ascii="Arial" w:hAnsi="Arial" w:cs="Arial"/>
                <w:b/>
                <w:i/>
                <w:sz w:val="28"/>
                <w:szCs w:val="28"/>
              </w:rPr>
            </w:pPr>
          </w:p>
        </w:tc>
      </w:tr>
      <w:tr w:rsidR="00C85F88" w:rsidRPr="00FA1ABF" w:rsidTr="001F7F68">
        <w:tc>
          <w:tcPr>
            <w:tcW w:w="750" w:type="dxa"/>
          </w:tcPr>
          <w:p w:rsidR="00C85F88" w:rsidRPr="00FA1ABF" w:rsidRDefault="008220DD">
            <w:pPr>
              <w:rPr>
                <w:rFonts w:ascii="Arial" w:hAnsi="Arial" w:cs="Arial"/>
                <w:sz w:val="24"/>
                <w:szCs w:val="24"/>
              </w:rPr>
            </w:pPr>
            <w:r w:rsidRPr="00FA1ABF">
              <w:rPr>
                <w:rFonts w:ascii="Arial" w:hAnsi="Arial" w:cs="Arial"/>
                <w:sz w:val="24"/>
                <w:szCs w:val="24"/>
              </w:rPr>
              <w:t>8.1</w:t>
            </w:r>
          </w:p>
        </w:tc>
        <w:tc>
          <w:tcPr>
            <w:tcW w:w="8492" w:type="dxa"/>
          </w:tcPr>
          <w:p w:rsidR="001F7F68" w:rsidRPr="00FA1ABF" w:rsidRDefault="008220DD">
            <w:pPr>
              <w:rPr>
                <w:rFonts w:ascii="Arial" w:hAnsi="Arial" w:cs="Arial"/>
                <w:sz w:val="24"/>
                <w:szCs w:val="24"/>
              </w:rPr>
            </w:pPr>
            <w:r w:rsidRPr="00FA1ABF">
              <w:rPr>
                <w:rFonts w:ascii="Arial" w:hAnsi="Arial" w:cs="Arial"/>
                <w:sz w:val="24"/>
                <w:szCs w:val="24"/>
              </w:rPr>
              <w:t xml:space="preserve">Board Members at their away day discussed a number of </w:t>
            </w:r>
            <w:r w:rsidR="006D3BF3" w:rsidRPr="00FA1ABF">
              <w:rPr>
                <w:rFonts w:ascii="Arial" w:hAnsi="Arial" w:cs="Arial"/>
                <w:sz w:val="24"/>
                <w:szCs w:val="24"/>
              </w:rPr>
              <w:t xml:space="preserve">issues and </w:t>
            </w:r>
            <w:r w:rsidRPr="00FA1ABF">
              <w:rPr>
                <w:rFonts w:ascii="Arial" w:hAnsi="Arial" w:cs="Arial"/>
                <w:sz w:val="24"/>
                <w:szCs w:val="24"/>
              </w:rPr>
              <w:t>i</w:t>
            </w:r>
            <w:r w:rsidR="006D3BF3" w:rsidRPr="00FA1ABF">
              <w:rPr>
                <w:rFonts w:ascii="Arial" w:hAnsi="Arial" w:cs="Arial"/>
                <w:sz w:val="24"/>
                <w:szCs w:val="24"/>
              </w:rPr>
              <w:t xml:space="preserve">deas </w:t>
            </w:r>
            <w:r w:rsidRPr="00FA1ABF">
              <w:rPr>
                <w:rFonts w:ascii="Arial" w:hAnsi="Arial" w:cs="Arial"/>
                <w:sz w:val="24"/>
                <w:szCs w:val="24"/>
              </w:rPr>
              <w:t xml:space="preserve"> which may impact on the work of the resident involvement team e.g. </w:t>
            </w:r>
            <w:r w:rsidR="006D3BF3" w:rsidRPr="00FA1ABF">
              <w:rPr>
                <w:rFonts w:ascii="Arial" w:hAnsi="Arial" w:cs="Arial"/>
                <w:sz w:val="24"/>
                <w:szCs w:val="24"/>
              </w:rPr>
              <w:t xml:space="preserve">Ideas about having a committee of the Board with residents on it to look at performance issues, considering offering a qualification for residents involved in scrutiny, having a “tenant empowerment officer” to support and mentor residents, the need to review the resident involvement policy with perhaps fewer activities, the need to have more appealing material in our communications with residents, the greater use of IT for communicating with residents and the greater use of social media. </w:t>
            </w:r>
          </w:p>
          <w:p w:rsidR="006D3BF3" w:rsidRPr="00FA1ABF" w:rsidRDefault="006D3BF3">
            <w:pPr>
              <w:rPr>
                <w:rFonts w:ascii="Arial" w:hAnsi="Arial" w:cs="Arial"/>
                <w:sz w:val="24"/>
                <w:szCs w:val="24"/>
              </w:rPr>
            </w:pPr>
            <w:r w:rsidRPr="00FA1ABF">
              <w:rPr>
                <w:rFonts w:ascii="Arial" w:hAnsi="Arial" w:cs="Arial"/>
                <w:sz w:val="24"/>
                <w:szCs w:val="24"/>
              </w:rPr>
              <w:t xml:space="preserve">It is assumed that the Board will set up a mechanism to progress or otherwise some or all of these ideas. Whatever the outcome, it is likely that there will be some demands on the capacity of the resident involvement team to respond to any resulting initiatives. </w:t>
            </w:r>
          </w:p>
          <w:p w:rsidR="006D3BF3" w:rsidRPr="00FA1ABF" w:rsidRDefault="006D3BF3">
            <w:pPr>
              <w:rPr>
                <w:rFonts w:ascii="Arial" w:hAnsi="Arial" w:cs="Arial"/>
                <w:sz w:val="24"/>
                <w:szCs w:val="24"/>
              </w:rPr>
            </w:pPr>
          </w:p>
          <w:p w:rsidR="006D3BF3" w:rsidRPr="00FA1ABF" w:rsidRDefault="006D3BF3" w:rsidP="001F7F68">
            <w:pPr>
              <w:rPr>
                <w:rFonts w:ascii="Arial" w:hAnsi="Arial" w:cs="Arial"/>
                <w:sz w:val="24"/>
                <w:szCs w:val="24"/>
              </w:rPr>
            </w:pPr>
            <w:r w:rsidRPr="00FA1ABF">
              <w:rPr>
                <w:rFonts w:ascii="Arial" w:hAnsi="Arial" w:cs="Arial"/>
                <w:b/>
                <w:sz w:val="24"/>
                <w:szCs w:val="24"/>
              </w:rPr>
              <w:t xml:space="preserve">It is recommended that the Board decide how it wishes to take forward the ideas mentioned at the </w:t>
            </w:r>
            <w:r w:rsidR="002518D1" w:rsidRPr="00FA1ABF">
              <w:rPr>
                <w:rFonts w:ascii="Arial" w:hAnsi="Arial" w:cs="Arial"/>
                <w:b/>
                <w:sz w:val="24"/>
                <w:szCs w:val="24"/>
              </w:rPr>
              <w:t>Away day</w:t>
            </w:r>
            <w:r w:rsidRPr="00FA1ABF">
              <w:rPr>
                <w:rFonts w:ascii="Arial" w:hAnsi="Arial" w:cs="Arial"/>
                <w:b/>
                <w:sz w:val="24"/>
                <w:szCs w:val="24"/>
              </w:rPr>
              <w:t xml:space="preserve"> in relation to these matters</w:t>
            </w:r>
            <w:r w:rsidR="00FF31A4">
              <w:rPr>
                <w:rFonts w:ascii="Arial" w:hAnsi="Arial" w:cs="Arial"/>
                <w:b/>
                <w:sz w:val="24"/>
                <w:szCs w:val="24"/>
              </w:rPr>
              <w:t xml:space="preserve"> and then the Resident Involvement team draw up an action plan for implementation</w:t>
            </w:r>
            <w:r w:rsidR="001F7F68">
              <w:rPr>
                <w:rFonts w:ascii="Arial" w:hAnsi="Arial" w:cs="Arial"/>
                <w:b/>
                <w:sz w:val="24"/>
                <w:szCs w:val="24"/>
              </w:rPr>
              <w:t>.</w:t>
            </w:r>
          </w:p>
        </w:tc>
      </w:tr>
    </w:tbl>
    <w:p w:rsidR="009D61C5" w:rsidRPr="00FA1ABF" w:rsidRDefault="009D61C5">
      <w:pPr>
        <w:rPr>
          <w:rFonts w:ascii="Arial" w:hAnsi="Arial" w:cs="Arial"/>
          <w:sz w:val="24"/>
          <w:szCs w:val="24"/>
        </w:rPr>
      </w:pPr>
    </w:p>
    <w:sectPr w:rsidR="009D61C5" w:rsidRPr="00FA1AB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A67" w:rsidRDefault="00F92A67" w:rsidP="00636CFA">
      <w:pPr>
        <w:spacing w:after="0" w:line="240" w:lineRule="auto"/>
      </w:pPr>
      <w:r>
        <w:separator/>
      </w:r>
    </w:p>
  </w:endnote>
  <w:endnote w:type="continuationSeparator" w:id="0">
    <w:p w:rsidR="00F92A67" w:rsidRDefault="00F92A67" w:rsidP="00636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CFA" w:rsidRPr="00636CFA" w:rsidRDefault="00636CFA">
    <w:pPr>
      <w:pStyle w:val="Footer"/>
      <w:pBdr>
        <w:top w:val="thinThickSmallGap" w:sz="24" w:space="1" w:color="622423" w:themeColor="accent2" w:themeShade="7F"/>
      </w:pBdr>
      <w:rPr>
        <w:rFonts w:ascii="Arial" w:eastAsiaTheme="majorEastAsia" w:hAnsi="Arial" w:cs="Arial"/>
        <w:sz w:val="20"/>
        <w:szCs w:val="20"/>
      </w:rPr>
    </w:pPr>
    <w:r w:rsidRPr="00636CFA">
      <w:rPr>
        <w:rFonts w:ascii="Arial" w:eastAsiaTheme="majorEastAsia" w:hAnsi="Arial" w:cs="Arial"/>
        <w:sz w:val="20"/>
        <w:szCs w:val="20"/>
      </w:rPr>
      <w:t>SI of annual review of Resident Involvement 2015 – Board Sept 15</w:t>
    </w:r>
    <w:r w:rsidRPr="00636CFA">
      <w:rPr>
        <w:rFonts w:ascii="Arial" w:eastAsiaTheme="majorEastAsia" w:hAnsi="Arial" w:cs="Arial"/>
        <w:sz w:val="20"/>
        <w:szCs w:val="20"/>
      </w:rPr>
      <w:tab/>
      <w:t xml:space="preserve">Page </w:t>
    </w:r>
    <w:r w:rsidRPr="00636CFA">
      <w:rPr>
        <w:rFonts w:ascii="Arial" w:eastAsiaTheme="minorEastAsia" w:hAnsi="Arial" w:cs="Arial"/>
        <w:sz w:val="20"/>
        <w:szCs w:val="20"/>
      </w:rPr>
      <w:fldChar w:fldCharType="begin"/>
    </w:r>
    <w:r w:rsidRPr="00636CFA">
      <w:rPr>
        <w:rFonts w:ascii="Arial" w:hAnsi="Arial" w:cs="Arial"/>
        <w:sz w:val="20"/>
        <w:szCs w:val="20"/>
      </w:rPr>
      <w:instrText xml:space="preserve"> PAGE   \* MERGEFORMAT </w:instrText>
    </w:r>
    <w:r w:rsidRPr="00636CFA">
      <w:rPr>
        <w:rFonts w:ascii="Arial" w:eastAsiaTheme="minorEastAsia" w:hAnsi="Arial" w:cs="Arial"/>
        <w:sz w:val="20"/>
        <w:szCs w:val="20"/>
      </w:rPr>
      <w:fldChar w:fldCharType="separate"/>
    </w:r>
    <w:r w:rsidR="00A2456D" w:rsidRPr="00A2456D">
      <w:rPr>
        <w:rFonts w:ascii="Arial" w:eastAsiaTheme="majorEastAsia" w:hAnsi="Arial" w:cs="Arial"/>
        <w:noProof/>
        <w:sz w:val="20"/>
        <w:szCs w:val="20"/>
      </w:rPr>
      <w:t>2</w:t>
    </w:r>
    <w:r w:rsidRPr="00636CFA">
      <w:rPr>
        <w:rFonts w:ascii="Arial" w:eastAsiaTheme="majorEastAsia" w:hAnsi="Arial" w:cs="Arial"/>
        <w:noProof/>
        <w:sz w:val="20"/>
        <w:szCs w:val="20"/>
      </w:rPr>
      <w:fldChar w:fldCharType="end"/>
    </w:r>
  </w:p>
  <w:p w:rsidR="00636CFA" w:rsidRPr="00636CFA" w:rsidRDefault="00636CFA">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A67" w:rsidRDefault="00F92A67" w:rsidP="00636CFA">
      <w:pPr>
        <w:spacing w:after="0" w:line="240" w:lineRule="auto"/>
      </w:pPr>
      <w:r>
        <w:separator/>
      </w:r>
    </w:p>
  </w:footnote>
  <w:footnote w:type="continuationSeparator" w:id="0">
    <w:p w:rsidR="00F92A67" w:rsidRDefault="00F92A67" w:rsidP="00636C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44C50"/>
    <w:multiLevelType w:val="hybridMultilevel"/>
    <w:tmpl w:val="D3AE6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E5069D"/>
    <w:multiLevelType w:val="hybridMultilevel"/>
    <w:tmpl w:val="A8D0A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1C5"/>
    <w:rsid w:val="000B0135"/>
    <w:rsid w:val="001F7F68"/>
    <w:rsid w:val="002518D1"/>
    <w:rsid w:val="002B2931"/>
    <w:rsid w:val="002F772F"/>
    <w:rsid w:val="00333C7B"/>
    <w:rsid w:val="003D3703"/>
    <w:rsid w:val="00636CFA"/>
    <w:rsid w:val="0067182F"/>
    <w:rsid w:val="006D3BF3"/>
    <w:rsid w:val="007147F2"/>
    <w:rsid w:val="0076434C"/>
    <w:rsid w:val="008220DD"/>
    <w:rsid w:val="00836383"/>
    <w:rsid w:val="009B4D3C"/>
    <w:rsid w:val="009C1D6B"/>
    <w:rsid w:val="009D61C5"/>
    <w:rsid w:val="00A2456D"/>
    <w:rsid w:val="00BD6631"/>
    <w:rsid w:val="00C14B26"/>
    <w:rsid w:val="00C85F88"/>
    <w:rsid w:val="00CC5745"/>
    <w:rsid w:val="00DC7C46"/>
    <w:rsid w:val="00E40330"/>
    <w:rsid w:val="00ED6408"/>
    <w:rsid w:val="00EF4B58"/>
    <w:rsid w:val="00F1035C"/>
    <w:rsid w:val="00F30213"/>
    <w:rsid w:val="00F92A67"/>
    <w:rsid w:val="00FA1ABF"/>
    <w:rsid w:val="00FF3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6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5F88"/>
    <w:pPr>
      <w:ind w:left="720"/>
      <w:contextualSpacing/>
    </w:pPr>
  </w:style>
  <w:style w:type="paragraph" w:styleId="Header">
    <w:name w:val="header"/>
    <w:basedOn w:val="Normal"/>
    <w:link w:val="HeaderChar"/>
    <w:uiPriority w:val="99"/>
    <w:unhideWhenUsed/>
    <w:rsid w:val="00636C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CFA"/>
  </w:style>
  <w:style w:type="paragraph" w:styleId="Footer">
    <w:name w:val="footer"/>
    <w:basedOn w:val="Normal"/>
    <w:link w:val="FooterChar"/>
    <w:uiPriority w:val="99"/>
    <w:unhideWhenUsed/>
    <w:rsid w:val="00636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CFA"/>
  </w:style>
  <w:style w:type="paragraph" w:styleId="BalloonText">
    <w:name w:val="Balloon Text"/>
    <w:basedOn w:val="Normal"/>
    <w:link w:val="BalloonTextChar"/>
    <w:uiPriority w:val="99"/>
    <w:semiHidden/>
    <w:unhideWhenUsed/>
    <w:rsid w:val="00636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C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6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5F88"/>
    <w:pPr>
      <w:ind w:left="720"/>
      <w:contextualSpacing/>
    </w:pPr>
  </w:style>
  <w:style w:type="paragraph" w:styleId="Header">
    <w:name w:val="header"/>
    <w:basedOn w:val="Normal"/>
    <w:link w:val="HeaderChar"/>
    <w:uiPriority w:val="99"/>
    <w:unhideWhenUsed/>
    <w:rsid w:val="00636C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CFA"/>
  </w:style>
  <w:style w:type="paragraph" w:styleId="Footer">
    <w:name w:val="footer"/>
    <w:basedOn w:val="Normal"/>
    <w:link w:val="FooterChar"/>
    <w:uiPriority w:val="99"/>
    <w:unhideWhenUsed/>
    <w:rsid w:val="00636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CFA"/>
  </w:style>
  <w:style w:type="paragraph" w:styleId="BalloonText">
    <w:name w:val="Balloon Text"/>
    <w:basedOn w:val="Normal"/>
    <w:link w:val="BalloonTextChar"/>
    <w:uiPriority w:val="99"/>
    <w:semiHidden/>
    <w:unhideWhenUsed/>
    <w:rsid w:val="00636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C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Melville</dc:creator>
  <cp:lastModifiedBy>Valerie Sharpe</cp:lastModifiedBy>
  <cp:revision>3</cp:revision>
  <cp:lastPrinted>2015-09-21T11:16:00Z</cp:lastPrinted>
  <dcterms:created xsi:type="dcterms:W3CDTF">2015-09-18T08:09:00Z</dcterms:created>
  <dcterms:modified xsi:type="dcterms:W3CDTF">2015-09-21T11:16:00Z</dcterms:modified>
</cp:coreProperties>
</file>