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277235" w:rsidRDefault="002E12FA">
      <w:pPr>
        <w:rPr>
          <w:rFonts w:ascii="Arial" w:hAnsi="Arial" w:cs="Arial"/>
          <w:sz w:val="32"/>
          <w:szCs w:val="32"/>
        </w:rPr>
      </w:pPr>
      <w:r w:rsidRPr="00277235">
        <w:rPr>
          <w:rFonts w:ascii="Arial" w:hAnsi="Arial" w:cs="Arial"/>
          <w:sz w:val="32"/>
          <w:szCs w:val="32"/>
        </w:rPr>
        <w:t>Hexagon Housing Association</w:t>
      </w:r>
    </w:p>
    <w:p w:rsidR="002E12FA" w:rsidRPr="00806964" w:rsidRDefault="002E12FA">
      <w:pPr>
        <w:rPr>
          <w:rFonts w:ascii="Arial" w:hAnsi="Arial" w:cs="Arial"/>
          <w:b/>
          <w:sz w:val="32"/>
          <w:szCs w:val="32"/>
        </w:rPr>
      </w:pPr>
      <w:r w:rsidRPr="00806964">
        <w:rPr>
          <w:rFonts w:ascii="Arial" w:hAnsi="Arial" w:cs="Arial"/>
          <w:b/>
          <w:sz w:val="32"/>
          <w:szCs w:val="32"/>
        </w:rPr>
        <w:t>Board of Management</w:t>
      </w:r>
    </w:p>
    <w:p w:rsidR="002E12FA" w:rsidRPr="00806964" w:rsidRDefault="002E12FA">
      <w:pPr>
        <w:rPr>
          <w:rFonts w:ascii="Arial" w:hAnsi="Arial" w:cs="Arial"/>
          <w:b/>
          <w:sz w:val="32"/>
          <w:szCs w:val="32"/>
        </w:rPr>
      </w:pPr>
      <w:r w:rsidRPr="00806964">
        <w:rPr>
          <w:rFonts w:ascii="Arial" w:hAnsi="Arial" w:cs="Arial"/>
          <w:b/>
          <w:sz w:val="32"/>
          <w:szCs w:val="32"/>
        </w:rPr>
        <w:t>26 July 2016</w:t>
      </w:r>
    </w:p>
    <w:p w:rsidR="002E12FA" w:rsidRPr="00806964" w:rsidRDefault="002E12FA">
      <w:pPr>
        <w:rPr>
          <w:rFonts w:ascii="Arial" w:hAnsi="Arial" w:cs="Arial"/>
          <w:b/>
          <w:sz w:val="32"/>
          <w:szCs w:val="32"/>
        </w:rPr>
      </w:pPr>
      <w:r w:rsidRPr="00806964">
        <w:rPr>
          <w:rFonts w:ascii="Arial" w:hAnsi="Arial" w:cs="Arial"/>
          <w:b/>
          <w:sz w:val="32"/>
          <w:szCs w:val="32"/>
        </w:rPr>
        <w:t>Agenda item</w:t>
      </w:r>
      <w:r w:rsidR="00416124">
        <w:rPr>
          <w:rFonts w:ascii="Arial" w:hAnsi="Arial" w:cs="Arial"/>
          <w:b/>
          <w:sz w:val="32"/>
          <w:szCs w:val="32"/>
        </w:rPr>
        <w:t xml:space="preserve"> 11</w:t>
      </w:r>
      <w:bookmarkStart w:id="0" w:name="_GoBack"/>
      <w:bookmarkEnd w:id="0"/>
    </w:p>
    <w:p w:rsidR="002E12FA" w:rsidRPr="00806964" w:rsidRDefault="002E12FA">
      <w:pPr>
        <w:rPr>
          <w:rFonts w:ascii="Arial" w:hAnsi="Arial" w:cs="Arial"/>
          <w:b/>
          <w:sz w:val="32"/>
          <w:szCs w:val="32"/>
        </w:rPr>
      </w:pPr>
      <w:r w:rsidRPr="00806964">
        <w:rPr>
          <w:rFonts w:ascii="Arial" w:hAnsi="Arial" w:cs="Arial"/>
          <w:b/>
          <w:sz w:val="32"/>
          <w:szCs w:val="32"/>
        </w:rPr>
        <w:t>Quarter</w:t>
      </w:r>
      <w:r w:rsidR="00806964" w:rsidRPr="00806964">
        <w:rPr>
          <w:rFonts w:ascii="Arial" w:hAnsi="Arial" w:cs="Arial"/>
          <w:b/>
          <w:sz w:val="32"/>
          <w:szCs w:val="32"/>
        </w:rPr>
        <w:t xml:space="preserve"> </w:t>
      </w:r>
      <w:r w:rsidRPr="00806964">
        <w:rPr>
          <w:rFonts w:ascii="Arial" w:hAnsi="Arial" w:cs="Arial"/>
          <w:b/>
          <w:sz w:val="32"/>
          <w:szCs w:val="32"/>
        </w:rPr>
        <w:t xml:space="preserve">1, 2016/17 Performance Indicators </w:t>
      </w:r>
    </w:p>
    <w:p w:rsidR="002E12FA" w:rsidRPr="00806964" w:rsidRDefault="002E12FA">
      <w:pPr>
        <w:rPr>
          <w:rFonts w:ascii="Arial" w:hAnsi="Arial" w:cs="Arial"/>
          <w:b/>
          <w:sz w:val="32"/>
          <w:szCs w:val="32"/>
        </w:rPr>
      </w:pPr>
      <w:r w:rsidRPr="00806964">
        <w:rPr>
          <w:rFonts w:ascii="Arial" w:hAnsi="Arial" w:cs="Arial"/>
          <w:b/>
          <w:sz w:val="32"/>
          <w:szCs w:val="32"/>
        </w:rPr>
        <w:t xml:space="preserve">Lead Board Member: Kellie </w:t>
      </w:r>
      <w:proofErr w:type="spellStart"/>
      <w:r w:rsidRPr="00806964">
        <w:rPr>
          <w:rFonts w:ascii="Arial" w:hAnsi="Arial" w:cs="Arial"/>
          <w:b/>
          <w:sz w:val="32"/>
          <w:szCs w:val="32"/>
        </w:rPr>
        <w:t>Elmes</w:t>
      </w:r>
      <w:proofErr w:type="spellEnd"/>
    </w:p>
    <w:p w:rsidR="002E12FA" w:rsidRPr="00806964" w:rsidRDefault="002E12FA">
      <w:pPr>
        <w:rPr>
          <w:rFonts w:ascii="Arial" w:hAnsi="Arial" w:cs="Arial"/>
          <w:b/>
          <w:sz w:val="32"/>
          <w:szCs w:val="32"/>
        </w:rPr>
      </w:pPr>
      <w:r w:rsidRPr="00806964">
        <w:rPr>
          <w:rFonts w:ascii="Arial" w:hAnsi="Arial" w:cs="Arial"/>
          <w:b/>
          <w:sz w:val="32"/>
          <w:szCs w:val="32"/>
        </w:rPr>
        <w:t>Report by the Operations Director</w:t>
      </w:r>
    </w:p>
    <w:p w:rsidR="00806964" w:rsidRPr="00277235" w:rsidRDefault="00806964">
      <w:pP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2E12FA" w:rsidRPr="00806964" w:rsidTr="00892998">
        <w:tc>
          <w:tcPr>
            <w:tcW w:w="750" w:type="dxa"/>
          </w:tcPr>
          <w:p w:rsidR="002E12FA" w:rsidRPr="00806964" w:rsidRDefault="002E12FA">
            <w:pPr>
              <w:rPr>
                <w:rFonts w:ascii="Arial" w:hAnsi="Arial" w:cs="Arial"/>
                <w:b/>
                <w:i/>
                <w:sz w:val="28"/>
                <w:szCs w:val="28"/>
              </w:rPr>
            </w:pPr>
            <w:r w:rsidRPr="00806964">
              <w:rPr>
                <w:rFonts w:ascii="Arial" w:hAnsi="Arial" w:cs="Arial"/>
                <w:b/>
                <w:i/>
                <w:sz w:val="28"/>
                <w:szCs w:val="28"/>
              </w:rPr>
              <w:t>1.</w:t>
            </w:r>
          </w:p>
        </w:tc>
        <w:tc>
          <w:tcPr>
            <w:tcW w:w="8492" w:type="dxa"/>
          </w:tcPr>
          <w:p w:rsidR="002E12FA" w:rsidRPr="00806964" w:rsidRDefault="002E12FA">
            <w:pPr>
              <w:rPr>
                <w:rFonts w:ascii="Arial" w:hAnsi="Arial" w:cs="Arial"/>
                <w:b/>
                <w:i/>
                <w:sz w:val="28"/>
                <w:szCs w:val="28"/>
              </w:rPr>
            </w:pPr>
            <w:r w:rsidRPr="00806964">
              <w:rPr>
                <w:rFonts w:ascii="Arial" w:hAnsi="Arial" w:cs="Arial"/>
                <w:b/>
                <w:i/>
                <w:sz w:val="28"/>
                <w:szCs w:val="28"/>
              </w:rPr>
              <w:t>Summary</w:t>
            </w:r>
          </w:p>
          <w:p w:rsidR="00EE61AC" w:rsidRPr="00806964" w:rsidRDefault="00EE61AC">
            <w:pPr>
              <w:rPr>
                <w:rFonts w:ascii="Arial" w:hAnsi="Arial" w:cs="Arial"/>
                <w:b/>
                <w:i/>
                <w:sz w:val="28"/>
                <w:szCs w:val="28"/>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36333">
            <w:pPr>
              <w:rPr>
                <w:rFonts w:ascii="Arial" w:hAnsi="Arial" w:cs="Arial"/>
                <w:sz w:val="24"/>
                <w:szCs w:val="24"/>
              </w:rPr>
            </w:pPr>
            <w:r>
              <w:rPr>
                <w:rFonts w:ascii="Arial" w:hAnsi="Arial" w:cs="Arial"/>
                <w:sz w:val="24"/>
                <w:szCs w:val="24"/>
              </w:rPr>
              <w:t xml:space="preserve">This report summarises the performance on our key PIs for Quarter 1, 2016/17 and compares this with the previous quarter. </w:t>
            </w:r>
          </w:p>
          <w:p w:rsidR="00136333" w:rsidRDefault="00136333">
            <w:pPr>
              <w:rPr>
                <w:rFonts w:ascii="Arial" w:hAnsi="Arial" w:cs="Arial"/>
                <w:sz w:val="24"/>
                <w:szCs w:val="24"/>
              </w:rPr>
            </w:pPr>
            <w:r>
              <w:rPr>
                <w:rFonts w:ascii="Arial" w:hAnsi="Arial" w:cs="Arial"/>
                <w:sz w:val="24"/>
                <w:szCs w:val="24"/>
              </w:rPr>
              <w:t xml:space="preserve">On 9 indicators where a valid comparison with Q1 in 15/16 is possible, performance improved and on 7 it declined and on 3, it remained stable. </w:t>
            </w:r>
          </w:p>
          <w:p w:rsidR="00136333" w:rsidRPr="00277235" w:rsidRDefault="00136333">
            <w:pPr>
              <w:rPr>
                <w:rFonts w:ascii="Arial" w:hAnsi="Arial" w:cs="Arial"/>
                <w:sz w:val="24"/>
                <w:szCs w:val="24"/>
              </w:rPr>
            </w:pPr>
          </w:p>
        </w:tc>
      </w:tr>
      <w:tr w:rsidR="002E12FA" w:rsidRPr="00806964" w:rsidTr="00892998">
        <w:tc>
          <w:tcPr>
            <w:tcW w:w="750" w:type="dxa"/>
          </w:tcPr>
          <w:p w:rsidR="002E12FA" w:rsidRPr="00806964" w:rsidRDefault="002E12FA">
            <w:pPr>
              <w:rPr>
                <w:rFonts w:ascii="Arial" w:hAnsi="Arial" w:cs="Arial"/>
                <w:b/>
                <w:i/>
                <w:sz w:val="28"/>
                <w:szCs w:val="28"/>
              </w:rPr>
            </w:pPr>
            <w:r w:rsidRPr="00806964">
              <w:rPr>
                <w:rFonts w:ascii="Arial" w:hAnsi="Arial" w:cs="Arial"/>
                <w:b/>
                <w:i/>
                <w:sz w:val="28"/>
                <w:szCs w:val="28"/>
              </w:rPr>
              <w:t>2.</w:t>
            </w:r>
          </w:p>
        </w:tc>
        <w:tc>
          <w:tcPr>
            <w:tcW w:w="8492" w:type="dxa"/>
          </w:tcPr>
          <w:p w:rsidR="00EE61AC" w:rsidRPr="00806964" w:rsidRDefault="002E12FA">
            <w:pPr>
              <w:rPr>
                <w:rFonts w:ascii="Arial" w:hAnsi="Arial" w:cs="Arial"/>
                <w:b/>
                <w:i/>
                <w:sz w:val="28"/>
                <w:szCs w:val="28"/>
              </w:rPr>
            </w:pPr>
            <w:r w:rsidRPr="00806964">
              <w:rPr>
                <w:rFonts w:ascii="Arial" w:hAnsi="Arial" w:cs="Arial"/>
                <w:b/>
                <w:i/>
                <w:sz w:val="28"/>
                <w:szCs w:val="28"/>
              </w:rPr>
              <w:t>Recommendations</w:t>
            </w:r>
          </w:p>
          <w:p w:rsidR="002E12FA" w:rsidRPr="00806964" w:rsidRDefault="002E12FA">
            <w:pPr>
              <w:rPr>
                <w:rFonts w:ascii="Arial" w:hAnsi="Arial" w:cs="Arial"/>
                <w:b/>
                <w:i/>
                <w:sz w:val="28"/>
                <w:szCs w:val="28"/>
              </w:rPr>
            </w:pPr>
            <w:r w:rsidRPr="00806964">
              <w:rPr>
                <w:rFonts w:ascii="Arial" w:hAnsi="Arial" w:cs="Arial"/>
                <w:b/>
                <w:i/>
                <w:sz w:val="28"/>
                <w:szCs w:val="28"/>
              </w:rPr>
              <w:t xml:space="preserve"> </w:t>
            </w:r>
          </w:p>
        </w:tc>
      </w:tr>
      <w:tr w:rsidR="002E12FA" w:rsidRPr="00277235" w:rsidTr="00892998">
        <w:tc>
          <w:tcPr>
            <w:tcW w:w="750" w:type="dxa"/>
          </w:tcPr>
          <w:p w:rsidR="002E12FA" w:rsidRPr="00277235" w:rsidRDefault="00136333">
            <w:pPr>
              <w:rPr>
                <w:rFonts w:ascii="Arial" w:hAnsi="Arial" w:cs="Arial"/>
                <w:sz w:val="24"/>
                <w:szCs w:val="24"/>
              </w:rPr>
            </w:pPr>
            <w:r>
              <w:rPr>
                <w:rFonts w:ascii="Arial" w:hAnsi="Arial" w:cs="Arial"/>
                <w:sz w:val="24"/>
                <w:szCs w:val="24"/>
              </w:rPr>
              <w:t xml:space="preserve">2.1 </w:t>
            </w:r>
          </w:p>
        </w:tc>
        <w:tc>
          <w:tcPr>
            <w:tcW w:w="8492" w:type="dxa"/>
          </w:tcPr>
          <w:p w:rsidR="002E12FA" w:rsidRDefault="00136333">
            <w:pPr>
              <w:rPr>
                <w:rFonts w:ascii="Arial" w:hAnsi="Arial" w:cs="Arial"/>
                <w:sz w:val="24"/>
                <w:szCs w:val="24"/>
              </w:rPr>
            </w:pPr>
            <w:r>
              <w:rPr>
                <w:rFonts w:ascii="Arial" w:hAnsi="Arial" w:cs="Arial"/>
                <w:sz w:val="24"/>
                <w:szCs w:val="24"/>
              </w:rPr>
              <w:t xml:space="preserve">That the Board notes the performance and approves the actions shown in the commentaries in the tables to improve performance where required to meet targets. </w:t>
            </w:r>
          </w:p>
          <w:p w:rsidR="00136333" w:rsidRPr="00277235" w:rsidRDefault="00136333">
            <w:pPr>
              <w:rPr>
                <w:rFonts w:ascii="Arial" w:hAnsi="Arial" w:cs="Arial"/>
                <w:sz w:val="24"/>
                <w:szCs w:val="24"/>
              </w:rPr>
            </w:pPr>
          </w:p>
        </w:tc>
      </w:tr>
      <w:tr w:rsidR="00136333" w:rsidRPr="00277235" w:rsidTr="00892998">
        <w:tc>
          <w:tcPr>
            <w:tcW w:w="750" w:type="dxa"/>
          </w:tcPr>
          <w:p w:rsidR="00136333" w:rsidRDefault="00136333">
            <w:pPr>
              <w:rPr>
                <w:rFonts w:ascii="Arial" w:hAnsi="Arial" w:cs="Arial"/>
                <w:sz w:val="24"/>
                <w:szCs w:val="24"/>
              </w:rPr>
            </w:pPr>
            <w:r>
              <w:rPr>
                <w:rFonts w:ascii="Arial" w:hAnsi="Arial" w:cs="Arial"/>
                <w:sz w:val="24"/>
                <w:szCs w:val="24"/>
              </w:rPr>
              <w:t>2.2</w:t>
            </w:r>
          </w:p>
        </w:tc>
        <w:tc>
          <w:tcPr>
            <w:tcW w:w="8492" w:type="dxa"/>
          </w:tcPr>
          <w:p w:rsidR="00136333" w:rsidRDefault="00136333">
            <w:pPr>
              <w:rPr>
                <w:rFonts w:ascii="Arial" w:hAnsi="Arial" w:cs="Arial"/>
                <w:sz w:val="24"/>
                <w:szCs w:val="24"/>
              </w:rPr>
            </w:pPr>
            <w:r>
              <w:rPr>
                <w:rFonts w:ascii="Arial" w:hAnsi="Arial" w:cs="Arial"/>
                <w:sz w:val="24"/>
                <w:szCs w:val="24"/>
              </w:rPr>
              <w:t xml:space="preserve">The Board approves the new indicator in Table 4b showing the response time to email queries about repairs. </w:t>
            </w:r>
          </w:p>
          <w:p w:rsidR="00136333" w:rsidRDefault="00136333">
            <w:pPr>
              <w:rPr>
                <w:rFonts w:ascii="Arial" w:hAnsi="Arial" w:cs="Arial"/>
                <w:sz w:val="24"/>
                <w:szCs w:val="24"/>
              </w:rPr>
            </w:pPr>
          </w:p>
        </w:tc>
      </w:tr>
      <w:tr w:rsidR="002E12FA" w:rsidRPr="00806964" w:rsidTr="00892998">
        <w:tc>
          <w:tcPr>
            <w:tcW w:w="750" w:type="dxa"/>
          </w:tcPr>
          <w:p w:rsidR="002E12FA" w:rsidRPr="00806964" w:rsidRDefault="002E12FA">
            <w:pPr>
              <w:rPr>
                <w:rFonts w:ascii="Arial" w:hAnsi="Arial" w:cs="Arial"/>
                <w:b/>
                <w:i/>
                <w:sz w:val="28"/>
                <w:szCs w:val="28"/>
              </w:rPr>
            </w:pPr>
            <w:r w:rsidRPr="00806964">
              <w:rPr>
                <w:rFonts w:ascii="Arial" w:hAnsi="Arial" w:cs="Arial"/>
                <w:b/>
                <w:i/>
                <w:sz w:val="28"/>
                <w:szCs w:val="28"/>
              </w:rPr>
              <w:t>3.</w:t>
            </w:r>
          </w:p>
        </w:tc>
        <w:tc>
          <w:tcPr>
            <w:tcW w:w="8492" w:type="dxa"/>
          </w:tcPr>
          <w:p w:rsidR="00EE61AC" w:rsidRPr="00806964" w:rsidRDefault="002E12FA">
            <w:pPr>
              <w:rPr>
                <w:rFonts w:ascii="Arial" w:hAnsi="Arial" w:cs="Arial"/>
                <w:b/>
                <w:i/>
                <w:sz w:val="28"/>
                <w:szCs w:val="28"/>
              </w:rPr>
            </w:pPr>
            <w:r w:rsidRPr="00806964">
              <w:rPr>
                <w:rFonts w:ascii="Arial" w:hAnsi="Arial" w:cs="Arial"/>
                <w:b/>
                <w:i/>
                <w:sz w:val="28"/>
                <w:szCs w:val="28"/>
              </w:rPr>
              <w:t>New performance indicator</w:t>
            </w:r>
          </w:p>
          <w:p w:rsidR="002E12FA" w:rsidRPr="00806964" w:rsidRDefault="002E12FA">
            <w:pPr>
              <w:rPr>
                <w:rFonts w:ascii="Arial" w:hAnsi="Arial" w:cs="Arial"/>
                <w:b/>
                <w:i/>
                <w:sz w:val="28"/>
                <w:szCs w:val="28"/>
              </w:rPr>
            </w:pPr>
            <w:r w:rsidRPr="00806964">
              <w:rPr>
                <w:rFonts w:ascii="Arial" w:hAnsi="Arial" w:cs="Arial"/>
                <w:b/>
                <w:i/>
                <w:sz w:val="28"/>
                <w:szCs w:val="28"/>
              </w:rPr>
              <w:t xml:space="preserve">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0F7E9B" w:rsidP="00185803">
            <w:pPr>
              <w:rPr>
                <w:rFonts w:ascii="Arial" w:hAnsi="Arial" w:cs="Arial"/>
                <w:sz w:val="24"/>
                <w:szCs w:val="24"/>
              </w:rPr>
            </w:pPr>
            <w:r>
              <w:rPr>
                <w:rFonts w:ascii="Arial" w:hAnsi="Arial" w:cs="Arial"/>
                <w:sz w:val="24"/>
                <w:szCs w:val="24"/>
              </w:rPr>
              <w:t>A new PI has been added this quarter which is measuring the time taken to respond to an email about repairs sent to the corporate repairs reporting email</w:t>
            </w:r>
            <w:r w:rsidR="00185803">
              <w:rPr>
                <w:rFonts w:ascii="Arial" w:hAnsi="Arial" w:cs="Arial"/>
                <w:sz w:val="24"/>
                <w:szCs w:val="24"/>
              </w:rPr>
              <w:t xml:space="preserve"> address. </w:t>
            </w:r>
            <w:r>
              <w:rPr>
                <w:rFonts w:ascii="Arial" w:hAnsi="Arial" w:cs="Arial"/>
                <w:sz w:val="24"/>
                <w:szCs w:val="24"/>
              </w:rPr>
              <w:t xml:space="preserve"> </w:t>
            </w:r>
            <w:r w:rsidR="000C3299">
              <w:rPr>
                <w:rFonts w:ascii="Arial" w:hAnsi="Arial" w:cs="Arial"/>
                <w:sz w:val="24"/>
                <w:szCs w:val="24"/>
              </w:rPr>
              <w:t xml:space="preserve">We have not been able to measure this in the past except by spot checking. </w:t>
            </w:r>
            <w:r>
              <w:rPr>
                <w:rFonts w:ascii="Arial" w:hAnsi="Arial" w:cs="Arial"/>
                <w:sz w:val="24"/>
                <w:szCs w:val="24"/>
              </w:rPr>
              <w:t xml:space="preserve">These emails are handled by Customer Services </w:t>
            </w:r>
            <w:r w:rsidR="00185803">
              <w:rPr>
                <w:rFonts w:ascii="Arial" w:hAnsi="Arial" w:cs="Arial"/>
                <w:sz w:val="24"/>
                <w:szCs w:val="24"/>
              </w:rPr>
              <w:t xml:space="preserve">and a target of 5 days was agreed last year following resident consultation. These emails are now presented to customer services advisors in the same way as a telephone call and can therefore be monitored using the reporting </w:t>
            </w:r>
            <w:r w:rsidR="000C3299">
              <w:rPr>
                <w:rFonts w:ascii="Arial" w:hAnsi="Arial" w:cs="Arial"/>
                <w:sz w:val="24"/>
                <w:szCs w:val="24"/>
              </w:rPr>
              <w:t>facilities in</w:t>
            </w:r>
            <w:r w:rsidR="00185803">
              <w:rPr>
                <w:rFonts w:ascii="Arial" w:hAnsi="Arial" w:cs="Arial"/>
                <w:sz w:val="24"/>
                <w:szCs w:val="24"/>
              </w:rPr>
              <w:t xml:space="preserve"> our new telephone system.  The response time has been within 24 hours for 100% of the time so we are doing much better than the target currently. </w:t>
            </w:r>
          </w:p>
          <w:p w:rsidR="00185803" w:rsidRDefault="00185803" w:rsidP="00185803">
            <w:pPr>
              <w:rPr>
                <w:rFonts w:ascii="Arial" w:hAnsi="Arial" w:cs="Arial"/>
                <w:sz w:val="24"/>
                <w:szCs w:val="24"/>
              </w:rPr>
            </w:pPr>
          </w:p>
          <w:p w:rsidR="00806964" w:rsidRDefault="00806964" w:rsidP="00185803">
            <w:pPr>
              <w:rPr>
                <w:rFonts w:ascii="Arial" w:hAnsi="Arial" w:cs="Arial"/>
                <w:sz w:val="24"/>
                <w:szCs w:val="24"/>
              </w:rPr>
            </w:pPr>
          </w:p>
          <w:p w:rsidR="00806964" w:rsidRDefault="00806964" w:rsidP="00185803">
            <w:pPr>
              <w:rPr>
                <w:rFonts w:ascii="Arial" w:hAnsi="Arial" w:cs="Arial"/>
                <w:sz w:val="24"/>
                <w:szCs w:val="24"/>
              </w:rPr>
            </w:pPr>
          </w:p>
          <w:p w:rsidR="00806964" w:rsidRPr="00277235" w:rsidRDefault="00806964" w:rsidP="00185803">
            <w:pPr>
              <w:rPr>
                <w:rFonts w:ascii="Arial" w:hAnsi="Arial" w:cs="Arial"/>
                <w:sz w:val="24"/>
                <w:szCs w:val="24"/>
              </w:rPr>
            </w:pPr>
          </w:p>
        </w:tc>
      </w:tr>
      <w:tr w:rsidR="002E12FA" w:rsidRPr="00806964" w:rsidTr="00892998">
        <w:tc>
          <w:tcPr>
            <w:tcW w:w="750" w:type="dxa"/>
          </w:tcPr>
          <w:p w:rsidR="002E12FA" w:rsidRPr="00806964" w:rsidRDefault="002E12FA">
            <w:pPr>
              <w:rPr>
                <w:rFonts w:ascii="Arial" w:hAnsi="Arial" w:cs="Arial"/>
                <w:b/>
                <w:i/>
                <w:sz w:val="28"/>
                <w:szCs w:val="28"/>
              </w:rPr>
            </w:pPr>
            <w:r w:rsidRPr="00806964">
              <w:rPr>
                <w:rFonts w:ascii="Arial" w:hAnsi="Arial" w:cs="Arial"/>
                <w:b/>
                <w:i/>
                <w:sz w:val="28"/>
                <w:szCs w:val="28"/>
              </w:rPr>
              <w:lastRenderedPageBreak/>
              <w:t>4.</w:t>
            </w:r>
          </w:p>
        </w:tc>
        <w:tc>
          <w:tcPr>
            <w:tcW w:w="8492" w:type="dxa"/>
          </w:tcPr>
          <w:p w:rsidR="002E12FA" w:rsidRPr="00806964" w:rsidRDefault="002E12FA">
            <w:pPr>
              <w:rPr>
                <w:rFonts w:ascii="Arial" w:hAnsi="Arial" w:cs="Arial"/>
                <w:b/>
                <w:i/>
                <w:sz w:val="28"/>
                <w:szCs w:val="28"/>
              </w:rPr>
            </w:pPr>
            <w:r w:rsidRPr="00806964">
              <w:rPr>
                <w:rFonts w:ascii="Arial" w:hAnsi="Arial" w:cs="Arial"/>
                <w:b/>
                <w:i/>
                <w:sz w:val="28"/>
                <w:szCs w:val="28"/>
              </w:rPr>
              <w:t xml:space="preserve">Highlights of results </w:t>
            </w:r>
          </w:p>
          <w:p w:rsidR="00EE61AC" w:rsidRPr="00806964" w:rsidRDefault="00EE61AC">
            <w:pPr>
              <w:rPr>
                <w:rFonts w:ascii="Arial" w:hAnsi="Arial" w:cs="Arial"/>
                <w:b/>
                <w:i/>
                <w:sz w:val="28"/>
                <w:szCs w:val="28"/>
              </w:rPr>
            </w:pPr>
          </w:p>
        </w:tc>
      </w:tr>
      <w:tr w:rsidR="002E12FA" w:rsidRPr="00277235" w:rsidTr="00892998">
        <w:tc>
          <w:tcPr>
            <w:tcW w:w="750" w:type="dxa"/>
          </w:tcPr>
          <w:p w:rsidR="002E12FA" w:rsidRPr="00EE61AC" w:rsidRDefault="00BA6156">
            <w:pPr>
              <w:rPr>
                <w:rFonts w:ascii="Arial" w:hAnsi="Arial" w:cs="Arial"/>
                <w:b/>
                <w:sz w:val="24"/>
                <w:szCs w:val="24"/>
              </w:rPr>
            </w:pPr>
            <w:r w:rsidRPr="00EE61AC">
              <w:rPr>
                <w:rFonts w:ascii="Arial" w:hAnsi="Arial" w:cs="Arial"/>
                <w:b/>
                <w:sz w:val="24"/>
                <w:szCs w:val="24"/>
              </w:rPr>
              <w:t>4.1</w:t>
            </w:r>
          </w:p>
        </w:tc>
        <w:tc>
          <w:tcPr>
            <w:tcW w:w="8492" w:type="dxa"/>
          </w:tcPr>
          <w:p w:rsidR="002E12FA" w:rsidRPr="00EE61AC" w:rsidRDefault="00BA6156">
            <w:pPr>
              <w:rPr>
                <w:rFonts w:ascii="Arial" w:hAnsi="Arial" w:cs="Arial"/>
                <w:b/>
                <w:sz w:val="24"/>
                <w:szCs w:val="24"/>
              </w:rPr>
            </w:pPr>
            <w:r w:rsidRPr="00EE61AC">
              <w:rPr>
                <w:rFonts w:ascii="Arial" w:hAnsi="Arial" w:cs="Arial"/>
                <w:b/>
                <w:sz w:val="24"/>
                <w:szCs w:val="24"/>
              </w:rPr>
              <w:t xml:space="preserve">Resident  focus  PIs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25729">
            <w:pPr>
              <w:rPr>
                <w:rFonts w:ascii="Arial" w:hAnsi="Arial" w:cs="Arial"/>
                <w:sz w:val="24"/>
                <w:szCs w:val="24"/>
              </w:rPr>
            </w:pPr>
            <w:r>
              <w:rPr>
                <w:rFonts w:ascii="Arial" w:hAnsi="Arial" w:cs="Arial"/>
                <w:sz w:val="24"/>
                <w:szCs w:val="24"/>
              </w:rPr>
              <w:t xml:space="preserve">Performance is mixed on the customer focussed PIs with slight improvements on the repairs satisfaction indicators but slight deterioration on the proportion of emergency repairs done on time and on the “end to end” times of repairs. The new PI on the time taken to respond to emails about repairs is shown for the first time (Table 4b) with 100% performance for responding within 1 day. </w:t>
            </w:r>
          </w:p>
          <w:p w:rsidR="00125729" w:rsidRPr="00277235" w:rsidRDefault="00125729">
            <w:pPr>
              <w:rPr>
                <w:rFonts w:ascii="Arial" w:hAnsi="Arial" w:cs="Arial"/>
                <w:sz w:val="24"/>
                <w:szCs w:val="24"/>
              </w:rPr>
            </w:pPr>
          </w:p>
        </w:tc>
      </w:tr>
      <w:tr w:rsidR="002E12FA" w:rsidRPr="00277235" w:rsidTr="00892998">
        <w:tc>
          <w:tcPr>
            <w:tcW w:w="750" w:type="dxa"/>
          </w:tcPr>
          <w:p w:rsidR="002E12FA" w:rsidRPr="00EE61AC" w:rsidRDefault="00BA6156">
            <w:pPr>
              <w:rPr>
                <w:rFonts w:ascii="Arial" w:hAnsi="Arial" w:cs="Arial"/>
                <w:b/>
                <w:sz w:val="24"/>
                <w:szCs w:val="24"/>
              </w:rPr>
            </w:pPr>
            <w:r w:rsidRPr="00EE61AC">
              <w:rPr>
                <w:rFonts w:ascii="Arial" w:hAnsi="Arial" w:cs="Arial"/>
                <w:b/>
                <w:sz w:val="24"/>
                <w:szCs w:val="24"/>
              </w:rPr>
              <w:t>4.2</w:t>
            </w:r>
          </w:p>
        </w:tc>
        <w:tc>
          <w:tcPr>
            <w:tcW w:w="8492" w:type="dxa"/>
          </w:tcPr>
          <w:p w:rsidR="00BA6156" w:rsidRPr="00EE61AC" w:rsidRDefault="00BA6156">
            <w:pPr>
              <w:rPr>
                <w:rFonts w:ascii="Arial" w:hAnsi="Arial" w:cs="Arial"/>
                <w:b/>
                <w:sz w:val="24"/>
                <w:szCs w:val="24"/>
              </w:rPr>
            </w:pPr>
            <w:r w:rsidRPr="00EE61AC">
              <w:rPr>
                <w:rFonts w:ascii="Arial" w:hAnsi="Arial" w:cs="Arial"/>
                <w:b/>
                <w:sz w:val="24"/>
                <w:szCs w:val="24"/>
              </w:rPr>
              <w:t>Safety</w:t>
            </w:r>
            <w:r w:rsidR="00136333" w:rsidRPr="00EE61AC">
              <w:rPr>
                <w:rFonts w:ascii="Arial" w:hAnsi="Arial" w:cs="Arial"/>
                <w:b/>
                <w:sz w:val="24"/>
                <w:szCs w:val="24"/>
              </w:rPr>
              <w:t xml:space="preserve"> indicators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25729">
            <w:pPr>
              <w:rPr>
                <w:rFonts w:ascii="Arial" w:hAnsi="Arial" w:cs="Arial"/>
                <w:sz w:val="24"/>
                <w:szCs w:val="24"/>
              </w:rPr>
            </w:pPr>
            <w:r>
              <w:rPr>
                <w:rFonts w:ascii="Arial" w:hAnsi="Arial" w:cs="Arial"/>
                <w:sz w:val="24"/>
                <w:szCs w:val="24"/>
              </w:rPr>
              <w:t>Gas safety check coverage is once again at 100</w:t>
            </w:r>
            <w:r w:rsidR="00EE61AC">
              <w:rPr>
                <w:rFonts w:ascii="Arial" w:hAnsi="Arial" w:cs="Arial"/>
                <w:sz w:val="24"/>
                <w:szCs w:val="24"/>
              </w:rPr>
              <w:t xml:space="preserve">%. </w:t>
            </w:r>
            <w:r>
              <w:rPr>
                <w:rFonts w:ascii="Arial" w:hAnsi="Arial" w:cs="Arial"/>
                <w:sz w:val="24"/>
                <w:szCs w:val="24"/>
              </w:rPr>
              <w:t xml:space="preserve">There are fewer FRA reviews and action points outstanding than there were at the end of Q4. </w:t>
            </w:r>
          </w:p>
          <w:p w:rsidR="00125729" w:rsidRPr="00277235" w:rsidRDefault="00125729">
            <w:pPr>
              <w:rPr>
                <w:rFonts w:ascii="Arial" w:hAnsi="Arial" w:cs="Arial"/>
                <w:sz w:val="24"/>
                <w:szCs w:val="24"/>
              </w:rPr>
            </w:pPr>
          </w:p>
        </w:tc>
      </w:tr>
      <w:tr w:rsidR="002E12FA" w:rsidRPr="00277235" w:rsidTr="00892998">
        <w:tc>
          <w:tcPr>
            <w:tcW w:w="750" w:type="dxa"/>
          </w:tcPr>
          <w:p w:rsidR="002E12FA" w:rsidRPr="00EE61AC" w:rsidRDefault="00444D1A">
            <w:pPr>
              <w:rPr>
                <w:rFonts w:ascii="Arial" w:hAnsi="Arial" w:cs="Arial"/>
                <w:b/>
                <w:sz w:val="24"/>
                <w:szCs w:val="24"/>
              </w:rPr>
            </w:pPr>
            <w:r w:rsidRPr="00EE61AC">
              <w:rPr>
                <w:rFonts w:ascii="Arial" w:hAnsi="Arial" w:cs="Arial"/>
                <w:b/>
                <w:sz w:val="24"/>
                <w:szCs w:val="24"/>
              </w:rPr>
              <w:t>4.3</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Income indicators</w:t>
            </w:r>
          </w:p>
        </w:tc>
      </w:tr>
      <w:tr w:rsidR="002E12FA" w:rsidRPr="00277235" w:rsidTr="00892998">
        <w:tc>
          <w:tcPr>
            <w:tcW w:w="750" w:type="dxa"/>
          </w:tcPr>
          <w:p w:rsidR="002E12FA" w:rsidRPr="00277235" w:rsidRDefault="007E77AB">
            <w:pPr>
              <w:rPr>
                <w:rFonts w:ascii="Arial" w:hAnsi="Arial" w:cs="Arial"/>
                <w:sz w:val="24"/>
                <w:szCs w:val="24"/>
              </w:rPr>
            </w:pPr>
            <w:r>
              <w:rPr>
                <w:rFonts w:ascii="Arial" w:hAnsi="Arial" w:cs="Arial"/>
                <w:sz w:val="24"/>
                <w:szCs w:val="24"/>
              </w:rPr>
              <w:t>4.3.1</w:t>
            </w:r>
          </w:p>
        </w:tc>
        <w:tc>
          <w:tcPr>
            <w:tcW w:w="8492" w:type="dxa"/>
          </w:tcPr>
          <w:p w:rsidR="002E12FA" w:rsidRDefault="006E4EE4" w:rsidP="007E77AB">
            <w:pPr>
              <w:rPr>
                <w:rFonts w:ascii="Arial" w:hAnsi="Arial" w:cs="Arial"/>
                <w:sz w:val="24"/>
                <w:szCs w:val="24"/>
              </w:rPr>
            </w:pPr>
            <w:r>
              <w:rPr>
                <w:rFonts w:ascii="Arial" w:hAnsi="Arial" w:cs="Arial"/>
                <w:sz w:val="24"/>
                <w:szCs w:val="24"/>
              </w:rPr>
              <w:t xml:space="preserve">Comparison with the Q4 results for arrears specifically is not straightforward as the Q4 results are usually the best of the year as every effort is made to post as much income as possible at the year end. Performance on most of the arrears income measures has deteriorated somewhat at the end of Q1 compared with the end of Q4 but when the </w:t>
            </w:r>
            <w:r w:rsidRPr="006E4EE4">
              <w:rPr>
                <w:rFonts w:ascii="Arial" w:hAnsi="Arial" w:cs="Arial"/>
                <w:i/>
                <w:sz w:val="24"/>
                <w:szCs w:val="24"/>
              </w:rPr>
              <w:t>average</w:t>
            </w:r>
            <w:r>
              <w:rPr>
                <w:rFonts w:ascii="Arial" w:hAnsi="Arial" w:cs="Arial"/>
                <w:sz w:val="24"/>
                <w:szCs w:val="24"/>
              </w:rPr>
              <w:t xml:space="preserve"> performance for quarter 1 was compared with the average performance for Q4 on general needs social rent arrears, there was no change.  Most of the housing officers are using the “</w:t>
            </w:r>
            <w:proofErr w:type="spellStart"/>
            <w:r>
              <w:rPr>
                <w:rFonts w:ascii="Arial" w:hAnsi="Arial" w:cs="Arial"/>
                <w:sz w:val="24"/>
                <w:szCs w:val="24"/>
              </w:rPr>
              <w:t>Rentsense</w:t>
            </w:r>
            <w:proofErr w:type="spellEnd"/>
            <w:r>
              <w:rPr>
                <w:rFonts w:ascii="Arial" w:hAnsi="Arial" w:cs="Arial"/>
                <w:sz w:val="24"/>
                <w:szCs w:val="24"/>
              </w:rPr>
              <w:t xml:space="preserve">” arrears monitoring tool well but there are some consistency issues within the team and there has also been long-term sickness which has affected the performance on some patches. </w:t>
            </w:r>
            <w:r w:rsidR="00EE61AC">
              <w:rPr>
                <w:rFonts w:ascii="Arial" w:hAnsi="Arial" w:cs="Arial"/>
                <w:sz w:val="24"/>
                <w:szCs w:val="24"/>
              </w:rPr>
              <w:t>A</w:t>
            </w:r>
            <w:r w:rsidR="007E77AB">
              <w:rPr>
                <w:rFonts w:ascii="Arial" w:hAnsi="Arial" w:cs="Arial"/>
                <w:sz w:val="24"/>
                <w:szCs w:val="24"/>
              </w:rPr>
              <w:t xml:space="preserve"> temporary income officer and staff doing additional hours have been utilised to alleviate the staff shortage. </w:t>
            </w:r>
            <w:r>
              <w:rPr>
                <w:rFonts w:ascii="Arial" w:hAnsi="Arial" w:cs="Arial"/>
                <w:sz w:val="24"/>
                <w:szCs w:val="24"/>
              </w:rPr>
              <w:t xml:space="preserve"> We will be doing a full evaluation of</w:t>
            </w:r>
            <w:r w:rsidR="007E77AB">
              <w:rPr>
                <w:rFonts w:ascii="Arial" w:hAnsi="Arial" w:cs="Arial"/>
                <w:sz w:val="24"/>
                <w:szCs w:val="24"/>
              </w:rPr>
              <w:t xml:space="preserve"> the </w:t>
            </w:r>
            <w:proofErr w:type="spellStart"/>
            <w:r w:rsidR="007E77AB">
              <w:rPr>
                <w:rFonts w:ascii="Arial" w:hAnsi="Arial" w:cs="Arial"/>
                <w:sz w:val="24"/>
                <w:szCs w:val="24"/>
              </w:rPr>
              <w:t>Rentsense</w:t>
            </w:r>
            <w:proofErr w:type="spellEnd"/>
            <w:r w:rsidR="007E77AB">
              <w:rPr>
                <w:rFonts w:ascii="Arial" w:hAnsi="Arial" w:cs="Arial"/>
                <w:sz w:val="24"/>
                <w:szCs w:val="24"/>
              </w:rPr>
              <w:t xml:space="preserve"> </w:t>
            </w:r>
            <w:r w:rsidR="00EE61AC">
              <w:rPr>
                <w:rFonts w:ascii="Arial" w:hAnsi="Arial" w:cs="Arial"/>
                <w:sz w:val="24"/>
                <w:szCs w:val="24"/>
              </w:rPr>
              <w:t>system in</w:t>
            </w:r>
            <w:r>
              <w:rPr>
                <w:rFonts w:ascii="Arial" w:hAnsi="Arial" w:cs="Arial"/>
                <w:sz w:val="24"/>
                <w:szCs w:val="24"/>
              </w:rPr>
              <w:t xml:space="preserve"> the autumn. </w:t>
            </w:r>
          </w:p>
          <w:p w:rsidR="007E77AB" w:rsidRPr="00277235" w:rsidRDefault="007E77AB" w:rsidP="007E77AB">
            <w:pPr>
              <w:rPr>
                <w:rFonts w:ascii="Arial" w:hAnsi="Arial" w:cs="Arial"/>
                <w:sz w:val="24"/>
                <w:szCs w:val="24"/>
              </w:rPr>
            </w:pPr>
          </w:p>
        </w:tc>
      </w:tr>
      <w:tr w:rsidR="007E77AB" w:rsidRPr="00277235" w:rsidTr="00892998">
        <w:tc>
          <w:tcPr>
            <w:tcW w:w="750" w:type="dxa"/>
          </w:tcPr>
          <w:p w:rsidR="007E77AB" w:rsidRDefault="007E77AB">
            <w:pPr>
              <w:rPr>
                <w:rFonts w:ascii="Arial" w:hAnsi="Arial" w:cs="Arial"/>
                <w:sz w:val="24"/>
                <w:szCs w:val="24"/>
              </w:rPr>
            </w:pPr>
            <w:r>
              <w:rPr>
                <w:rFonts w:ascii="Arial" w:hAnsi="Arial" w:cs="Arial"/>
                <w:sz w:val="24"/>
                <w:szCs w:val="24"/>
              </w:rPr>
              <w:t>4.3.2</w:t>
            </w:r>
          </w:p>
        </w:tc>
        <w:tc>
          <w:tcPr>
            <w:tcW w:w="8492" w:type="dxa"/>
          </w:tcPr>
          <w:p w:rsidR="007E77AB" w:rsidRDefault="007E77AB" w:rsidP="007E77AB">
            <w:pPr>
              <w:rPr>
                <w:rFonts w:ascii="Arial" w:hAnsi="Arial" w:cs="Arial"/>
                <w:sz w:val="24"/>
                <w:szCs w:val="24"/>
              </w:rPr>
            </w:pPr>
            <w:r>
              <w:rPr>
                <w:rFonts w:ascii="Arial" w:hAnsi="Arial" w:cs="Arial"/>
                <w:sz w:val="24"/>
                <w:szCs w:val="24"/>
              </w:rPr>
              <w:t xml:space="preserve">Three of the </w:t>
            </w:r>
            <w:r w:rsidR="00EE61AC">
              <w:rPr>
                <w:rFonts w:ascii="Arial" w:hAnsi="Arial" w:cs="Arial"/>
                <w:sz w:val="24"/>
                <w:szCs w:val="24"/>
              </w:rPr>
              <w:t>four voids</w:t>
            </w:r>
            <w:r>
              <w:rPr>
                <w:rFonts w:ascii="Arial" w:hAnsi="Arial" w:cs="Arial"/>
                <w:sz w:val="24"/>
                <w:szCs w:val="24"/>
              </w:rPr>
              <w:t xml:space="preserve"> indicators are significantly improved compared with last quarter. </w:t>
            </w:r>
          </w:p>
          <w:p w:rsidR="007E77AB" w:rsidRDefault="007E77AB" w:rsidP="007E77AB">
            <w:pPr>
              <w:rPr>
                <w:rFonts w:ascii="Arial" w:hAnsi="Arial" w:cs="Arial"/>
                <w:sz w:val="24"/>
                <w:szCs w:val="24"/>
              </w:rPr>
            </w:pPr>
          </w:p>
        </w:tc>
      </w:tr>
      <w:tr w:rsidR="002E12FA" w:rsidRPr="00277235" w:rsidTr="00892998">
        <w:tc>
          <w:tcPr>
            <w:tcW w:w="750" w:type="dxa"/>
          </w:tcPr>
          <w:p w:rsidR="002E12FA" w:rsidRPr="00EE61AC" w:rsidRDefault="00444D1A" w:rsidP="00444D1A">
            <w:pPr>
              <w:rPr>
                <w:rFonts w:ascii="Arial" w:hAnsi="Arial" w:cs="Arial"/>
                <w:b/>
                <w:sz w:val="24"/>
                <w:szCs w:val="24"/>
              </w:rPr>
            </w:pPr>
            <w:r w:rsidRPr="00EE61AC">
              <w:rPr>
                <w:rFonts w:ascii="Arial" w:hAnsi="Arial" w:cs="Arial"/>
                <w:b/>
                <w:sz w:val="24"/>
                <w:szCs w:val="24"/>
              </w:rPr>
              <w:t>4.4</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People indicator</w:t>
            </w:r>
          </w:p>
        </w:tc>
      </w:tr>
      <w:tr w:rsidR="002E12FA" w:rsidRPr="00277235" w:rsidTr="00892998">
        <w:tc>
          <w:tcPr>
            <w:tcW w:w="750" w:type="dxa"/>
          </w:tcPr>
          <w:p w:rsidR="002E12FA" w:rsidRPr="00277235" w:rsidRDefault="007E77AB">
            <w:pPr>
              <w:rPr>
                <w:rFonts w:ascii="Arial" w:hAnsi="Arial" w:cs="Arial"/>
                <w:sz w:val="24"/>
                <w:szCs w:val="24"/>
              </w:rPr>
            </w:pPr>
            <w:r>
              <w:rPr>
                <w:rFonts w:ascii="Arial" w:hAnsi="Arial" w:cs="Arial"/>
                <w:sz w:val="24"/>
                <w:szCs w:val="24"/>
              </w:rPr>
              <w:t>4.4.1</w:t>
            </w:r>
          </w:p>
        </w:tc>
        <w:tc>
          <w:tcPr>
            <w:tcW w:w="8492" w:type="dxa"/>
          </w:tcPr>
          <w:p w:rsidR="002E12FA" w:rsidRDefault="007E77AB">
            <w:pPr>
              <w:rPr>
                <w:rFonts w:ascii="Arial" w:hAnsi="Arial" w:cs="Arial"/>
                <w:sz w:val="24"/>
                <w:szCs w:val="24"/>
              </w:rPr>
            </w:pPr>
            <w:r>
              <w:rPr>
                <w:rFonts w:ascii="Arial" w:hAnsi="Arial" w:cs="Arial"/>
                <w:sz w:val="24"/>
                <w:szCs w:val="24"/>
              </w:rPr>
              <w:t xml:space="preserve">Sickness absence has deteriorated significantly in Q1 and although long-term absence accounts for much of this, short-term absence has also got worse. </w:t>
            </w:r>
          </w:p>
          <w:p w:rsidR="007E77AB" w:rsidRDefault="007E77AB" w:rsidP="007E77AB">
            <w:pPr>
              <w:rPr>
                <w:rFonts w:ascii="Arial" w:hAnsi="Arial" w:cs="Arial"/>
                <w:sz w:val="24"/>
                <w:szCs w:val="24"/>
              </w:rPr>
            </w:pPr>
            <w:r>
              <w:rPr>
                <w:rFonts w:ascii="Arial" w:hAnsi="Arial" w:cs="Arial"/>
                <w:sz w:val="24"/>
                <w:szCs w:val="24"/>
              </w:rPr>
              <w:t xml:space="preserve">The Human Resources </w:t>
            </w:r>
            <w:r w:rsidR="00EE61AC">
              <w:rPr>
                <w:rFonts w:ascii="Arial" w:hAnsi="Arial" w:cs="Arial"/>
                <w:sz w:val="24"/>
                <w:szCs w:val="24"/>
              </w:rPr>
              <w:t>Manager reports in</w:t>
            </w:r>
            <w:r>
              <w:rPr>
                <w:rFonts w:ascii="Arial" w:hAnsi="Arial" w:cs="Arial"/>
                <w:sz w:val="24"/>
                <w:szCs w:val="24"/>
              </w:rPr>
              <w:t xml:space="preserve"> her commentary in Table P1 that she expects the long-term sickness position to improve in July. </w:t>
            </w:r>
          </w:p>
          <w:p w:rsidR="007E77AB" w:rsidRPr="00277235" w:rsidRDefault="007E77AB" w:rsidP="007E77AB">
            <w:pPr>
              <w:rPr>
                <w:rFonts w:ascii="Arial" w:hAnsi="Arial" w:cs="Arial"/>
                <w:sz w:val="24"/>
                <w:szCs w:val="24"/>
              </w:rPr>
            </w:pPr>
          </w:p>
        </w:tc>
      </w:tr>
      <w:tr w:rsidR="002E12FA" w:rsidRPr="00277235" w:rsidTr="00892998">
        <w:tc>
          <w:tcPr>
            <w:tcW w:w="750" w:type="dxa"/>
          </w:tcPr>
          <w:p w:rsidR="002E12FA" w:rsidRPr="00EE61AC" w:rsidRDefault="00444D1A">
            <w:pPr>
              <w:rPr>
                <w:rFonts w:ascii="Arial" w:hAnsi="Arial" w:cs="Arial"/>
                <w:b/>
                <w:sz w:val="24"/>
                <w:szCs w:val="24"/>
              </w:rPr>
            </w:pPr>
            <w:r w:rsidRPr="00EE61AC">
              <w:rPr>
                <w:rFonts w:ascii="Arial" w:hAnsi="Arial" w:cs="Arial"/>
                <w:b/>
                <w:sz w:val="24"/>
                <w:szCs w:val="24"/>
              </w:rPr>
              <w:t>4.5</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 xml:space="preserve">Development programme </w:t>
            </w:r>
          </w:p>
        </w:tc>
      </w:tr>
      <w:tr w:rsidR="002E12FA" w:rsidRPr="00277235" w:rsidTr="00892998">
        <w:tc>
          <w:tcPr>
            <w:tcW w:w="750" w:type="dxa"/>
          </w:tcPr>
          <w:p w:rsidR="002E12FA" w:rsidRPr="00277235" w:rsidRDefault="00825521">
            <w:pPr>
              <w:rPr>
                <w:rFonts w:ascii="Arial" w:hAnsi="Arial" w:cs="Arial"/>
                <w:sz w:val="24"/>
                <w:szCs w:val="24"/>
              </w:rPr>
            </w:pPr>
            <w:r>
              <w:rPr>
                <w:rFonts w:ascii="Arial" w:hAnsi="Arial" w:cs="Arial"/>
                <w:sz w:val="24"/>
                <w:szCs w:val="24"/>
              </w:rPr>
              <w:t>4.5.1</w:t>
            </w:r>
          </w:p>
        </w:tc>
        <w:tc>
          <w:tcPr>
            <w:tcW w:w="8492" w:type="dxa"/>
          </w:tcPr>
          <w:p w:rsidR="009F655D" w:rsidRDefault="009F655D" w:rsidP="009F655D">
            <w:pPr>
              <w:rPr>
                <w:rFonts w:ascii="Arial" w:hAnsi="Arial" w:cs="Arial"/>
                <w:sz w:val="24"/>
                <w:szCs w:val="24"/>
              </w:rPr>
            </w:pPr>
            <w:r w:rsidRPr="009F655D">
              <w:rPr>
                <w:rFonts w:ascii="Arial" w:hAnsi="Arial" w:cs="Arial"/>
                <w:sz w:val="24"/>
                <w:szCs w:val="24"/>
              </w:rPr>
              <w:t xml:space="preserve">These PIs relate to the Development Programme made up of </w:t>
            </w:r>
            <w:r>
              <w:rPr>
                <w:rFonts w:ascii="Arial" w:hAnsi="Arial" w:cs="Arial"/>
                <w:sz w:val="24"/>
                <w:szCs w:val="24"/>
              </w:rPr>
              <w:t xml:space="preserve">the </w:t>
            </w:r>
            <w:r w:rsidRPr="009F655D">
              <w:rPr>
                <w:rFonts w:ascii="Arial" w:hAnsi="Arial" w:cs="Arial"/>
                <w:sz w:val="24"/>
                <w:szCs w:val="24"/>
              </w:rPr>
              <w:t>two funding streams - Building the Pipeline (MHC BTP) and the Mayor's Housi</w:t>
            </w:r>
            <w:r>
              <w:rPr>
                <w:rFonts w:ascii="Arial" w:hAnsi="Arial" w:cs="Arial"/>
                <w:sz w:val="24"/>
                <w:szCs w:val="24"/>
              </w:rPr>
              <w:t>ng Covenant 15/18 (MHC 15/18), for which we have schemes on site.</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sz w:val="24"/>
                <w:szCs w:val="24"/>
              </w:rPr>
            </w:pPr>
            <w:r w:rsidRPr="009F655D">
              <w:rPr>
                <w:rFonts w:ascii="Arial" w:hAnsi="Arial" w:cs="Arial"/>
                <w:sz w:val="24"/>
                <w:szCs w:val="24"/>
              </w:rPr>
              <w:t>We will continue to report on the conversion position for MHC BTP and MHC 15/18</w:t>
            </w:r>
            <w:r>
              <w:rPr>
                <w:rFonts w:ascii="Arial" w:hAnsi="Arial" w:cs="Arial"/>
                <w:sz w:val="24"/>
                <w:szCs w:val="24"/>
              </w:rPr>
              <w:t xml:space="preserve"> as</w:t>
            </w:r>
            <w:r w:rsidRPr="009F655D">
              <w:rPr>
                <w:rFonts w:ascii="Arial" w:hAnsi="Arial" w:cs="Arial"/>
                <w:sz w:val="24"/>
                <w:szCs w:val="24"/>
              </w:rPr>
              <w:t xml:space="preserve"> the subsidy </w:t>
            </w:r>
            <w:r>
              <w:rPr>
                <w:rFonts w:ascii="Arial" w:hAnsi="Arial" w:cs="Arial"/>
                <w:sz w:val="24"/>
                <w:szCs w:val="24"/>
              </w:rPr>
              <w:t xml:space="preserve">requirement </w:t>
            </w:r>
            <w:r w:rsidRPr="009F655D">
              <w:rPr>
                <w:rFonts w:ascii="Arial" w:hAnsi="Arial" w:cs="Arial"/>
                <w:sz w:val="24"/>
                <w:szCs w:val="24"/>
              </w:rPr>
              <w:t xml:space="preserve">may change for these programmes.  </w:t>
            </w:r>
          </w:p>
          <w:p w:rsidR="009F655D" w:rsidRDefault="009F655D" w:rsidP="009F655D">
            <w:pPr>
              <w:rPr>
                <w:rFonts w:ascii="Arial" w:hAnsi="Arial" w:cs="Arial"/>
                <w:sz w:val="24"/>
                <w:szCs w:val="24"/>
              </w:rPr>
            </w:pPr>
          </w:p>
          <w:p w:rsidR="009F655D" w:rsidRPr="009F655D" w:rsidRDefault="009F655D" w:rsidP="009F655D">
            <w:pPr>
              <w:rPr>
                <w:rFonts w:ascii="Arial" w:hAnsi="Arial" w:cs="Arial"/>
                <w:sz w:val="24"/>
                <w:szCs w:val="24"/>
              </w:rPr>
            </w:pPr>
            <w:r w:rsidRPr="009F655D">
              <w:rPr>
                <w:rFonts w:ascii="Arial" w:hAnsi="Arial" w:cs="Arial"/>
                <w:sz w:val="24"/>
                <w:szCs w:val="24"/>
              </w:rPr>
              <w:t>GLA targets for 16/17 are based on the Q1 position in IMS.</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Conversions</w:t>
            </w:r>
          </w:p>
          <w:p w:rsidR="009F655D" w:rsidRPr="009F655D" w:rsidRDefault="009F655D" w:rsidP="009F655D">
            <w:pPr>
              <w:rPr>
                <w:rFonts w:ascii="Arial" w:hAnsi="Arial" w:cs="Arial"/>
                <w:sz w:val="24"/>
                <w:szCs w:val="24"/>
              </w:rPr>
            </w:pPr>
            <w:r>
              <w:rPr>
                <w:rFonts w:ascii="Arial" w:hAnsi="Arial" w:cs="Arial"/>
                <w:sz w:val="24"/>
                <w:szCs w:val="24"/>
              </w:rPr>
              <w:t>As reported previously, w</w:t>
            </w:r>
            <w:r w:rsidRPr="009F655D">
              <w:rPr>
                <w:rFonts w:ascii="Arial" w:hAnsi="Arial" w:cs="Arial"/>
                <w:sz w:val="24"/>
                <w:szCs w:val="24"/>
              </w:rPr>
              <w:t xml:space="preserve">e have now generated enough conversion </w:t>
            </w:r>
            <w:proofErr w:type="gramStart"/>
            <w:r w:rsidRPr="009F655D">
              <w:rPr>
                <w:rFonts w:ascii="Arial" w:hAnsi="Arial" w:cs="Arial"/>
                <w:sz w:val="24"/>
                <w:szCs w:val="24"/>
              </w:rPr>
              <w:t>subsidy</w:t>
            </w:r>
            <w:proofErr w:type="gramEnd"/>
            <w:r w:rsidRPr="009F655D">
              <w:rPr>
                <w:rFonts w:ascii="Arial" w:hAnsi="Arial" w:cs="Arial"/>
                <w:sz w:val="24"/>
                <w:szCs w:val="24"/>
              </w:rPr>
              <w:t xml:space="preserve"> so that relets at MRR and disposals have stopped. There is currently £3.7m of additional subsidy generated.</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Hexagon subsidy (from operating surplus)</w:t>
            </w:r>
          </w:p>
          <w:p w:rsidR="002E12FA" w:rsidRDefault="009F655D" w:rsidP="009F655D">
            <w:pPr>
              <w:rPr>
                <w:rFonts w:ascii="Arial" w:hAnsi="Arial" w:cs="Arial"/>
                <w:sz w:val="24"/>
                <w:szCs w:val="24"/>
              </w:rPr>
            </w:pPr>
            <w:r w:rsidRPr="009F655D">
              <w:rPr>
                <w:rFonts w:ascii="Arial" w:hAnsi="Arial" w:cs="Arial"/>
                <w:sz w:val="24"/>
                <w:szCs w:val="24"/>
              </w:rPr>
              <w:t>The current position (June) is that we are forecasting to utilise 64% of the Board approved subsidy across the 2 programmes ( a 'saving' of circa £2.3m)  This is as a result of the interest rate assumptions, increased market rents and higher surpluses from shared ownership sales.</w:t>
            </w:r>
            <w:r>
              <w:rPr>
                <w:rFonts w:ascii="Arial" w:hAnsi="Arial" w:cs="Arial"/>
                <w:sz w:val="24"/>
                <w:szCs w:val="24"/>
              </w:rPr>
              <w:t xml:space="preserve">    This position may change if the housing market alters.</w:t>
            </w:r>
          </w:p>
          <w:p w:rsidR="00C0321A" w:rsidRPr="00277235" w:rsidRDefault="00C0321A" w:rsidP="009F655D">
            <w:pPr>
              <w:rPr>
                <w:rFonts w:ascii="Arial" w:hAnsi="Arial" w:cs="Arial"/>
                <w:sz w:val="24"/>
                <w:szCs w:val="24"/>
              </w:rPr>
            </w:pPr>
          </w:p>
        </w:tc>
      </w:tr>
      <w:tr w:rsidR="002E12FA" w:rsidRPr="00277235" w:rsidTr="00892998">
        <w:tc>
          <w:tcPr>
            <w:tcW w:w="750" w:type="dxa"/>
          </w:tcPr>
          <w:p w:rsidR="002E12FA" w:rsidRPr="00277235" w:rsidRDefault="00825521">
            <w:pPr>
              <w:rPr>
                <w:rFonts w:ascii="Arial" w:hAnsi="Arial" w:cs="Arial"/>
                <w:sz w:val="24"/>
                <w:szCs w:val="24"/>
              </w:rPr>
            </w:pPr>
            <w:r>
              <w:rPr>
                <w:rFonts w:ascii="Arial" w:hAnsi="Arial" w:cs="Arial"/>
                <w:sz w:val="24"/>
                <w:szCs w:val="24"/>
              </w:rPr>
              <w:lastRenderedPageBreak/>
              <w:t>4.5.2</w:t>
            </w:r>
          </w:p>
        </w:tc>
        <w:tc>
          <w:tcPr>
            <w:tcW w:w="8492" w:type="dxa"/>
          </w:tcPr>
          <w:p w:rsidR="009F655D" w:rsidRPr="009F655D" w:rsidRDefault="009F655D" w:rsidP="009F655D">
            <w:pPr>
              <w:rPr>
                <w:rFonts w:ascii="Arial" w:hAnsi="Arial" w:cs="Arial"/>
                <w:b/>
                <w:sz w:val="24"/>
                <w:szCs w:val="24"/>
                <w:u w:val="single"/>
              </w:rPr>
            </w:pPr>
            <w:r w:rsidRPr="009F655D">
              <w:rPr>
                <w:rFonts w:ascii="Arial" w:hAnsi="Arial" w:cs="Arial"/>
                <w:b/>
                <w:sz w:val="24"/>
                <w:szCs w:val="24"/>
                <w:u w:val="single"/>
              </w:rPr>
              <w:t>Programme Delivery</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MHC BTP</w:t>
            </w:r>
          </w:p>
          <w:p w:rsidR="002E12FA" w:rsidRDefault="009F655D" w:rsidP="009F655D">
            <w:pPr>
              <w:rPr>
                <w:rFonts w:ascii="Arial" w:hAnsi="Arial" w:cs="Arial"/>
                <w:sz w:val="24"/>
                <w:szCs w:val="24"/>
              </w:rPr>
            </w:pPr>
            <w:r w:rsidRPr="009F655D">
              <w:rPr>
                <w:rFonts w:ascii="Arial" w:hAnsi="Arial" w:cs="Arial"/>
                <w:sz w:val="24"/>
                <w:szCs w:val="24"/>
              </w:rPr>
              <w:t>34% of the programme is still to complete with Mitcham Rd</w:t>
            </w:r>
            <w:r>
              <w:rPr>
                <w:rFonts w:ascii="Arial" w:hAnsi="Arial" w:cs="Arial"/>
                <w:sz w:val="24"/>
                <w:szCs w:val="24"/>
              </w:rPr>
              <w:t xml:space="preserve"> </w:t>
            </w:r>
            <w:r w:rsidRPr="009F655D">
              <w:rPr>
                <w:rFonts w:ascii="Arial" w:hAnsi="Arial" w:cs="Arial"/>
                <w:sz w:val="24"/>
                <w:szCs w:val="24"/>
              </w:rPr>
              <w:t xml:space="preserve">&amp; Virgo </w:t>
            </w:r>
            <w:r w:rsidR="00825521">
              <w:rPr>
                <w:rFonts w:ascii="Arial" w:hAnsi="Arial" w:cs="Arial"/>
                <w:sz w:val="24"/>
                <w:szCs w:val="24"/>
              </w:rPr>
              <w:t xml:space="preserve">Fidelis </w:t>
            </w:r>
            <w:r w:rsidRPr="009F655D">
              <w:rPr>
                <w:rFonts w:ascii="Arial" w:hAnsi="Arial" w:cs="Arial"/>
                <w:sz w:val="24"/>
                <w:szCs w:val="24"/>
              </w:rPr>
              <w:t>(</w:t>
            </w:r>
            <w:r>
              <w:rPr>
                <w:rFonts w:ascii="Arial" w:hAnsi="Arial" w:cs="Arial"/>
                <w:sz w:val="24"/>
                <w:szCs w:val="24"/>
              </w:rPr>
              <w:t xml:space="preserve">56 </w:t>
            </w:r>
            <w:r w:rsidRPr="009F655D">
              <w:rPr>
                <w:rFonts w:ascii="Arial" w:hAnsi="Arial" w:cs="Arial"/>
                <w:sz w:val="24"/>
                <w:szCs w:val="24"/>
              </w:rPr>
              <w:t>flats) stil</w:t>
            </w:r>
            <w:r>
              <w:rPr>
                <w:rFonts w:ascii="Arial" w:hAnsi="Arial" w:cs="Arial"/>
                <w:sz w:val="24"/>
                <w:szCs w:val="24"/>
              </w:rPr>
              <w:t xml:space="preserve">l on-site. Mitcham Rd is still </w:t>
            </w:r>
            <w:r w:rsidRPr="009F655D">
              <w:rPr>
                <w:rFonts w:ascii="Arial" w:hAnsi="Arial" w:cs="Arial"/>
                <w:sz w:val="24"/>
                <w:szCs w:val="24"/>
              </w:rPr>
              <w:t>the major concern although the GLA have accepted the reforecast to Sept 16. The largest risk item is the</w:t>
            </w:r>
            <w:r>
              <w:rPr>
                <w:rFonts w:ascii="Arial" w:hAnsi="Arial" w:cs="Arial"/>
                <w:sz w:val="24"/>
                <w:szCs w:val="24"/>
              </w:rPr>
              <w:t xml:space="preserve"> need to close the road for </w:t>
            </w:r>
            <w:r w:rsidRPr="009F655D">
              <w:rPr>
                <w:rFonts w:ascii="Arial" w:hAnsi="Arial" w:cs="Arial"/>
                <w:sz w:val="24"/>
                <w:szCs w:val="24"/>
              </w:rPr>
              <w:t xml:space="preserve">Thames </w:t>
            </w:r>
            <w:r w:rsidR="00C0321A">
              <w:rPr>
                <w:rFonts w:ascii="Arial" w:hAnsi="Arial" w:cs="Arial"/>
                <w:sz w:val="24"/>
                <w:szCs w:val="24"/>
              </w:rPr>
              <w:t>W</w:t>
            </w:r>
            <w:r w:rsidRPr="009F655D">
              <w:rPr>
                <w:rFonts w:ascii="Arial" w:hAnsi="Arial" w:cs="Arial"/>
                <w:sz w:val="24"/>
                <w:szCs w:val="24"/>
              </w:rPr>
              <w:t xml:space="preserve">ater </w:t>
            </w:r>
            <w:r>
              <w:rPr>
                <w:rFonts w:ascii="Arial" w:hAnsi="Arial" w:cs="Arial"/>
                <w:sz w:val="24"/>
                <w:szCs w:val="24"/>
              </w:rPr>
              <w:t>works.  W</w:t>
            </w:r>
            <w:r w:rsidRPr="009F655D">
              <w:rPr>
                <w:rFonts w:ascii="Arial" w:hAnsi="Arial" w:cs="Arial"/>
                <w:sz w:val="24"/>
                <w:szCs w:val="24"/>
              </w:rPr>
              <w:t>e are foll</w:t>
            </w:r>
            <w:r>
              <w:rPr>
                <w:rFonts w:ascii="Arial" w:hAnsi="Arial" w:cs="Arial"/>
                <w:sz w:val="24"/>
                <w:szCs w:val="24"/>
              </w:rPr>
              <w:t>o</w:t>
            </w:r>
            <w:r w:rsidRPr="009F655D">
              <w:rPr>
                <w:rFonts w:ascii="Arial" w:hAnsi="Arial" w:cs="Arial"/>
                <w:sz w:val="24"/>
                <w:szCs w:val="24"/>
              </w:rPr>
              <w:t xml:space="preserve">wing up with Thames </w:t>
            </w:r>
            <w:r w:rsidR="00C0321A">
              <w:rPr>
                <w:rFonts w:ascii="Arial" w:hAnsi="Arial" w:cs="Arial"/>
                <w:sz w:val="24"/>
                <w:szCs w:val="24"/>
              </w:rPr>
              <w:t>W</w:t>
            </w:r>
            <w:r w:rsidRPr="009F655D">
              <w:rPr>
                <w:rFonts w:ascii="Arial" w:hAnsi="Arial" w:cs="Arial"/>
                <w:sz w:val="24"/>
                <w:szCs w:val="24"/>
              </w:rPr>
              <w:t>ater on a weekly basis to get the submitted design approved and scheduled in.</w:t>
            </w:r>
          </w:p>
          <w:p w:rsidR="00C0321A" w:rsidRPr="00277235" w:rsidRDefault="00C0321A" w:rsidP="009F655D">
            <w:pPr>
              <w:rPr>
                <w:rFonts w:ascii="Arial" w:hAnsi="Arial" w:cs="Arial"/>
                <w:sz w:val="24"/>
                <w:szCs w:val="24"/>
              </w:rPr>
            </w:pPr>
          </w:p>
        </w:tc>
      </w:tr>
      <w:tr w:rsidR="002E12FA" w:rsidRPr="00277235" w:rsidTr="00892998">
        <w:tc>
          <w:tcPr>
            <w:tcW w:w="750" w:type="dxa"/>
          </w:tcPr>
          <w:p w:rsidR="002E12FA" w:rsidRPr="00277235" w:rsidRDefault="00825521">
            <w:pPr>
              <w:rPr>
                <w:rFonts w:ascii="Arial" w:hAnsi="Arial" w:cs="Arial"/>
                <w:sz w:val="24"/>
                <w:szCs w:val="24"/>
              </w:rPr>
            </w:pPr>
            <w:r>
              <w:rPr>
                <w:rFonts w:ascii="Arial" w:hAnsi="Arial" w:cs="Arial"/>
                <w:sz w:val="24"/>
                <w:szCs w:val="24"/>
              </w:rPr>
              <w:t>4.5.3</w:t>
            </w:r>
          </w:p>
        </w:tc>
        <w:tc>
          <w:tcPr>
            <w:tcW w:w="8492" w:type="dxa"/>
          </w:tcPr>
          <w:p w:rsidR="009F655D" w:rsidRPr="009F655D" w:rsidRDefault="009F655D" w:rsidP="009F655D">
            <w:pPr>
              <w:rPr>
                <w:rFonts w:ascii="Arial" w:hAnsi="Arial" w:cs="Arial"/>
                <w:b/>
                <w:sz w:val="24"/>
                <w:szCs w:val="24"/>
              </w:rPr>
            </w:pPr>
            <w:r w:rsidRPr="009F655D">
              <w:rPr>
                <w:rFonts w:ascii="Arial" w:hAnsi="Arial" w:cs="Arial"/>
                <w:b/>
                <w:sz w:val="24"/>
                <w:szCs w:val="24"/>
              </w:rPr>
              <w:t>MHC 15/18</w:t>
            </w:r>
          </w:p>
          <w:p w:rsidR="009F655D" w:rsidRPr="009F655D" w:rsidRDefault="009F655D" w:rsidP="009F655D">
            <w:pPr>
              <w:rPr>
                <w:rFonts w:ascii="Arial" w:hAnsi="Arial" w:cs="Arial"/>
                <w:sz w:val="24"/>
                <w:szCs w:val="24"/>
              </w:rPr>
            </w:pPr>
            <w:r w:rsidRPr="009F655D">
              <w:rPr>
                <w:rFonts w:ascii="Arial" w:hAnsi="Arial" w:cs="Arial"/>
                <w:sz w:val="24"/>
                <w:szCs w:val="24"/>
              </w:rPr>
              <w:t>Good progress has been made in securing the 2015/18 programme (199 of 200).   Those schemes without planning (76 homes) still remain h</w:t>
            </w:r>
            <w:r>
              <w:rPr>
                <w:rFonts w:ascii="Arial" w:hAnsi="Arial" w:cs="Arial"/>
                <w:sz w:val="24"/>
                <w:szCs w:val="24"/>
              </w:rPr>
              <w:t xml:space="preserve">igh risk.  In addition we have </w:t>
            </w:r>
            <w:r w:rsidRPr="009F655D">
              <w:rPr>
                <w:rFonts w:ascii="Arial" w:hAnsi="Arial" w:cs="Arial"/>
                <w:sz w:val="24"/>
                <w:szCs w:val="24"/>
              </w:rPr>
              <w:t>11 s.106 units secured and on-site as well as another 35 potential s.106s, and a 29 unit rented scheme which may come to fruition.</w:t>
            </w:r>
          </w:p>
          <w:p w:rsidR="00C0321A" w:rsidRPr="00277235" w:rsidRDefault="00C0321A" w:rsidP="00825521">
            <w:pPr>
              <w:rPr>
                <w:rFonts w:ascii="Arial" w:hAnsi="Arial" w:cs="Arial"/>
                <w:sz w:val="24"/>
                <w:szCs w:val="24"/>
              </w:rPr>
            </w:pPr>
          </w:p>
        </w:tc>
      </w:tr>
      <w:tr w:rsidR="00825521" w:rsidRPr="00277235" w:rsidTr="00892998">
        <w:tc>
          <w:tcPr>
            <w:tcW w:w="750" w:type="dxa"/>
          </w:tcPr>
          <w:p w:rsidR="00825521" w:rsidRDefault="00825521">
            <w:pPr>
              <w:rPr>
                <w:rFonts w:ascii="Arial" w:hAnsi="Arial" w:cs="Arial"/>
                <w:sz w:val="24"/>
                <w:szCs w:val="24"/>
              </w:rPr>
            </w:pPr>
            <w:r>
              <w:rPr>
                <w:rFonts w:ascii="Arial" w:hAnsi="Arial" w:cs="Arial"/>
                <w:sz w:val="24"/>
                <w:szCs w:val="24"/>
              </w:rPr>
              <w:t>4.5.4</w:t>
            </w:r>
          </w:p>
        </w:tc>
        <w:tc>
          <w:tcPr>
            <w:tcW w:w="8492" w:type="dxa"/>
          </w:tcPr>
          <w:p w:rsidR="00825521" w:rsidRPr="009F655D" w:rsidRDefault="00825521" w:rsidP="00825521">
            <w:pPr>
              <w:rPr>
                <w:rFonts w:ascii="Arial" w:hAnsi="Arial" w:cs="Arial"/>
                <w:b/>
                <w:sz w:val="24"/>
                <w:szCs w:val="24"/>
              </w:rPr>
            </w:pPr>
            <w:r w:rsidRPr="009F655D">
              <w:rPr>
                <w:rFonts w:ascii="Arial" w:hAnsi="Arial" w:cs="Arial"/>
                <w:b/>
                <w:sz w:val="24"/>
                <w:szCs w:val="24"/>
              </w:rPr>
              <w:t>Outright Sale</w:t>
            </w:r>
          </w:p>
          <w:p w:rsidR="00825521" w:rsidRDefault="00825521" w:rsidP="00825521">
            <w:pPr>
              <w:rPr>
                <w:rFonts w:ascii="Arial" w:hAnsi="Arial" w:cs="Arial"/>
                <w:sz w:val="24"/>
                <w:szCs w:val="24"/>
              </w:rPr>
            </w:pPr>
            <w:proofErr w:type="spellStart"/>
            <w:r w:rsidRPr="009F655D">
              <w:rPr>
                <w:rFonts w:ascii="Arial" w:hAnsi="Arial" w:cs="Arial"/>
                <w:sz w:val="24"/>
                <w:szCs w:val="24"/>
              </w:rPr>
              <w:t>Biggin</w:t>
            </w:r>
            <w:proofErr w:type="spellEnd"/>
            <w:r w:rsidRPr="009F655D">
              <w:rPr>
                <w:rFonts w:ascii="Arial" w:hAnsi="Arial" w:cs="Arial"/>
                <w:sz w:val="24"/>
                <w:szCs w:val="24"/>
              </w:rPr>
              <w:t xml:space="preserve"> Hill will deliver 7 outright sale houses as part of a 13 unit mixed tenure scheme.  Works on site have commenced but have </w:t>
            </w:r>
            <w:r>
              <w:rPr>
                <w:rFonts w:ascii="Arial" w:hAnsi="Arial" w:cs="Arial"/>
                <w:sz w:val="24"/>
                <w:szCs w:val="24"/>
              </w:rPr>
              <w:t xml:space="preserve">been delayed due to a design issue with the height of the buildings.  This will cause a </w:t>
            </w:r>
            <w:r w:rsidRPr="009F655D">
              <w:rPr>
                <w:rFonts w:ascii="Arial" w:hAnsi="Arial" w:cs="Arial"/>
                <w:sz w:val="24"/>
                <w:szCs w:val="24"/>
              </w:rPr>
              <w:t xml:space="preserve">5 week delay. </w:t>
            </w:r>
          </w:p>
          <w:p w:rsidR="00825521" w:rsidRDefault="00825521" w:rsidP="00825521">
            <w:pPr>
              <w:rPr>
                <w:rFonts w:ascii="Arial" w:hAnsi="Arial" w:cs="Arial"/>
                <w:sz w:val="24"/>
                <w:szCs w:val="24"/>
              </w:rPr>
            </w:pPr>
          </w:p>
          <w:p w:rsidR="00825521" w:rsidRDefault="00825521" w:rsidP="00825521">
            <w:pPr>
              <w:rPr>
                <w:rFonts w:ascii="Arial" w:hAnsi="Arial" w:cs="Arial"/>
                <w:sz w:val="24"/>
                <w:szCs w:val="24"/>
              </w:rPr>
            </w:pPr>
            <w:r w:rsidRPr="009F655D">
              <w:rPr>
                <w:rFonts w:ascii="Arial" w:hAnsi="Arial" w:cs="Arial"/>
                <w:sz w:val="24"/>
                <w:szCs w:val="24"/>
              </w:rPr>
              <w:t xml:space="preserve">Now that the 2015/18 programme </w:t>
            </w:r>
            <w:r>
              <w:rPr>
                <w:rFonts w:ascii="Arial" w:hAnsi="Arial" w:cs="Arial"/>
                <w:sz w:val="24"/>
                <w:szCs w:val="24"/>
              </w:rPr>
              <w:t xml:space="preserve">is largely secured, </w:t>
            </w:r>
            <w:r w:rsidRPr="009F655D">
              <w:rPr>
                <w:rFonts w:ascii="Arial" w:hAnsi="Arial" w:cs="Arial"/>
                <w:sz w:val="24"/>
                <w:szCs w:val="24"/>
              </w:rPr>
              <w:t>the New Business team are focussed on identifying outright sale opportunities which will utilise the £10.5m available.  In addition they are actively look</w:t>
            </w:r>
            <w:r>
              <w:rPr>
                <w:rFonts w:ascii="Arial" w:hAnsi="Arial" w:cs="Arial"/>
                <w:sz w:val="24"/>
                <w:szCs w:val="24"/>
              </w:rPr>
              <w:t>ing for land investment opportu</w:t>
            </w:r>
            <w:r w:rsidRPr="009F655D">
              <w:rPr>
                <w:rFonts w:ascii="Arial" w:hAnsi="Arial" w:cs="Arial"/>
                <w:sz w:val="24"/>
                <w:szCs w:val="24"/>
              </w:rPr>
              <w:t>nities to utilise the £8.5m available.</w:t>
            </w:r>
            <w:r>
              <w:rPr>
                <w:rFonts w:ascii="Arial" w:hAnsi="Arial" w:cs="Arial"/>
                <w:sz w:val="24"/>
                <w:szCs w:val="24"/>
              </w:rPr>
              <w:t xml:space="preserve">  Obviously, this will be reviewed in the context of the impact of Brexit on the housing market.</w:t>
            </w:r>
          </w:p>
          <w:p w:rsidR="00825521" w:rsidRPr="009F655D" w:rsidRDefault="00825521" w:rsidP="009F655D">
            <w:pPr>
              <w:rPr>
                <w:rFonts w:ascii="Arial" w:hAnsi="Arial" w:cs="Arial"/>
                <w:b/>
                <w:sz w:val="24"/>
                <w:szCs w:val="24"/>
              </w:rPr>
            </w:pPr>
          </w:p>
        </w:tc>
      </w:tr>
      <w:tr w:rsidR="002E12FA" w:rsidRPr="00277235" w:rsidTr="00892998">
        <w:tc>
          <w:tcPr>
            <w:tcW w:w="750" w:type="dxa"/>
          </w:tcPr>
          <w:p w:rsidR="002E12FA" w:rsidRPr="00277235" w:rsidRDefault="00825521">
            <w:pPr>
              <w:rPr>
                <w:rFonts w:ascii="Arial" w:hAnsi="Arial" w:cs="Arial"/>
                <w:sz w:val="24"/>
                <w:szCs w:val="24"/>
              </w:rPr>
            </w:pPr>
            <w:r>
              <w:rPr>
                <w:rFonts w:ascii="Arial" w:hAnsi="Arial" w:cs="Arial"/>
                <w:sz w:val="24"/>
                <w:szCs w:val="24"/>
              </w:rPr>
              <w:t>4.5.5</w:t>
            </w:r>
          </w:p>
        </w:tc>
        <w:tc>
          <w:tcPr>
            <w:tcW w:w="8492" w:type="dxa"/>
          </w:tcPr>
          <w:p w:rsidR="009F655D" w:rsidRPr="009F655D" w:rsidRDefault="009F655D" w:rsidP="009F655D">
            <w:pPr>
              <w:rPr>
                <w:rFonts w:ascii="Arial" w:hAnsi="Arial" w:cs="Arial"/>
                <w:b/>
                <w:sz w:val="24"/>
                <w:szCs w:val="24"/>
              </w:rPr>
            </w:pPr>
            <w:r w:rsidRPr="009F655D">
              <w:rPr>
                <w:rFonts w:ascii="Arial" w:hAnsi="Arial" w:cs="Arial"/>
                <w:b/>
                <w:sz w:val="24"/>
                <w:szCs w:val="24"/>
              </w:rPr>
              <w:t>Capital at Risk</w:t>
            </w:r>
          </w:p>
          <w:p w:rsidR="002E12FA" w:rsidRPr="00277235" w:rsidRDefault="009F655D" w:rsidP="009F655D">
            <w:pPr>
              <w:rPr>
                <w:rFonts w:ascii="Arial" w:hAnsi="Arial" w:cs="Arial"/>
                <w:sz w:val="24"/>
                <w:szCs w:val="24"/>
              </w:rPr>
            </w:pPr>
            <w:r w:rsidRPr="009F655D">
              <w:rPr>
                <w:rFonts w:ascii="Arial" w:hAnsi="Arial" w:cs="Arial"/>
                <w:sz w:val="24"/>
                <w:szCs w:val="24"/>
              </w:rPr>
              <w:t>We currently have an estimated £550k capital at risk across our shared ownership and outright sale schemes.  This is well within the Board's agreed limit of £5.7m</w:t>
            </w:r>
            <w:r w:rsidR="00825521">
              <w:rPr>
                <w:rFonts w:ascii="Arial" w:hAnsi="Arial" w:cs="Arial"/>
                <w:sz w:val="24"/>
                <w:szCs w:val="24"/>
              </w:rPr>
              <w:t xml:space="preserve">. </w:t>
            </w:r>
          </w:p>
        </w:tc>
      </w:tr>
      <w:tr w:rsidR="002E12FA" w:rsidRPr="00277235" w:rsidTr="00892998">
        <w:tc>
          <w:tcPr>
            <w:tcW w:w="750" w:type="dxa"/>
          </w:tcPr>
          <w:p w:rsidR="00136333" w:rsidRPr="00EE61AC" w:rsidRDefault="00136333">
            <w:pPr>
              <w:rPr>
                <w:rFonts w:ascii="Arial" w:hAnsi="Arial" w:cs="Arial"/>
                <w:b/>
                <w:sz w:val="24"/>
                <w:szCs w:val="24"/>
              </w:rPr>
            </w:pPr>
          </w:p>
          <w:p w:rsidR="002E12FA" w:rsidRPr="00EE61AC" w:rsidRDefault="00444D1A">
            <w:pPr>
              <w:rPr>
                <w:rFonts w:ascii="Arial" w:hAnsi="Arial" w:cs="Arial"/>
                <w:b/>
                <w:sz w:val="24"/>
                <w:szCs w:val="24"/>
              </w:rPr>
            </w:pPr>
            <w:r w:rsidRPr="00EE61AC">
              <w:rPr>
                <w:rFonts w:ascii="Arial" w:hAnsi="Arial" w:cs="Arial"/>
                <w:b/>
                <w:sz w:val="24"/>
                <w:szCs w:val="24"/>
              </w:rPr>
              <w:t>4.6</w:t>
            </w:r>
          </w:p>
        </w:tc>
        <w:tc>
          <w:tcPr>
            <w:tcW w:w="8492" w:type="dxa"/>
          </w:tcPr>
          <w:p w:rsidR="00136333" w:rsidRPr="00EE61AC" w:rsidRDefault="00136333">
            <w:pPr>
              <w:rPr>
                <w:rFonts w:ascii="Arial" w:hAnsi="Arial" w:cs="Arial"/>
                <w:b/>
                <w:sz w:val="24"/>
                <w:szCs w:val="24"/>
              </w:rPr>
            </w:pPr>
          </w:p>
          <w:p w:rsidR="002E12FA" w:rsidRPr="00EE61AC" w:rsidRDefault="00444D1A">
            <w:pPr>
              <w:rPr>
                <w:rFonts w:ascii="Arial" w:hAnsi="Arial" w:cs="Arial"/>
                <w:b/>
                <w:sz w:val="24"/>
                <w:szCs w:val="24"/>
              </w:rPr>
            </w:pPr>
            <w:r w:rsidRPr="00EE61AC">
              <w:rPr>
                <w:rFonts w:ascii="Arial" w:hAnsi="Arial" w:cs="Arial"/>
                <w:b/>
                <w:sz w:val="24"/>
                <w:szCs w:val="24"/>
              </w:rPr>
              <w:t xml:space="preserve">Financial indicators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AC2D94" w:rsidRDefault="00AC2D94">
            <w:pPr>
              <w:rPr>
                <w:rFonts w:ascii="Arial" w:hAnsi="Arial" w:cs="Arial"/>
                <w:sz w:val="24"/>
                <w:szCs w:val="24"/>
              </w:rPr>
            </w:pPr>
            <w:r>
              <w:rPr>
                <w:rFonts w:ascii="Arial" w:hAnsi="Arial" w:cs="Arial"/>
                <w:sz w:val="24"/>
                <w:szCs w:val="24"/>
              </w:rPr>
              <w:t xml:space="preserve">The finance PIs are all well within an acceptable range.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bl>
    <w:p w:rsidR="002E12FA" w:rsidRPr="00277235" w:rsidRDefault="002E12FA">
      <w:pPr>
        <w:rPr>
          <w:rFonts w:ascii="Arial" w:hAnsi="Arial" w:cs="Arial"/>
          <w:sz w:val="24"/>
          <w:szCs w:val="24"/>
        </w:rPr>
      </w:pPr>
    </w:p>
    <w:sectPr w:rsidR="002E12FA" w:rsidRPr="002772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D8" w:rsidRDefault="00325ED8" w:rsidP="00277235">
      <w:pPr>
        <w:spacing w:after="0" w:line="240" w:lineRule="auto"/>
      </w:pPr>
      <w:r>
        <w:separator/>
      </w:r>
    </w:p>
  </w:endnote>
  <w:endnote w:type="continuationSeparator" w:id="0">
    <w:p w:rsidR="00325ED8" w:rsidRDefault="00325ED8" w:rsidP="002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5" w:rsidRPr="00277235" w:rsidRDefault="00277235">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Q1</w:t>
    </w:r>
    <w:proofErr w:type="gramStart"/>
    <w:r>
      <w:rPr>
        <w:rFonts w:ascii="Arial" w:eastAsiaTheme="majorEastAsia" w:hAnsi="Arial" w:cs="Arial"/>
        <w:sz w:val="20"/>
        <w:szCs w:val="20"/>
      </w:rPr>
      <w:t>,1617</w:t>
    </w:r>
    <w:proofErr w:type="gramEnd"/>
    <w:r>
      <w:rPr>
        <w:rFonts w:ascii="Arial" w:eastAsiaTheme="majorEastAsia" w:hAnsi="Arial" w:cs="Arial"/>
        <w:sz w:val="20"/>
        <w:szCs w:val="20"/>
      </w:rPr>
      <w:t xml:space="preserve">_PIs report to Board </w:t>
    </w:r>
    <w:r w:rsidRPr="00277235">
      <w:rPr>
        <w:rFonts w:ascii="Arial" w:eastAsiaTheme="majorEastAsia" w:hAnsi="Arial" w:cs="Arial"/>
        <w:sz w:val="20"/>
        <w:szCs w:val="20"/>
      </w:rPr>
      <w:ptab w:relativeTo="margin" w:alignment="right" w:leader="none"/>
    </w:r>
    <w:r w:rsidRPr="00277235">
      <w:rPr>
        <w:rFonts w:ascii="Arial" w:eastAsiaTheme="majorEastAsia" w:hAnsi="Arial" w:cs="Arial"/>
        <w:sz w:val="20"/>
        <w:szCs w:val="20"/>
      </w:rPr>
      <w:t xml:space="preserve">Page </w:t>
    </w:r>
    <w:r w:rsidRPr="00277235">
      <w:rPr>
        <w:rFonts w:ascii="Arial" w:eastAsiaTheme="minorEastAsia" w:hAnsi="Arial" w:cs="Arial"/>
        <w:sz w:val="20"/>
        <w:szCs w:val="20"/>
      </w:rPr>
      <w:fldChar w:fldCharType="begin"/>
    </w:r>
    <w:r w:rsidRPr="00277235">
      <w:rPr>
        <w:rFonts w:ascii="Arial" w:hAnsi="Arial" w:cs="Arial"/>
        <w:sz w:val="20"/>
        <w:szCs w:val="20"/>
      </w:rPr>
      <w:instrText xml:space="preserve"> PAGE   \* MERGEFORMAT </w:instrText>
    </w:r>
    <w:r w:rsidRPr="00277235">
      <w:rPr>
        <w:rFonts w:ascii="Arial" w:eastAsiaTheme="minorEastAsia" w:hAnsi="Arial" w:cs="Arial"/>
        <w:sz w:val="20"/>
        <w:szCs w:val="20"/>
      </w:rPr>
      <w:fldChar w:fldCharType="separate"/>
    </w:r>
    <w:r w:rsidR="00416124" w:rsidRPr="00416124">
      <w:rPr>
        <w:rFonts w:ascii="Arial" w:eastAsiaTheme="majorEastAsia" w:hAnsi="Arial" w:cs="Arial"/>
        <w:noProof/>
        <w:sz w:val="20"/>
        <w:szCs w:val="20"/>
      </w:rPr>
      <w:t>1</w:t>
    </w:r>
    <w:r w:rsidRPr="00277235">
      <w:rPr>
        <w:rFonts w:ascii="Arial" w:eastAsiaTheme="majorEastAsia" w:hAnsi="Arial" w:cs="Arial"/>
        <w:noProof/>
        <w:sz w:val="20"/>
        <w:szCs w:val="20"/>
      </w:rPr>
      <w:fldChar w:fldCharType="end"/>
    </w:r>
  </w:p>
  <w:p w:rsidR="00277235" w:rsidRDefault="0027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D8" w:rsidRDefault="00325ED8" w:rsidP="00277235">
      <w:pPr>
        <w:spacing w:after="0" w:line="240" w:lineRule="auto"/>
      </w:pPr>
      <w:r>
        <w:separator/>
      </w:r>
    </w:p>
  </w:footnote>
  <w:footnote w:type="continuationSeparator" w:id="0">
    <w:p w:rsidR="00325ED8" w:rsidRDefault="00325ED8" w:rsidP="00277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FA"/>
    <w:rsid w:val="00034701"/>
    <w:rsid w:val="000C3299"/>
    <w:rsid w:val="000F7E9B"/>
    <w:rsid w:val="00125729"/>
    <w:rsid w:val="00136333"/>
    <w:rsid w:val="00185803"/>
    <w:rsid w:val="00277235"/>
    <w:rsid w:val="002E12FA"/>
    <w:rsid w:val="00325ED8"/>
    <w:rsid w:val="00340993"/>
    <w:rsid w:val="00341D50"/>
    <w:rsid w:val="00416124"/>
    <w:rsid w:val="00444D1A"/>
    <w:rsid w:val="00670E0F"/>
    <w:rsid w:val="006E4EE4"/>
    <w:rsid w:val="007E77AB"/>
    <w:rsid w:val="00806964"/>
    <w:rsid w:val="00825521"/>
    <w:rsid w:val="00892998"/>
    <w:rsid w:val="009F655D"/>
    <w:rsid w:val="00AC2D94"/>
    <w:rsid w:val="00BA6156"/>
    <w:rsid w:val="00C0321A"/>
    <w:rsid w:val="00CB6D54"/>
    <w:rsid w:val="00D56BD9"/>
    <w:rsid w:val="00D86688"/>
    <w:rsid w:val="00EE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35"/>
  </w:style>
  <w:style w:type="paragraph" w:styleId="Footer">
    <w:name w:val="footer"/>
    <w:basedOn w:val="Normal"/>
    <w:link w:val="FooterChar"/>
    <w:uiPriority w:val="99"/>
    <w:unhideWhenUsed/>
    <w:rsid w:val="0027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35"/>
  </w:style>
  <w:style w:type="paragraph" w:styleId="BalloonText">
    <w:name w:val="Balloon Text"/>
    <w:basedOn w:val="Normal"/>
    <w:link w:val="BalloonTextChar"/>
    <w:uiPriority w:val="99"/>
    <w:semiHidden/>
    <w:unhideWhenUsed/>
    <w:rsid w:val="0027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35"/>
  </w:style>
  <w:style w:type="paragraph" w:styleId="Footer">
    <w:name w:val="footer"/>
    <w:basedOn w:val="Normal"/>
    <w:link w:val="FooterChar"/>
    <w:uiPriority w:val="99"/>
    <w:unhideWhenUsed/>
    <w:rsid w:val="0027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35"/>
  </w:style>
  <w:style w:type="paragraph" w:styleId="BalloonText">
    <w:name w:val="Balloon Text"/>
    <w:basedOn w:val="Normal"/>
    <w:link w:val="BalloonTextChar"/>
    <w:uiPriority w:val="99"/>
    <w:semiHidden/>
    <w:unhideWhenUsed/>
    <w:rsid w:val="0027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4</cp:revision>
  <cp:lastPrinted>2016-07-19T19:15:00Z</cp:lastPrinted>
  <dcterms:created xsi:type="dcterms:W3CDTF">2016-07-18T16:21:00Z</dcterms:created>
  <dcterms:modified xsi:type="dcterms:W3CDTF">2016-07-19T19:15:00Z</dcterms:modified>
</cp:coreProperties>
</file>