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BA26A" w14:textId="77777777" w:rsidR="005D18E9" w:rsidRPr="00666E01" w:rsidRDefault="005D18E9" w:rsidP="00D242B4">
      <w:bookmarkStart w:id="0" w:name="_GoBack"/>
      <w:bookmarkEnd w:id="0"/>
    </w:p>
    <w:p w14:paraId="724282A3" w14:textId="77777777" w:rsidR="005D18E9" w:rsidRPr="00666E01" w:rsidRDefault="005D18E9" w:rsidP="00D242B4"/>
    <w:p w14:paraId="7C9AA803" w14:textId="77777777" w:rsidR="005D18E9" w:rsidRPr="00666E01" w:rsidRDefault="005D18E9" w:rsidP="00D242B4"/>
    <w:p w14:paraId="542C8495" w14:textId="420077B3" w:rsidR="005D18E9" w:rsidRPr="00666E01" w:rsidRDefault="005D18E9" w:rsidP="00D242B4">
      <w:r w:rsidRPr="00666E01">
        <w:rPr>
          <w:noProof/>
          <w:lang w:eastAsia="en-GB"/>
        </w:rPr>
        <w:drawing>
          <wp:anchor distT="0" distB="0" distL="114300" distR="114300" simplePos="0" relativeHeight="251661312" behindDoc="1" locked="0" layoutInCell="1" allowOverlap="1" wp14:anchorId="6BAA6BD3" wp14:editId="03F75D6B">
            <wp:simplePos x="0" y="0"/>
            <wp:positionH relativeFrom="page">
              <wp:posOffset>-2215</wp:posOffset>
            </wp:positionH>
            <wp:positionV relativeFrom="page">
              <wp:posOffset>2317898</wp:posOffset>
            </wp:positionV>
            <wp:extent cx="5605573" cy="138223"/>
            <wp:effectExtent l="19050" t="0" r="0" b="0"/>
            <wp:wrapNone/>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5573" cy="138223"/>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6277ED02" wp14:editId="62466794">
                <wp:simplePos x="0" y="0"/>
                <wp:positionH relativeFrom="column">
                  <wp:posOffset>-939165</wp:posOffset>
                </wp:positionH>
                <wp:positionV relativeFrom="paragraph">
                  <wp:posOffset>251460</wp:posOffset>
                </wp:positionV>
                <wp:extent cx="6438900" cy="1871980"/>
                <wp:effectExtent l="3810" t="0" r="0"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71980"/>
                        </a:xfrm>
                        <a:prstGeom prst="rect">
                          <a:avLst/>
                        </a:prstGeom>
                        <a:solidFill>
                          <a:schemeClr val="bg1">
                            <a:lumMod val="65000"/>
                            <a:lumOff val="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CE8B66" w14:textId="77777777" w:rsidR="002D0B9A" w:rsidRPr="002B32C6" w:rsidRDefault="002D0B9A" w:rsidP="005D18E9">
                            <w:pPr>
                              <w:rPr>
                                <w:rFonts w:ascii="Arial" w:hAnsi="Arial" w:cs="Arial"/>
                              </w:rPr>
                            </w:pPr>
                          </w:p>
                          <w:p w14:paraId="18C68054" w14:textId="77777777" w:rsidR="002D0B9A" w:rsidRPr="002B32C6" w:rsidRDefault="002D0B9A" w:rsidP="005D18E9">
                            <w:pPr>
                              <w:rPr>
                                <w:rFonts w:ascii="Arial" w:hAnsi="Arial" w:cs="Arial"/>
                              </w:rPr>
                            </w:pPr>
                          </w:p>
                          <w:p w14:paraId="1235D9CE" w14:textId="77777777"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 xml:space="preserve">Treasury Performance Review and Strategy </w:t>
                            </w:r>
                          </w:p>
                          <w:p w14:paraId="36F16BA9" w14:textId="50241823"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July 2016</w:t>
                            </w:r>
                          </w:p>
                          <w:p w14:paraId="66BBF23B" w14:textId="77777777" w:rsidR="002D0B9A" w:rsidRPr="002B32C6" w:rsidRDefault="002D0B9A" w:rsidP="005D18E9">
                            <w:pPr>
                              <w:rPr>
                                <w:rFonts w:ascii="Arial" w:hAnsi="Arial" w:cs="Arial"/>
                              </w:rPr>
                            </w:pPr>
                          </w:p>
                          <w:p w14:paraId="5348B858" w14:textId="77777777" w:rsidR="002D0B9A" w:rsidRPr="002B32C6" w:rsidRDefault="002D0B9A" w:rsidP="005D18E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7ED02" id="Rectangle 12" o:spid="_x0000_s1026" style="position:absolute;margin-left:-73.95pt;margin-top:19.8pt;width:507pt;height:1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" fillcolor="#a5a5a5 [2092]" stroked="f">
                <v:shadow on="t" opacity="22936f" origin=",.5" offset="0,.63889mm"/>
                <v:textbox>
                  <w:txbxContent>
                    <w:p w14:paraId="12CE8B66" w14:textId="77777777" w:rsidR="002D0B9A" w:rsidRPr="002B32C6" w:rsidRDefault="002D0B9A" w:rsidP="005D18E9">
                      <w:pPr>
                        <w:rPr>
                          <w:rFonts w:ascii="Arial" w:hAnsi="Arial" w:cs="Arial"/>
                        </w:rPr>
                      </w:pPr>
                    </w:p>
                    <w:p w14:paraId="18C68054" w14:textId="77777777" w:rsidR="002D0B9A" w:rsidRPr="002B32C6" w:rsidRDefault="002D0B9A" w:rsidP="005D18E9">
                      <w:pPr>
                        <w:rPr>
                          <w:rFonts w:ascii="Arial" w:hAnsi="Arial" w:cs="Arial"/>
                        </w:rPr>
                      </w:pPr>
                    </w:p>
                    <w:p w14:paraId="1235D9CE" w14:textId="77777777"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 xml:space="preserve">Treasury Performance Review and Strategy </w:t>
                      </w:r>
                    </w:p>
                    <w:p w14:paraId="36F16BA9" w14:textId="50241823" w:rsidR="002D0B9A" w:rsidRDefault="002D0B9A" w:rsidP="00FA08F1">
                      <w:pPr>
                        <w:ind w:firstLine="990"/>
                        <w:rPr>
                          <w:rFonts w:ascii="Arial" w:hAnsi="Arial" w:cs="Arial"/>
                          <w:b/>
                          <w:color w:val="FFFFFF" w:themeColor="background1"/>
                          <w:sz w:val="40"/>
                          <w:szCs w:val="40"/>
                        </w:rPr>
                      </w:pPr>
                      <w:r>
                        <w:rPr>
                          <w:rFonts w:ascii="Arial" w:hAnsi="Arial" w:cs="Arial"/>
                          <w:b/>
                          <w:color w:val="FFFFFF" w:themeColor="background1"/>
                          <w:sz w:val="40"/>
                          <w:szCs w:val="40"/>
                        </w:rPr>
                        <w:t>July 2016</w:t>
                      </w:r>
                    </w:p>
                    <w:p w14:paraId="66BBF23B" w14:textId="77777777" w:rsidR="002D0B9A" w:rsidRPr="002B32C6" w:rsidRDefault="002D0B9A" w:rsidP="005D18E9">
                      <w:pPr>
                        <w:rPr>
                          <w:rFonts w:ascii="Arial" w:hAnsi="Arial" w:cs="Arial"/>
                        </w:rPr>
                      </w:pPr>
                    </w:p>
                    <w:p w14:paraId="5348B858" w14:textId="77777777" w:rsidR="002D0B9A" w:rsidRPr="002B32C6" w:rsidRDefault="002D0B9A" w:rsidP="005D18E9">
                      <w:pPr>
                        <w:rPr>
                          <w:rFonts w:ascii="Arial" w:hAnsi="Arial" w:cs="Arial"/>
                        </w:rPr>
                      </w:pPr>
                    </w:p>
                  </w:txbxContent>
                </v:textbox>
              </v:rect>
            </w:pict>
          </mc:Fallback>
        </mc:AlternateContent>
      </w:r>
    </w:p>
    <w:p w14:paraId="4AE72DF5" w14:textId="77777777" w:rsidR="005D18E9" w:rsidRPr="00666E01" w:rsidRDefault="005D18E9" w:rsidP="00D242B4"/>
    <w:p w14:paraId="21DAE413" w14:textId="77777777" w:rsidR="005D18E9" w:rsidRPr="00666E01" w:rsidRDefault="005D18E9" w:rsidP="00D242B4"/>
    <w:p w14:paraId="656C7F19" w14:textId="77777777" w:rsidR="005D18E9" w:rsidRPr="00666E01" w:rsidRDefault="005D18E9" w:rsidP="00D242B4"/>
    <w:p w14:paraId="0E54C5E4" w14:textId="77777777" w:rsidR="005D18E9" w:rsidRPr="00666E01" w:rsidRDefault="005D18E9" w:rsidP="00D242B4"/>
    <w:p w14:paraId="65386D34" w14:textId="77777777" w:rsidR="005D18E9" w:rsidRPr="00666E01" w:rsidRDefault="005D18E9" w:rsidP="00D242B4"/>
    <w:p w14:paraId="40C258A1" w14:textId="1FD917B0" w:rsidR="005D18E9" w:rsidRPr="00666E01" w:rsidRDefault="005D18E9" w:rsidP="00D242B4">
      <w:r>
        <w:rPr>
          <w:noProof/>
          <w:lang w:eastAsia="en-GB"/>
        </w:rPr>
        <mc:AlternateContent>
          <mc:Choice Requires="wps">
            <w:drawing>
              <wp:anchor distT="0" distB="0" distL="114300" distR="114300" simplePos="0" relativeHeight="251659264" behindDoc="0" locked="0" layoutInCell="1" allowOverlap="1" wp14:anchorId="2DCC5466" wp14:editId="6E7F2C73">
                <wp:simplePos x="0" y="0"/>
                <wp:positionH relativeFrom="column">
                  <wp:posOffset>-939165</wp:posOffset>
                </wp:positionH>
                <wp:positionV relativeFrom="paragraph">
                  <wp:posOffset>184785</wp:posOffset>
                </wp:positionV>
                <wp:extent cx="5662930" cy="1143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9016AE" id="Rectangle 11" o:spid="_x0000_s1026" style="position:absolute;margin-left:-73.95pt;margin-top:14.55pt;width:445.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" fillcolor="#d8d8d8 [2732]" stroked="f" strokeweight=".5pt">
                <v:path arrowok="t"/>
              </v:rect>
            </w:pict>
          </mc:Fallback>
        </mc:AlternateContent>
      </w:r>
    </w:p>
    <w:p w14:paraId="7ACEF22D" w14:textId="77777777" w:rsidR="005D18E9" w:rsidRPr="00666E01" w:rsidRDefault="005D18E9" w:rsidP="00D242B4"/>
    <w:p w14:paraId="702D9272" w14:textId="77777777" w:rsidR="005D18E9" w:rsidRPr="00666E01" w:rsidRDefault="005D18E9" w:rsidP="00D242B4"/>
    <w:p w14:paraId="1F58010C" w14:textId="77777777" w:rsidR="005D18E9" w:rsidRDefault="005D18E9" w:rsidP="00D242B4"/>
    <w:p w14:paraId="0E2CF6EA" w14:textId="77777777" w:rsidR="005D18E9" w:rsidRDefault="005D18E9" w:rsidP="00D242B4"/>
    <w:p w14:paraId="6E092268" w14:textId="77777777" w:rsidR="005D18E9" w:rsidRDefault="005D18E9" w:rsidP="00D242B4">
      <w:pPr>
        <w:rPr>
          <w:b/>
          <w:sz w:val="36"/>
          <w:szCs w:val="36"/>
        </w:rPr>
      </w:pPr>
    </w:p>
    <w:p w14:paraId="6F79E0D8" w14:textId="77777777" w:rsidR="005D18E9" w:rsidRDefault="005D18E9" w:rsidP="00D242B4">
      <w:pPr>
        <w:rPr>
          <w:b/>
          <w:sz w:val="36"/>
          <w:szCs w:val="36"/>
        </w:rPr>
      </w:pPr>
    </w:p>
    <w:p w14:paraId="31B3C26B" w14:textId="77777777" w:rsidR="005D18E9" w:rsidRDefault="005D18E9" w:rsidP="00D242B4"/>
    <w:p w14:paraId="583657C4" w14:textId="77777777" w:rsidR="005D18E9" w:rsidRDefault="005D18E9" w:rsidP="00D242B4"/>
    <w:p w14:paraId="37D1CC53" w14:textId="77777777" w:rsidR="005D18E9" w:rsidRDefault="005D18E9" w:rsidP="00D242B4"/>
    <w:p w14:paraId="069868FE" w14:textId="77777777" w:rsidR="005D18E9" w:rsidRDefault="005D18E9" w:rsidP="00D242B4"/>
    <w:p w14:paraId="20008DC6" w14:textId="77777777" w:rsidR="005D18E9" w:rsidRPr="00666E01" w:rsidRDefault="005D18E9" w:rsidP="00D242B4"/>
    <w:p w14:paraId="504BB2EE" w14:textId="77777777" w:rsidR="005D18E9" w:rsidRPr="00666E01" w:rsidRDefault="005D18E9" w:rsidP="00D242B4"/>
    <w:p w14:paraId="031C31AD" w14:textId="77777777" w:rsidR="005D18E9" w:rsidRPr="00666E01" w:rsidRDefault="005D18E9" w:rsidP="00D242B4">
      <w:pPr>
        <w:sectPr w:rsidR="005D18E9" w:rsidRPr="00666E01" w:rsidSect="00D52641">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666E01">
        <w:br w:type="page"/>
      </w:r>
    </w:p>
    <w:p w14:paraId="20213FC9" w14:textId="77777777" w:rsidR="00757A5F" w:rsidRPr="00757A5F" w:rsidRDefault="00757A5F" w:rsidP="00D242B4">
      <w:pPr>
        <w:rPr>
          <w:rFonts w:eastAsiaTheme="majorEastAsia" w:cstheme="majorBidi"/>
          <w:color w:val="002060"/>
          <w:sz w:val="36"/>
          <w:szCs w:val="36"/>
          <w:lang w:eastAsia="en-GB"/>
        </w:rPr>
      </w:pPr>
    </w:p>
    <w:p w14:paraId="3698D351" w14:textId="77777777" w:rsidR="00757A5F" w:rsidRPr="00757A5F" w:rsidRDefault="00757A5F" w:rsidP="00D242B4">
      <w:pPr>
        <w:rPr>
          <w:rFonts w:eastAsiaTheme="majorEastAsia" w:cstheme="majorBidi"/>
          <w:color w:val="002060"/>
          <w:sz w:val="36"/>
          <w:szCs w:val="36"/>
          <w:lang w:eastAsia="en-GB"/>
        </w:rPr>
      </w:pPr>
    </w:p>
    <w:p w14:paraId="6145AFC8" w14:textId="77777777" w:rsidR="00757A5F" w:rsidRPr="00757A5F" w:rsidRDefault="00757A5F" w:rsidP="00D242B4">
      <w:pPr>
        <w:rPr>
          <w:rFonts w:eastAsiaTheme="majorEastAsia" w:cstheme="majorBidi"/>
          <w:color w:val="002060"/>
          <w:sz w:val="36"/>
          <w:szCs w:val="36"/>
          <w:lang w:eastAsia="en-GB"/>
        </w:rPr>
      </w:pPr>
    </w:p>
    <w:p w14:paraId="4975693E" w14:textId="77777777" w:rsidR="00757A5F" w:rsidRPr="00757A5F" w:rsidRDefault="00757A5F" w:rsidP="00D242B4">
      <w:pPr>
        <w:rPr>
          <w:rFonts w:eastAsiaTheme="majorEastAsia" w:cstheme="majorBidi"/>
          <w:color w:val="002060"/>
          <w:sz w:val="36"/>
          <w:szCs w:val="36"/>
          <w:lang w:eastAsia="en-GB"/>
        </w:rPr>
      </w:pPr>
    </w:p>
    <w:sdt>
      <w:sdtPr>
        <w:rPr>
          <w:rFonts w:asciiTheme="minorHAnsi" w:eastAsiaTheme="minorHAnsi" w:hAnsiTheme="minorHAnsi" w:cstheme="minorBidi"/>
          <w:color w:val="auto"/>
          <w:sz w:val="22"/>
          <w:szCs w:val="22"/>
          <w:lang w:val="en-GB"/>
        </w:rPr>
        <w:id w:val="625120452"/>
        <w:docPartObj>
          <w:docPartGallery w:val="Table of Contents"/>
          <w:docPartUnique/>
        </w:docPartObj>
      </w:sdtPr>
      <w:sdtEndPr>
        <w:rPr>
          <w:b/>
          <w:bCs/>
          <w:noProof/>
        </w:rPr>
      </w:sdtEndPr>
      <w:sdtContent>
        <w:p w14:paraId="27C8E757" w14:textId="72AA8444" w:rsidR="00D03508" w:rsidRDefault="00D03508" w:rsidP="000B2B52">
          <w:pPr>
            <w:pStyle w:val="TOCHeading"/>
            <w:ind w:firstLine="720"/>
            <w:rPr>
              <w:rFonts w:ascii="Calibri" w:hAnsi="Calibri" w:cstheme="minorBidi"/>
              <w:bCs/>
              <w:color w:val="44546A"/>
              <w:spacing w:val="-20"/>
              <w:sz w:val="42"/>
              <w:szCs w:val="42"/>
              <w:lang w:eastAsia="en-GB" w:bidi="en-US"/>
            </w:rPr>
          </w:pPr>
          <w:r w:rsidRPr="008F557D">
            <w:rPr>
              <w:rFonts w:ascii="Calibri" w:hAnsi="Calibri" w:cstheme="minorBidi"/>
              <w:bCs/>
              <w:color w:val="44546A"/>
              <w:spacing w:val="-20"/>
              <w:sz w:val="42"/>
              <w:szCs w:val="42"/>
              <w:lang w:eastAsia="en-GB" w:bidi="en-US"/>
            </w:rPr>
            <w:t>Contents</w:t>
          </w:r>
        </w:p>
        <w:p w14:paraId="7DB78CC7" w14:textId="77777777" w:rsidR="00D03508" w:rsidRPr="008F557D" w:rsidRDefault="00D03508" w:rsidP="00D03508">
          <w:pPr>
            <w:rPr>
              <w:rFonts w:ascii="Calibri" w:hAnsi="Calibri"/>
              <w:color w:val="44546A"/>
              <w:sz w:val="28"/>
              <w:szCs w:val="28"/>
              <w:lang w:val="en-US" w:eastAsia="en-GB" w:bidi="en-US"/>
            </w:rPr>
          </w:pPr>
        </w:p>
        <w:p w14:paraId="0C7BD6A8" w14:textId="77777777" w:rsidR="002D0B9A" w:rsidRPr="003F32C7" w:rsidRDefault="00D03508">
          <w:pPr>
            <w:pStyle w:val="TOC1"/>
            <w:tabs>
              <w:tab w:val="left" w:pos="440"/>
              <w:tab w:val="right" w:leader="dot" w:pos="9440"/>
            </w:tabs>
            <w:rPr>
              <w:rFonts w:eastAsiaTheme="minorEastAsia"/>
              <w:noProof/>
              <w:color w:val="44546A"/>
              <w:lang w:eastAsia="en-GB"/>
            </w:rPr>
          </w:pPr>
          <w:r w:rsidRPr="00EE3B7A">
            <w:rPr>
              <w:rFonts w:ascii="Calibri" w:eastAsiaTheme="majorEastAsia" w:hAnsi="Calibri"/>
              <w:bCs/>
              <w:color w:val="44546A"/>
              <w:spacing w:val="-20"/>
              <w:sz w:val="28"/>
              <w:szCs w:val="28"/>
              <w:lang w:val="en-US" w:eastAsia="en-GB" w:bidi="en-US"/>
            </w:rPr>
            <w:fldChar w:fldCharType="begin"/>
          </w:r>
          <w:r w:rsidRPr="008F557D">
            <w:rPr>
              <w:rFonts w:ascii="Calibri" w:eastAsiaTheme="majorEastAsia" w:hAnsi="Calibri"/>
              <w:bCs/>
              <w:color w:val="44546A"/>
              <w:spacing w:val="-20"/>
              <w:sz w:val="28"/>
              <w:szCs w:val="28"/>
              <w:lang w:val="en-US" w:eastAsia="en-GB" w:bidi="en-US"/>
            </w:rPr>
            <w:instrText xml:space="preserve"> TOC \o "1-3" \h \z \u </w:instrText>
          </w:r>
          <w:r w:rsidRPr="00EE3B7A">
            <w:rPr>
              <w:rFonts w:ascii="Calibri" w:eastAsiaTheme="majorEastAsia" w:hAnsi="Calibri"/>
              <w:bCs/>
              <w:color w:val="44546A"/>
              <w:spacing w:val="-20"/>
              <w:sz w:val="28"/>
              <w:szCs w:val="28"/>
              <w:lang w:val="en-US" w:eastAsia="en-GB" w:bidi="en-US"/>
            </w:rPr>
            <w:fldChar w:fldCharType="separate"/>
          </w:r>
          <w:hyperlink w:anchor="_Toc456265888" w:history="1">
            <w:r w:rsidR="002D0B9A" w:rsidRPr="003F32C7">
              <w:rPr>
                <w:rStyle w:val="Hyperlink"/>
                <w:rFonts w:eastAsiaTheme="majorEastAsia"/>
                <w:noProof/>
                <w:color w:val="44546A"/>
                <w:lang w:eastAsia="en-GB" w:bidi="en-US"/>
              </w:rPr>
              <w:t>1.</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Treasury Performance Review</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_Toc456265888 \h </w:instrText>
            </w:r>
            <w:r w:rsidR="002D0B9A" w:rsidRPr="003F32C7">
              <w:rPr>
                <w:noProof/>
                <w:webHidden/>
                <w:color w:val="44546A"/>
              </w:rPr>
            </w:r>
            <w:r w:rsidR="002D0B9A" w:rsidRPr="003F32C7">
              <w:rPr>
                <w:noProof/>
                <w:webHidden/>
                <w:color w:val="44546A"/>
              </w:rPr>
              <w:fldChar w:fldCharType="separate"/>
            </w:r>
            <w:r w:rsidR="0017396A">
              <w:rPr>
                <w:noProof/>
                <w:webHidden/>
                <w:color w:val="44546A"/>
              </w:rPr>
              <w:t>3</w:t>
            </w:r>
            <w:r w:rsidR="002D0B9A" w:rsidRPr="003F32C7">
              <w:rPr>
                <w:noProof/>
                <w:webHidden/>
                <w:color w:val="44546A"/>
              </w:rPr>
              <w:fldChar w:fldCharType="end"/>
            </w:r>
          </w:hyperlink>
        </w:p>
        <w:p w14:paraId="05E6ABB3" w14:textId="77777777" w:rsidR="002D0B9A" w:rsidRPr="003F32C7" w:rsidRDefault="0017396A">
          <w:pPr>
            <w:pStyle w:val="TOC1"/>
            <w:tabs>
              <w:tab w:val="left" w:pos="440"/>
              <w:tab w:val="right" w:leader="dot" w:pos="9440"/>
            </w:tabs>
            <w:rPr>
              <w:rFonts w:eastAsiaTheme="minorEastAsia"/>
              <w:noProof/>
              <w:color w:val="44546A"/>
              <w:lang w:eastAsia="en-GB"/>
            </w:rPr>
          </w:pPr>
          <w:hyperlink w:anchor="_Toc456265890" w:history="1">
            <w:r w:rsidR="002D0B9A" w:rsidRPr="003F32C7">
              <w:rPr>
                <w:rStyle w:val="Hyperlink"/>
                <w:rFonts w:eastAsiaTheme="majorEastAsia"/>
                <w:noProof/>
                <w:color w:val="44546A"/>
                <w:lang w:eastAsia="en-GB" w:bidi="en-US"/>
              </w:rPr>
              <w:t>2.</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Review of current loan portfolio</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_Toc456265890 \h </w:instrText>
            </w:r>
            <w:r w:rsidR="002D0B9A" w:rsidRPr="003F32C7">
              <w:rPr>
                <w:noProof/>
                <w:webHidden/>
                <w:color w:val="44546A"/>
              </w:rPr>
            </w:r>
            <w:r w:rsidR="002D0B9A" w:rsidRPr="003F32C7">
              <w:rPr>
                <w:noProof/>
                <w:webHidden/>
                <w:color w:val="44546A"/>
              </w:rPr>
              <w:fldChar w:fldCharType="separate"/>
            </w:r>
            <w:r>
              <w:rPr>
                <w:noProof/>
                <w:webHidden/>
                <w:color w:val="44546A"/>
              </w:rPr>
              <w:t>5</w:t>
            </w:r>
            <w:r w:rsidR="002D0B9A" w:rsidRPr="003F32C7">
              <w:rPr>
                <w:noProof/>
                <w:webHidden/>
                <w:color w:val="44546A"/>
              </w:rPr>
              <w:fldChar w:fldCharType="end"/>
            </w:r>
          </w:hyperlink>
        </w:p>
        <w:p w14:paraId="7D559C22" w14:textId="77777777" w:rsidR="002D0B9A" w:rsidRPr="003F32C7" w:rsidRDefault="0017396A">
          <w:pPr>
            <w:pStyle w:val="TOC1"/>
            <w:tabs>
              <w:tab w:val="left" w:pos="440"/>
              <w:tab w:val="right" w:leader="dot" w:pos="9440"/>
            </w:tabs>
            <w:rPr>
              <w:rFonts w:eastAsiaTheme="minorEastAsia"/>
              <w:noProof/>
              <w:color w:val="44546A"/>
              <w:lang w:eastAsia="en-GB"/>
            </w:rPr>
          </w:pPr>
          <w:hyperlink w:anchor="_Toc456265891" w:history="1">
            <w:r w:rsidR="002D0B9A" w:rsidRPr="003F32C7">
              <w:rPr>
                <w:rStyle w:val="Hyperlink"/>
                <w:rFonts w:eastAsiaTheme="majorEastAsia"/>
                <w:noProof/>
                <w:color w:val="44546A"/>
                <w:lang w:eastAsia="en-GB" w:bidi="en-US"/>
              </w:rPr>
              <w:t>3.</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Annual Treasury Strategy</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_Toc456265891 \h </w:instrText>
            </w:r>
            <w:r w:rsidR="002D0B9A" w:rsidRPr="003F32C7">
              <w:rPr>
                <w:noProof/>
                <w:webHidden/>
                <w:color w:val="44546A"/>
              </w:rPr>
            </w:r>
            <w:r w:rsidR="002D0B9A" w:rsidRPr="003F32C7">
              <w:rPr>
                <w:noProof/>
                <w:webHidden/>
                <w:color w:val="44546A"/>
              </w:rPr>
              <w:fldChar w:fldCharType="separate"/>
            </w:r>
            <w:r>
              <w:rPr>
                <w:noProof/>
                <w:webHidden/>
                <w:color w:val="44546A"/>
              </w:rPr>
              <w:t>6</w:t>
            </w:r>
            <w:r w:rsidR="002D0B9A" w:rsidRPr="003F32C7">
              <w:rPr>
                <w:noProof/>
                <w:webHidden/>
                <w:color w:val="44546A"/>
              </w:rPr>
              <w:fldChar w:fldCharType="end"/>
            </w:r>
          </w:hyperlink>
        </w:p>
        <w:p w14:paraId="5853C7B3" w14:textId="77777777" w:rsidR="002D0B9A" w:rsidRPr="003F32C7" w:rsidRDefault="0017396A">
          <w:pPr>
            <w:pStyle w:val="TOC1"/>
            <w:tabs>
              <w:tab w:val="left" w:pos="440"/>
              <w:tab w:val="right" w:leader="dot" w:pos="9440"/>
            </w:tabs>
            <w:rPr>
              <w:rFonts w:eastAsiaTheme="minorEastAsia"/>
              <w:noProof/>
              <w:color w:val="44546A"/>
              <w:lang w:eastAsia="en-GB"/>
            </w:rPr>
          </w:pPr>
          <w:hyperlink w:anchor="_Toc456265892" w:history="1">
            <w:r w:rsidR="002D0B9A" w:rsidRPr="003F32C7">
              <w:rPr>
                <w:rStyle w:val="Hyperlink"/>
                <w:rFonts w:eastAsiaTheme="majorEastAsia"/>
                <w:noProof/>
                <w:color w:val="44546A"/>
                <w:lang w:eastAsia="en-GB" w:bidi="en-US"/>
              </w:rPr>
              <w:t>4.</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Borrowing strategy</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_Toc456265892 \h </w:instrText>
            </w:r>
            <w:r w:rsidR="002D0B9A" w:rsidRPr="003F32C7">
              <w:rPr>
                <w:noProof/>
                <w:webHidden/>
                <w:color w:val="44546A"/>
              </w:rPr>
            </w:r>
            <w:r w:rsidR="002D0B9A" w:rsidRPr="003F32C7">
              <w:rPr>
                <w:noProof/>
                <w:webHidden/>
                <w:color w:val="44546A"/>
              </w:rPr>
              <w:fldChar w:fldCharType="separate"/>
            </w:r>
            <w:r>
              <w:rPr>
                <w:noProof/>
                <w:webHidden/>
                <w:color w:val="44546A"/>
              </w:rPr>
              <w:t>8</w:t>
            </w:r>
            <w:r w:rsidR="002D0B9A" w:rsidRPr="003F32C7">
              <w:rPr>
                <w:noProof/>
                <w:webHidden/>
                <w:color w:val="44546A"/>
              </w:rPr>
              <w:fldChar w:fldCharType="end"/>
            </w:r>
          </w:hyperlink>
        </w:p>
        <w:p w14:paraId="212107E7" w14:textId="77777777" w:rsidR="002D0B9A" w:rsidRPr="003F32C7" w:rsidRDefault="0017396A">
          <w:pPr>
            <w:pStyle w:val="TOC1"/>
            <w:tabs>
              <w:tab w:val="left" w:pos="440"/>
              <w:tab w:val="right" w:leader="dot" w:pos="9440"/>
            </w:tabs>
            <w:rPr>
              <w:rFonts w:eastAsiaTheme="minorEastAsia"/>
              <w:noProof/>
              <w:color w:val="44546A"/>
              <w:lang w:eastAsia="en-GB"/>
            </w:rPr>
          </w:pPr>
          <w:hyperlink w:anchor="_Toc456265893" w:history="1">
            <w:r w:rsidR="002D0B9A" w:rsidRPr="003F32C7">
              <w:rPr>
                <w:rStyle w:val="Hyperlink"/>
                <w:rFonts w:eastAsiaTheme="majorEastAsia"/>
                <w:noProof/>
                <w:color w:val="44546A"/>
                <w:lang w:eastAsia="en-GB" w:bidi="en-US"/>
              </w:rPr>
              <w:t>5.</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The economic and interest rate environment</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_Toc456265893 \h </w:instrText>
            </w:r>
            <w:r w:rsidR="002D0B9A" w:rsidRPr="003F32C7">
              <w:rPr>
                <w:noProof/>
                <w:webHidden/>
                <w:color w:val="44546A"/>
              </w:rPr>
            </w:r>
            <w:r w:rsidR="002D0B9A" w:rsidRPr="003F32C7">
              <w:rPr>
                <w:noProof/>
                <w:webHidden/>
                <w:color w:val="44546A"/>
              </w:rPr>
              <w:fldChar w:fldCharType="separate"/>
            </w:r>
            <w:r>
              <w:rPr>
                <w:noProof/>
                <w:webHidden/>
                <w:color w:val="44546A"/>
              </w:rPr>
              <w:t>9</w:t>
            </w:r>
            <w:r w:rsidR="002D0B9A" w:rsidRPr="003F32C7">
              <w:rPr>
                <w:noProof/>
                <w:webHidden/>
                <w:color w:val="44546A"/>
              </w:rPr>
              <w:fldChar w:fldCharType="end"/>
            </w:r>
          </w:hyperlink>
        </w:p>
        <w:p w14:paraId="0B38F5A6" w14:textId="77777777" w:rsidR="002D0B9A" w:rsidRPr="003F32C7" w:rsidRDefault="0017396A">
          <w:pPr>
            <w:pStyle w:val="TOC1"/>
            <w:tabs>
              <w:tab w:val="left" w:pos="440"/>
              <w:tab w:val="right" w:leader="dot" w:pos="9440"/>
            </w:tabs>
            <w:rPr>
              <w:rFonts w:eastAsiaTheme="minorEastAsia"/>
              <w:noProof/>
              <w:color w:val="44546A"/>
              <w:lang w:eastAsia="en-GB"/>
            </w:rPr>
          </w:pPr>
          <w:hyperlink w:anchor="_Toc456265894" w:history="1">
            <w:r w:rsidR="002D0B9A" w:rsidRPr="003F32C7">
              <w:rPr>
                <w:rStyle w:val="Hyperlink"/>
                <w:noProof/>
                <w:color w:val="44546A"/>
                <w:lang w:bidi="en-US"/>
              </w:rPr>
              <w:t>6.</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Interest rate and inflation forecasts</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_Toc456265894 \h </w:instrText>
            </w:r>
            <w:r w:rsidR="002D0B9A" w:rsidRPr="003F32C7">
              <w:rPr>
                <w:noProof/>
                <w:webHidden/>
                <w:color w:val="44546A"/>
              </w:rPr>
            </w:r>
            <w:r w:rsidR="002D0B9A" w:rsidRPr="003F32C7">
              <w:rPr>
                <w:noProof/>
                <w:webHidden/>
                <w:color w:val="44546A"/>
              </w:rPr>
              <w:fldChar w:fldCharType="separate"/>
            </w:r>
            <w:r>
              <w:rPr>
                <w:noProof/>
                <w:webHidden/>
                <w:color w:val="44546A"/>
              </w:rPr>
              <w:t>11</w:t>
            </w:r>
            <w:r w:rsidR="002D0B9A" w:rsidRPr="003F32C7">
              <w:rPr>
                <w:noProof/>
                <w:webHidden/>
                <w:color w:val="44546A"/>
              </w:rPr>
              <w:fldChar w:fldCharType="end"/>
            </w:r>
          </w:hyperlink>
        </w:p>
        <w:p w14:paraId="233494C8" w14:textId="77777777" w:rsidR="002D0B9A" w:rsidRPr="003F32C7" w:rsidRDefault="0017396A">
          <w:pPr>
            <w:pStyle w:val="TOC1"/>
            <w:tabs>
              <w:tab w:val="left" w:pos="1320"/>
              <w:tab w:val="right" w:leader="dot" w:pos="9440"/>
            </w:tabs>
            <w:rPr>
              <w:rFonts w:eastAsiaTheme="minorEastAsia"/>
              <w:noProof/>
              <w:color w:val="44546A"/>
              <w:lang w:eastAsia="en-GB"/>
            </w:rPr>
          </w:pPr>
          <w:hyperlink w:anchor="_Toc456265895" w:history="1">
            <w:r w:rsidR="002D0B9A" w:rsidRPr="003F32C7">
              <w:rPr>
                <w:rStyle w:val="Hyperlink"/>
                <w:rFonts w:eastAsiaTheme="majorEastAsia"/>
                <w:noProof/>
                <w:color w:val="44546A"/>
                <w:lang w:eastAsia="en-GB" w:bidi="en-US"/>
              </w:rPr>
              <w:t xml:space="preserve">Appendix 1 </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Cash Flow Forecast</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_Toc456265895 \h </w:instrText>
            </w:r>
            <w:r w:rsidR="002D0B9A" w:rsidRPr="003F32C7">
              <w:rPr>
                <w:noProof/>
                <w:webHidden/>
                <w:color w:val="44546A"/>
              </w:rPr>
            </w:r>
            <w:r w:rsidR="002D0B9A" w:rsidRPr="003F32C7">
              <w:rPr>
                <w:noProof/>
                <w:webHidden/>
                <w:color w:val="44546A"/>
              </w:rPr>
              <w:fldChar w:fldCharType="separate"/>
            </w:r>
            <w:r>
              <w:rPr>
                <w:noProof/>
                <w:webHidden/>
                <w:color w:val="44546A"/>
              </w:rPr>
              <w:t>13</w:t>
            </w:r>
            <w:r w:rsidR="002D0B9A" w:rsidRPr="003F32C7">
              <w:rPr>
                <w:noProof/>
                <w:webHidden/>
                <w:color w:val="44546A"/>
              </w:rPr>
              <w:fldChar w:fldCharType="end"/>
            </w:r>
          </w:hyperlink>
        </w:p>
        <w:p w14:paraId="333C8E54" w14:textId="77777777" w:rsidR="002D0B9A" w:rsidRPr="003F32C7" w:rsidRDefault="0017396A">
          <w:pPr>
            <w:pStyle w:val="TOC1"/>
            <w:tabs>
              <w:tab w:val="left" w:pos="1320"/>
              <w:tab w:val="right" w:leader="dot" w:pos="9440"/>
            </w:tabs>
            <w:rPr>
              <w:rFonts w:eastAsiaTheme="minorEastAsia"/>
              <w:noProof/>
              <w:color w:val="44546A"/>
              <w:lang w:eastAsia="en-GB"/>
            </w:rPr>
          </w:pPr>
          <w:hyperlink w:anchor="_Toc456265896" w:history="1">
            <w:r w:rsidR="002D0B9A" w:rsidRPr="003F32C7">
              <w:rPr>
                <w:rStyle w:val="Hyperlink"/>
                <w:rFonts w:eastAsiaTheme="majorEastAsia"/>
                <w:noProof/>
                <w:color w:val="44546A"/>
                <w:lang w:eastAsia="en-GB" w:bidi="en-US"/>
              </w:rPr>
              <w:t xml:space="preserve">Appendix 2 </w:t>
            </w:r>
            <w:r w:rsidR="002D0B9A" w:rsidRPr="003F32C7">
              <w:rPr>
                <w:rFonts w:eastAsiaTheme="minorEastAsia"/>
                <w:noProof/>
                <w:color w:val="44546A"/>
                <w:lang w:eastAsia="en-GB"/>
              </w:rPr>
              <w:tab/>
            </w:r>
            <w:r w:rsidR="002D0B9A" w:rsidRPr="003F32C7">
              <w:rPr>
                <w:rStyle w:val="Hyperlink"/>
                <w:rFonts w:eastAsiaTheme="majorEastAsia"/>
                <w:noProof/>
                <w:color w:val="44546A"/>
                <w:lang w:eastAsia="en-GB" w:bidi="en-US"/>
              </w:rPr>
              <w:t>Updated Interest Rate Forecast</w:t>
            </w:r>
            <w:r w:rsidR="002D0B9A" w:rsidRPr="003F32C7">
              <w:rPr>
                <w:noProof/>
                <w:webHidden/>
                <w:color w:val="44546A"/>
              </w:rPr>
              <w:tab/>
            </w:r>
            <w:r w:rsidR="002D0B9A" w:rsidRPr="003F32C7">
              <w:rPr>
                <w:noProof/>
                <w:webHidden/>
                <w:color w:val="44546A"/>
              </w:rPr>
              <w:fldChar w:fldCharType="begin"/>
            </w:r>
            <w:r w:rsidR="002D0B9A" w:rsidRPr="003F32C7">
              <w:rPr>
                <w:noProof/>
                <w:webHidden/>
                <w:color w:val="44546A"/>
              </w:rPr>
              <w:instrText xml:space="preserve"> PAGEREF _Toc456265896 \h </w:instrText>
            </w:r>
            <w:r w:rsidR="002D0B9A" w:rsidRPr="003F32C7">
              <w:rPr>
                <w:noProof/>
                <w:webHidden/>
                <w:color w:val="44546A"/>
              </w:rPr>
            </w:r>
            <w:r w:rsidR="002D0B9A" w:rsidRPr="003F32C7">
              <w:rPr>
                <w:noProof/>
                <w:webHidden/>
                <w:color w:val="44546A"/>
              </w:rPr>
              <w:fldChar w:fldCharType="separate"/>
            </w:r>
            <w:r>
              <w:rPr>
                <w:noProof/>
                <w:webHidden/>
                <w:color w:val="44546A"/>
              </w:rPr>
              <w:t>14</w:t>
            </w:r>
            <w:r w:rsidR="002D0B9A" w:rsidRPr="003F32C7">
              <w:rPr>
                <w:noProof/>
                <w:webHidden/>
                <w:color w:val="44546A"/>
              </w:rPr>
              <w:fldChar w:fldCharType="end"/>
            </w:r>
          </w:hyperlink>
        </w:p>
        <w:p w14:paraId="615FBBB6" w14:textId="02903E16" w:rsidR="00D03508" w:rsidRDefault="00D03508">
          <w:r w:rsidRPr="00EE3B7A">
            <w:rPr>
              <w:rFonts w:ascii="Calibri" w:eastAsiaTheme="majorEastAsia" w:hAnsi="Calibri"/>
              <w:bCs/>
              <w:color w:val="44546A"/>
              <w:spacing w:val="-20"/>
              <w:sz w:val="28"/>
              <w:szCs w:val="28"/>
              <w:lang w:val="en-US" w:eastAsia="en-GB" w:bidi="en-US"/>
            </w:rPr>
            <w:fldChar w:fldCharType="end"/>
          </w:r>
        </w:p>
      </w:sdtContent>
    </w:sdt>
    <w:p w14:paraId="6D71AF1F" w14:textId="77777777" w:rsidR="00757A5F" w:rsidRPr="00757A5F" w:rsidRDefault="00757A5F" w:rsidP="00D242B4">
      <w:pPr>
        <w:rPr>
          <w:rFonts w:eastAsiaTheme="majorEastAsia" w:cstheme="majorBidi"/>
          <w:color w:val="002060"/>
          <w:sz w:val="36"/>
          <w:szCs w:val="36"/>
          <w:lang w:eastAsia="en-GB"/>
        </w:rPr>
      </w:pPr>
    </w:p>
    <w:p w14:paraId="15099250" w14:textId="4B43E759" w:rsidR="000E2A1F" w:rsidRDefault="000E2A1F">
      <w:pPr>
        <w:rPr>
          <w:rFonts w:eastAsiaTheme="majorEastAsia" w:cstheme="majorBidi"/>
          <w:color w:val="002060"/>
          <w:sz w:val="36"/>
          <w:szCs w:val="36"/>
          <w:lang w:eastAsia="en-GB"/>
        </w:rPr>
      </w:pPr>
      <w:r>
        <w:rPr>
          <w:rFonts w:eastAsiaTheme="majorEastAsia" w:cstheme="majorBidi"/>
          <w:color w:val="002060"/>
          <w:sz w:val="36"/>
          <w:szCs w:val="36"/>
          <w:lang w:eastAsia="en-GB"/>
        </w:rPr>
        <w:br w:type="page"/>
      </w:r>
    </w:p>
    <w:p w14:paraId="070F1422" w14:textId="77777777" w:rsidR="005D18E9" w:rsidRDefault="005D18E9" w:rsidP="00D242B4">
      <w:pPr>
        <w:rPr>
          <w:rFonts w:eastAsiaTheme="majorEastAsia" w:cstheme="majorBidi"/>
          <w:color w:val="002060"/>
          <w:sz w:val="36"/>
          <w:szCs w:val="36"/>
          <w:lang w:eastAsia="en-GB"/>
        </w:rPr>
      </w:pPr>
    </w:p>
    <w:p w14:paraId="6EF66514" w14:textId="1333E2B7" w:rsidR="00C31832" w:rsidRPr="00C31832" w:rsidRDefault="00C31832" w:rsidP="00D03508">
      <w:pPr>
        <w:pStyle w:val="Heading1numbered"/>
        <w:numPr>
          <w:ilvl w:val="0"/>
          <w:numId w:val="33"/>
        </w:numPr>
        <w:ind w:hanging="720"/>
        <w:outlineLvl w:val="0"/>
        <w:rPr>
          <w:rFonts w:eastAsiaTheme="majorEastAsia"/>
          <w:lang w:eastAsia="en-GB"/>
        </w:rPr>
      </w:pPr>
      <w:bookmarkStart w:id="1" w:name="_Toc456265888"/>
      <w:r w:rsidRPr="00D03508">
        <w:rPr>
          <w:rFonts w:eastAsiaTheme="majorEastAsia"/>
          <w:color w:val="44546A"/>
          <w:lang w:eastAsia="en-GB"/>
        </w:rPr>
        <w:t xml:space="preserve">Treasury Performance </w:t>
      </w:r>
      <w:r w:rsidRPr="00C31832">
        <w:rPr>
          <w:rFonts w:eastAsiaTheme="majorEastAsia"/>
          <w:lang w:eastAsia="en-GB"/>
        </w:rPr>
        <w:t>Review</w:t>
      </w:r>
      <w:bookmarkEnd w:id="1"/>
    </w:p>
    <w:p w14:paraId="31506E9E" w14:textId="77777777" w:rsidR="00C31832" w:rsidRPr="00C31832" w:rsidRDefault="00C31832" w:rsidP="00FA08F1">
      <w:pPr>
        <w:spacing w:after="0" w:line="240" w:lineRule="auto"/>
        <w:ind w:firstLine="720"/>
        <w:rPr>
          <w:rFonts w:eastAsiaTheme="majorEastAsia" w:cstheme="majorBidi"/>
          <w:b/>
          <w:sz w:val="24"/>
          <w:szCs w:val="24"/>
          <w:lang w:eastAsia="en-GB"/>
        </w:rPr>
      </w:pPr>
      <w:r w:rsidRPr="00C31832">
        <w:rPr>
          <w:rFonts w:eastAsiaTheme="majorEastAsia" w:cstheme="majorBidi"/>
          <w:b/>
          <w:sz w:val="24"/>
          <w:szCs w:val="24"/>
          <w:lang w:eastAsia="en-GB"/>
        </w:rPr>
        <w:t>Liquidity and cash balance</w:t>
      </w:r>
    </w:p>
    <w:p w14:paraId="75B06F73" w14:textId="77777777" w:rsidR="00C31832" w:rsidRDefault="00C31832" w:rsidP="00D242B4">
      <w:pPr>
        <w:pStyle w:val="Normalnumbered"/>
        <w:ind w:left="720" w:hanging="720"/>
        <w:rPr>
          <w:rFonts w:eastAsiaTheme="majorEastAsia"/>
          <w:lang w:eastAsia="en-GB"/>
        </w:rPr>
      </w:pPr>
      <w:r w:rsidRPr="00C31832">
        <w:rPr>
          <w:rFonts w:eastAsiaTheme="majorEastAsia"/>
          <w:lang w:eastAsia="en-GB"/>
        </w:rPr>
        <w:t>As at the end of the year;</w:t>
      </w:r>
    </w:p>
    <w:p w14:paraId="3FC3D003" w14:textId="77777777" w:rsidR="00D242B4" w:rsidRPr="00D242B4" w:rsidRDefault="00D242B4" w:rsidP="00FA08F1">
      <w:pPr>
        <w:pStyle w:val="ListParagraph"/>
        <w:numPr>
          <w:ilvl w:val="0"/>
          <w:numId w:val="11"/>
        </w:numPr>
        <w:ind w:left="900" w:hanging="180"/>
        <w:rPr>
          <w:rFonts w:eastAsiaTheme="majorEastAsia" w:cstheme="majorBidi"/>
          <w:sz w:val="24"/>
          <w:szCs w:val="24"/>
          <w:lang w:eastAsia="en-GB"/>
        </w:rPr>
      </w:pPr>
      <w:r w:rsidRPr="00D242B4">
        <w:rPr>
          <w:rFonts w:eastAsiaTheme="majorEastAsia" w:cstheme="majorBidi"/>
          <w:sz w:val="24"/>
          <w:szCs w:val="24"/>
          <w:lang w:eastAsia="en-GB"/>
        </w:rPr>
        <w:t>Cash balance held in instant access accounts amounted to £3 million.</w:t>
      </w:r>
    </w:p>
    <w:p w14:paraId="5A9E5EFF" w14:textId="4F1C55B9" w:rsidR="00D242B4" w:rsidRDefault="00D242B4" w:rsidP="003F32C7">
      <w:pPr>
        <w:pStyle w:val="ListParagraph"/>
        <w:numPr>
          <w:ilvl w:val="0"/>
          <w:numId w:val="11"/>
        </w:numPr>
        <w:ind w:left="1440" w:hanging="720"/>
        <w:rPr>
          <w:rFonts w:eastAsiaTheme="majorEastAsia" w:cstheme="majorBidi"/>
          <w:sz w:val="24"/>
          <w:szCs w:val="24"/>
          <w:lang w:eastAsia="en-GB"/>
        </w:rPr>
      </w:pPr>
      <w:r w:rsidRPr="00D242B4">
        <w:rPr>
          <w:rFonts w:eastAsiaTheme="majorEastAsia" w:cstheme="majorBidi"/>
          <w:sz w:val="24"/>
          <w:szCs w:val="24"/>
          <w:lang w:eastAsia="en-GB"/>
        </w:rPr>
        <w:t xml:space="preserve">£5 million had been placed in term deposits with maturities of up to </w:t>
      </w:r>
      <w:r w:rsidR="00B065DA">
        <w:rPr>
          <w:rFonts w:eastAsiaTheme="majorEastAsia" w:cstheme="majorBidi"/>
          <w:sz w:val="24"/>
          <w:szCs w:val="24"/>
          <w:lang w:eastAsia="en-GB"/>
        </w:rPr>
        <w:t>3</w:t>
      </w:r>
      <w:r>
        <w:rPr>
          <w:rFonts w:eastAsiaTheme="majorEastAsia" w:cstheme="majorBidi"/>
          <w:sz w:val="24"/>
          <w:szCs w:val="24"/>
          <w:lang w:eastAsia="en-GB"/>
        </w:rPr>
        <w:t xml:space="preserve"> months</w:t>
      </w:r>
    </w:p>
    <w:p w14:paraId="6D3937EC" w14:textId="08AF5234" w:rsidR="00D242B4" w:rsidRPr="00D242B4" w:rsidRDefault="00D242B4" w:rsidP="00FA08F1">
      <w:pPr>
        <w:pStyle w:val="ListParagraph"/>
        <w:numPr>
          <w:ilvl w:val="0"/>
          <w:numId w:val="11"/>
        </w:numPr>
        <w:ind w:left="1440" w:hanging="720"/>
        <w:rPr>
          <w:rFonts w:eastAsiaTheme="majorEastAsia" w:cstheme="majorBidi"/>
          <w:sz w:val="24"/>
          <w:szCs w:val="24"/>
          <w:lang w:eastAsia="en-GB"/>
        </w:rPr>
      </w:pPr>
      <w:r w:rsidRPr="00D242B4">
        <w:rPr>
          <w:rFonts w:eastAsiaTheme="majorEastAsia" w:cstheme="majorBidi"/>
          <w:sz w:val="24"/>
          <w:szCs w:val="24"/>
          <w:lang w:eastAsia="en-GB"/>
        </w:rPr>
        <w:t xml:space="preserve">Available loan facilities (from Santander) with security in place capable of being drawn at short notice amounted to £20 million </w:t>
      </w:r>
    </w:p>
    <w:p w14:paraId="6B697035" w14:textId="572604FE" w:rsidR="00D242B4" w:rsidRPr="00D242B4" w:rsidRDefault="00D242B4" w:rsidP="00FA08F1">
      <w:pPr>
        <w:pStyle w:val="Normalnumbered"/>
        <w:ind w:left="720" w:hanging="720"/>
        <w:rPr>
          <w:rFonts w:eastAsiaTheme="majorEastAsia"/>
          <w:lang w:eastAsia="en-GB"/>
        </w:rPr>
      </w:pPr>
      <w:r w:rsidRPr="00D242B4">
        <w:rPr>
          <w:rFonts w:eastAsiaTheme="majorEastAsia"/>
          <w:lang w:eastAsia="en-GB"/>
        </w:rPr>
        <w:t>The cash balance at £8 million was well above the minimum of £2 million required by the Treasury Policy.</w:t>
      </w:r>
    </w:p>
    <w:p w14:paraId="38516F13" w14:textId="278744A4" w:rsidR="00D242B4" w:rsidRDefault="00D242B4" w:rsidP="00D242B4">
      <w:pPr>
        <w:spacing w:after="0" w:line="240" w:lineRule="auto"/>
        <w:ind w:firstLine="720"/>
        <w:rPr>
          <w:rFonts w:eastAsiaTheme="majorEastAsia"/>
          <w:lang w:eastAsia="en-GB"/>
        </w:rPr>
      </w:pPr>
      <w:r w:rsidRPr="00C31832">
        <w:rPr>
          <w:rFonts w:eastAsiaTheme="majorEastAsia" w:cstheme="majorBidi"/>
          <w:b/>
          <w:sz w:val="24"/>
          <w:szCs w:val="24"/>
          <w:lang w:eastAsia="en-GB"/>
        </w:rPr>
        <w:t>New financing and refinancing</w:t>
      </w:r>
    </w:p>
    <w:p w14:paraId="3A36965D" w14:textId="6D77943C" w:rsidR="00D242B4" w:rsidRPr="00D242B4" w:rsidRDefault="00D242B4" w:rsidP="00FA08F1">
      <w:pPr>
        <w:pStyle w:val="Normalnumbered"/>
        <w:spacing w:after="0" w:line="240" w:lineRule="auto"/>
        <w:ind w:left="738" w:hanging="738"/>
        <w:rPr>
          <w:rFonts w:eastAsiaTheme="majorEastAsia" w:cstheme="majorBidi"/>
          <w:sz w:val="24"/>
          <w:szCs w:val="24"/>
          <w:lang w:eastAsia="en-GB"/>
        </w:rPr>
      </w:pPr>
      <w:r w:rsidRPr="00D242B4">
        <w:rPr>
          <w:rFonts w:eastAsiaTheme="majorEastAsia"/>
          <w:lang w:eastAsia="en-GB"/>
        </w:rPr>
        <w:t>A new loan facility of £17 million was signed with AHF in</w:t>
      </w:r>
      <w:r w:rsidR="00B065DA">
        <w:rPr>
          <w:rFonts w:eastAsiaTheme="majorEastAsia"/>
          <w:lang w:eastAsia="en-GB"/>
        </w:rPr>
        <w:t xml:space="preserve"> March 2016</w:t>
      </w:r>
      <w:r w:rsidRPr="00D242B4">
        <w:rPr>
          <w:rFonts w:eastAsiaTheme="majorEastAsia"/>
          <w:lang w:eastAsia="en-GB"/>
        </w:rPr>
        <w:t xml:space="preserve">. This facility is </w:t>
      </w:r>
      <w:r w:rsidR="007F5AA8">
        <w:rPr>
          <w:rFonts w:eastAsiaTheme="majorEastAsia"/>
          <w:lang w:eastAsia="en-GB"/>
        </w:rPr>
        <w:t xml:space="preserve">funded </w:t>
      </w:r>
      <w:r w:rsidRPr="00D242B4">
        <w:rPr>
          <w:rFonts w:eastAsiaTheme="majorEastAsia"/>
          <w:lang w:eastAsia="en-GB"/>
        </w:rPr>
        <w:t xml:space="preserve">by the European Investment Bank and allows for drawings </w:t>
      </w:r>
      <w:r w:rsidR="00B065DA">
        <w:rPr>
          <w:rFonts w:eastAsiaTheme="majorEastAsia"/>
          <w:lang w:eastAsia="en-GB"/>
        </w:rPr>
        <w:t>on or before 31 December 2017</w:t>
      </w:r>
      <w:r w:rsidRPr="00D242B4">
        <w:rPr>
          <w:rFonts w:eastAsiaTheme="majorEastAsia"/>
          <w:lang w:eastAsia="en-GB"/>
        </w:rPr>
        <w:t xml:space="preserve"> on either a fixed or variable rate basis.</w:t>
      </w:r>
    </w:p>
    <w:p w14:paraId="59977390" w14:textId="77777777" w:rsidR="00D242B4" w:rsidRPr="00D242B4" w:rsidRDefault="00D242B4" w:rsidP="00D242B4">
      <w:pPr>
        <w:pStyle w:val="Normalnumbered"/>
        <w:numPr>
          <w:ilvl w:val="0"/>
          <w:numId w:val="0"/>
        </w:numPr>
        <w:spacing w:after="0" w:line="240" w:lineRule="auto"/>
        <w:ind w:left="738"/>
        <w:rPr>
          <w:rFonts w:eastAsiaTheme="majorEastAsia" w:cstheme="majorBidi"/>
          <w:sz w:val="24"/>
          <w:szCs w:val="24"/>
          <w:lang w:eastAsia="en-GB"/>
        </w:rPr>
      </w:pPr>
    </w:p>
    <w:p w14:paraId="23F44232" w14:textId="1F7EB291" w:rsidR="00C31832" w:rsidRPr="00D242B4" w:rsidRDefault="004E3298" w:rsidP="00FA08F1">
      <w:pPr>
        <w:pStyle w:val="Normalnumbered"/>
        <w:spacing w:after="0" w:line="240" w:lineRule="auto"/>
        <w:ind w:left="738" w:hanging="738"/>
        <w:rPr>
          <w:rFonts w:eastAsiaTheme="majorEastAsia" w:cstheme="majorBidi"/>
          <w:sz w:val="24"/>
          <w:szCs w:val="24"/>
          <w:lang w:eastAsia="en-GB"/>
        </w:rPr>
      </w:pPr>
      <w:r>
        <w:rPr>
          <w:rFonts w:eastAsiaTheme="majorEastAsia" w:cstheme="majorBidi"/>
          <w:sz w:val="24"/>
          <w:szCs w:val="24"/>
          <w:lang w:eastAsia="en-GB"/>
        </w:rPr>
        <w:t>P</w:t>
      </w:r>
      <w:r w:rsidR="00C31832" w:rsidRPr="00D242B4">
        <w:rPr>
          <w:rFonts w:eastAsiaTheme="majorEastAsia" w:cstheme="majorBidi"/>
          <w:sz w:val="24"/>
          <w:szCs w:val="24"/>
          <w:lang w:eastAsia="en-GB"/>
        </w:rPr>
        <w:t>roperty was identified and put in charge</w:t>
      </w:r>
      <w:r>
        <w:rPr>
          <w:rFonts w:eastAsiaTheme="majorEastAsia" w:cstheme="majorBidi"/>
          <w:sz w:val="24"/>
          <w:szCs w:val="24"/>
          <w:lang w:eastAsia="en-GB"/>
        </w:rPr>
        <w:t xml:space="preserve"> in April 2016</w:t>
      </w:r>
      <w:r w:rsidR="00C31832" w:rsidRPr="00D242B4">
        <w:rPr>
          <w:rFonts w:eastAsiaTheme="majorEastAsia" w:cstheme="majorBidi"/>
          <w:sz w:val="24"/>
          <w:szCs w:val="24"/>
          <w:lang w:eastAsia="en-GB"/>
        </w:rPr>
        <w:t xml:space="preserve"> to fully secure the facility so that it would be available for drawing at a time and on a basis to be agreed by the Board. </w:t>
      </w:r>
    </w:p>
    <w:p w14:paraId="2B179B43" w14:textId="77777777" w:rsidR="007F5AA8" w:rsidRDefault="007F5AA8" w:rsidP="007F5AA8">
      <w:pPr>
        <w:pStyle w:val="Normalnumbered"/>
        <w:numPr>
          <w:ilvl w:val="0"/>
          <w:numId w:val="0"/>
        </w:numPr>
        <w:spacing w:after="0" w:line="240" w:lineRule="auto"/>
        <w:ind w:left="738"/>
        <w:rPr>
          <w:rFonts w:eastAsiaTheme="majorEastAsia" w:cstheme="majorBidi"/>
          <w:sz w:val="24"/>
          <w:szCs w:val="24"/>
          <w:lang w:eastAsia="en-GB"/>
        </w:rPr>
      </w:pPr>
    </w:p>
    <w:p w14:paraId="3F9BF4BB" w14:textId="77777777"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A drawdown notice has now been issued for the full amount of the facility. The interest rate was fixed at 1.72%</w:t>
      </w:r>
    </w:p>
    <w:p w14:paraId="5D0887AB"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2B498DE1" w14:textId="77777777" w:rsidR="00C31832" w:rsidRPr="00D242B4" w:rsidRDefault="00C31832" w:rsidP="00D242B4">
      <w:pPr>
        <w:pStyle w:val="Normalnumbered"/>
        <w:numPr>
          <w:ilvl w:val="0"/>
          <w:numId w:val="0"/>
        </w:numPr>
        <w:spacing w:after="0" w:line="240" w:lineRule="auto"/>
        <w:ind w:left="738"/>
        <w:rPr>
          <w:rFonts w:eastAsiaTheme="majorEastAsia"/>
          <w:b/>
          <w:lang w:eastAsia="en-GB"/>
        </w:rPr>
      </w:pPr>
      <w:r w:rsidRPr="00D242B4">
        <w:rPr>
          <w:rFonts w:eastAsiaTheme="majorEastAsia"/>
          <w:b/>
          <w:lang w:eastAsia="en-GB"/>
        </w:rPr>
        <w:t>Interest rate management</w:t>
      </w:r>
    </w:p>
    <w:p w14:paraId="3FD4B3A6" w14:textId="77777777"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No new interest rate derivatives were entered into during the course of the financial year.</w:t>
      </w:r>
    </w:p>
    <w:p w14:paraId="5DFCC902"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45B84C89" w14:textId="752C8F62"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As at the 31st March 2016</w:t>
      </w:r>
      <w:r w:rsidR="007F5AA8">
        <w:rPr>
          <w:rFonts w:eastAsiaTheme="majorEastAsia" w:cstheme="majorBidi"/>
          <w:sz w:val="24"/>
          <w:szCs w:val="24"/>
          <w:lang w:eastAsia="en-GB"/>
        </w:rPr>
        <w:t>,</w:t>
      </w:r>
      <w:r w:rsidRPr="007F5AA8">
        <w:rPr>
          <w:rFonts w:eastAsiaTheme="majorEastAsia" w:cstheme="majorBidi"/>
          <w:sz w:val="24"/>
          <w:szCs w:val="24"/>
          <w:lang w:eastAsia="en-GB"/>
        </w:rPr>
        <w:t xml:space="preserve"> 54% pf the portfolio was hedged by way of a combination of embedded fixed rate loans and stand</w:t>
      </w:r>
      <w:r w:rsidR="00EE3B7A">
        <w:rPr>
          <w:rFonts w:eastAsiaTheme="majorEastAsia" w:cstheme="majorBidi"/>
          <w:sz w:val="24"/>
          <w:szCs w:val="24"/>
          <w:lang w:eastAsia="en-GB"/>
        </w:rPr>
        <w:t>-</w:t>
      </w:r>
      <w:r w:rsidRPr="007F5AA8">
        <w:rPr>
          <w:rFonts w:eastAsiaTheme="majorEastAsia" w:cstheme="majorBidi"/>
          <w:sz w:val="24"/>
          <w:szCs w:val="24"/>
          <w:lang w:eastAsia="en-GB"/>
        </w:rPr>
        <w:t>alone hedges (26%). The weighted average maturity of hedged debt was 23 years.</w:t>
      </w:r>
    </w:p>
    <w:p w14:paraId="4A5CF272"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6ACDCE9C" w14:textId="110B5587"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The weighted average cost of embedded hedging was 4.17% at the year end. The repayment of some older high fixed rate loans and the drawdown of the low fixed rate EIB loan will reduce this to 3.19% going forward.</w:t>
      </w:r>
    </w:p>
    <w:p w14:paraId="747C36A6" w14:textId="77777777" w:rsidR="00C31832" w:rsidRPr="007F5AA8" w:rsidRDefault="00C31832" w:rsidP="00D242B4">
      <w:pPr>
        <w:pStyle w:val="Normalnumbered"/>
        <w:numPr>
          <w:ilvl w:val="0"/>
          <w:numId w:val="0"/>
        </w:numPr>
        <w:spacing w:after="0" w:line="240" w:lineRule="auto"/>
        <w:ind w:left="738"/>
        <w:rPr>
          <w:rFonts w:eastAsiaTheme="majorEastAsia" w:cstheme="majorBidi"/>
          <w:sz w:val="24"/>
          <w:szCs w:val="24"/>
          <w:lang w:eastAsia="en-GB"/>
        </w:rPr>
      </w:pPr>
    </w:p>
    <w:p w14:paraId="5C49616F" w14:textId="3ACCE9C8" w:rsidR="00C31832" w:rsidRPr="007F5AA8" w:rsidRDefault="00C31832" w:rsidP="00FA08F1">
      <w:pPr>
        <w:pStyle w:val="Normalnumbered"/>
        <w:spacing w:after="0" w:line="240" w:lineRule="auto"/>
        <w:ind w:left="738" w:hanging="738"/>
        <w:rPr>
          <w:rFonts w:eastAsiaTheme="majorEastAsia" w:cstheme="majorBidi"/>
          <w:sz w:val="24"/>
          <w:szCs w:val="24"/>
          <w:lang w:eastAsia="en-GB"/>
        </w:rPr>
      </w:pPr>
      <w:r w:rsidRPr="007F5AA8">
        <w:rPr>
          <w:rFonts w:eastAsiaTheme="majorEastAsia" w:cstheme="majorBidi"/>
          <w:sz w:val="24"/>
          <w:szCs w:val="24"/>
          <w:lang w:eastAsia="en-GB"/>
        </w:rPr>
        <w:t xml:space="preserve">The Mark to Market exposure of Hexagon to stand alone derivatives </w:t>
      </w:r>
      <w:r w:rsidR="00D03508" w:rsidRPr="007F5AA8">
        <w:rPr>
          <w:rFonts w:eastAsiaTheme="majorEastAsia" w:cstheme="majorBidi"/>
          <w:sz w:val="24"/>
          <w:szCs w:val="24"/>
          <w:lang w:eastAsia="en-GB"/>
        </w:rPr>
        <w:t xml:space="preserve">at the end of the financial year </w:t>
      </w:r>
      <w:r w:rsidRPr="007F5AA8">
        <w:rPr>
          <w:rFonts w:eastAsiaTheme="majorEastAsia" w:cstheme="majorBidi"/>
          <w:sz w:val="24"/>
          <w:szCs w:val="24"/>
          <w:lang w:eastAsia="en-GB"/>
        </w:rPr>
        <w:t xml:space="preserve">was as set out in the </w:t>
      </w:r>
      <w:r w:rsidR="00D03508" w:rsidRPr="007F5AA8">
        <w:rPr>
          <w:rFonts w:eastAsiaTheme="majorEastAsia" w:cstheme="majorBidi"/>
          <w:sz w:val="24"/>
          <w:szCs w:val="24"/>
          <w:lang w:eastAsia="en-GB"/>
        </w:rPr>
        <w:t xml:space="preserve">chart </w:t>
      </w:r>
      <w:r w:rsidRPr="007F5AA8">
        <w:rPr>
          <w:rFonts w:eastAsiaTheme="majorEastAsia" w:cstheme="majorBidi"/>
          <w:sz w:val="24"/>
          <w:szCs w:val="24"/>
          <w:lang w:eastAsia="en-GB"/>
        </w:rPr>
        <w:t xml:space="preserve">below; </w:t>
      </w:r>
    </w:p>
    <w:p w14:paraId="2D2369FA" w14:textId="77777777" w:rsidR="005D18E9" w:rsidRPr="00D242B4" w:rsidRDefault="005D18E9" w:rsidP="00D242B4">
      <w:pPr>
        <w:pStyle w:val="Normalnumbered"/>
        <w:numPr>
          <w:ilvl w:val="0"/>
          <w:numId w:val="0"/>
        </w:numPr>
        <w:spacing w:after="0" w:line="240" w:lineRule="auto"/>
        <w:ind w:left="738"/>
        <w:rPr>
          <w:rFonts w:eastAsiaTheme="majorEastAsia"/>
          <w:lang w:eastAsia="en-GB"/>
        </w:rPr>
      </w:pPr>
    </w:p>
    <w:p w14:paraId="223940C4" w14:textId="77777777" w:rsidR="00D242B4" w:rsidRDefault="00D242B4" w:rsidP="00D242B4">
      <w:pPr>
        <w:pStyle w:val="Normalnumbered"/>
        <w:numPr>
          <w:ilvl w:val="0"/>
          <w:numId w:val="0"/>
        </w:numPr>
        <w:spacing w:after="0" w:line="240" w:lineRule="auto"/>
        <w:ind w:left="738"/>
        <w:rPr>
          <w:rFonts w:eastAsiaTheme="majorEastAsia"/>
          <w:lang w:eastAsia="en-GB"/>
        </w:rPr>
      </w:pPr>
    </w:p>
    <w:p w14:paraId="37A39FE7" w14:textId="026C6831" w:rsidR="00D242B4" w:rsidRDefault="007D7B71" w:rsidP="00D242B4">
      <w:pPr>
        <w:pStyle w:val="Normalnumbered"/>
        <w:numPr>
          <w:ilvl w:val="0"/>
          <w:numId w:val="0"/>
        </w:numPr>
        <w:spacing w:after="0" w:line="240" w:lineRule="auto"/>
        <w:ind w:left="738"/>
        <w:rPr>
          <w:rFonts w:eastAsiaTheme="majorEastAsia"/>
          <w:lang w:eastAsia="en-GB"/>
        </w:rPr>
      </w:pPr>
      <w:r w:rsidRPr="007D7B71">
        <w:rPr>
          <w:noProof/>
          <w:lang w:val="en-GB" w:eastAsia="en-GB" w:bidi="ar-SA"/>
        </w:rPr>
        <w:drawing>
          <wp:inline distT="0" distB="0" distL="0" distR="0" wp14:anchorId="24E98CCE" wp14:editId="44761E12">
            <wp:extent cx="5211445" cy="276987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1445" cy="2769870"/>
                    </a:xfrm>
                    <a:prstGeom prst="rect">
                      <a:avLst/>
                    </a:prstGeom>
                    <a:noFill/>
                    <a:ln>
                      <a:noFill/>
                    </a:ln>
                  </pic:spPr>
                </pic:pic>
              </a:graphicData>
            </a:graphic>
          </wp:inline>
        </w:drawing>
      </w:r>
    </w:p>
    <w:p w14:paraId="4300C9DD" w14:textId="62317FA9" w:rsidR="00C31832" w:rsidRPr="007F5AA8" w:rsidRDefault="00C31832" w:rsidP="00FA08F1">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Following the referendum held on the 24th June</w:t>
      </w:r>
      <w:r w:rsidR="00D03508" w:rsidRPr="007F5AA8">
        <w:rPr>
          <w:rFonts w:eastAsiaTheme="majorEastAsia"/>
          <w:sz w:val="24"/>
          <w:szCs w:val="24"/>
          <w:lang w:eastAsia="en-GB"/>
        </w:rPr>
        <w:t>,</w:t>
      </w:r>
      <w:r w:rsidRPr="007F5AA8">
        <w:rPr>
          <w:rFonts w:eastAsiaTheme="majorEastAsia"/>
          <w:sz w:val="24"/>
          <w:szCs w:val="24"/>
          <w:lang w:eastAsia="en-GB"/>
        </w:rPr>
        <w:t xml:space="preserve"> swap rates fell sharply resulting in a large increase in mark to market exposures. This is shown in the table below. </w:t>
      </w:r>
    </w:p>
    <w:p w14:paraId="097676CC" w14:textId="77777777" w:rsidR="00D242B4" w:rsidRDefault="00D242B4" w:rsidP="00D242B4">
      <w:pPr>
        <w:pStyle w:val="Normalnumbered"/>
        <w:numPr>
          <w:ilvl w:val="0"/>
          <w:numId w:val="0"/>
        </w:numPr>
        <w:spacing w:after="0" w:line="240" w:lineRule="auto"/>
        <w:ind w:left="738"/>
        <w:rPr>
          <w:rFonts w:eastAsiaTheme="majorEastAsia"/>
          <w:lang w:eastAsia="en-GB"/>
        </w:rPr>
      </w:pPr>
    </w:p>
    <w:p w14:paraId="6454560F" w14:textId="57935255" w:rsidR="00C31832" w:rsidRPr="00D242B4" w:rsidRDefault="00C31832" w:rsidP="00D242B4">
      <w:pPr>
        <w:pStyle w:val="Normalnumbered"/>
        <w:numPr>
          <w:ilvl w:val="0"/>
          <w:numId w:val="0"/>
        </w:numPr>
        <w:spacing w:after="0" w:line="240" w:lineRule="auto"/>
        <w:ind w:left="738"/>
        <w:rPr>
          <w:rFonts w:eastAsiaTheme="majorEastAsia"/>
          <w:lang w:eastAsia="en-GB"/>
        </w:rPr>
      </w:pPr>
      <w:r w:rsidRPr="000E2A1F">
        <w:rPr>
          <w:rFonts w:eastAsiaTheme="majorEastAsia"/>
          <w:b/>
          <w:sz w:val="24"/>
          <w:szCs w:val="24"/>
          <w:lang w:eastAsia="en-GB"/>
        </w:rPr>
        <w:t>Estimated mark to market exposure as at the 30/06/16.</w:t>
      </w:r>
      <w:r w:rsidR="003F32C7" w:rsidRPr="003F32C7">
        <w:rPr>
          <w:rFonts w:eastAsiaTheme="majorEastAsia"/>
          <w:lang w:eastAsia="en-GB"/>
        </w:rPr>
        <w:t xml:space="preserve"> </w:t>
      </w:r>
      <w:r w:rsidR="003F32C7" w:rsidRPr="003F32C7">
        <w:rPr>
          <w:noProof/>
          <w:lang w:val="en-GB" w:eastAsia="en-GB" w:bidi="ar-SA"/>
        </w:rPr>
        <w:drawing>
          <wp:inline distT="0" distB="0" distL="0" distR="0" wp14:anchorId="29155CB9" wp14:editId="4DE9A8FC">
            <wp:extent cx="52101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2771775"/>
                    </a:xfrm>
                    <a:prstGeom prst="rect">
                      <a:avLst/>
                    </a:prstGeom>
                    <a:noFill/>
                    <a:ln>
                      <a:noFill/>
                    </a:ln>
                  </pic:spPr>
                </pic:pic>
              </a:graphicData>
            </a:graphic>
          </wp:inline>
        </w:drawing>
      </w:r>
    </w:p>
    <w:p w14:paraId="2D5CE424" w14:textId="77777777" w:rsidR="00C31832" w:rsidRPr="000E2A1F" w:rsidRDefault="00C31832" w:rsidP="00D242B4">
      <w:pPr>
        <w:pStyle w:val="Normalnumbered"/>
        <w:numPr>
          <w:ilvl w:val="0"/>
          <w:numId w:val="0"/>
        </w:numPr>
        <w:spacing w:after="0" w:line="240" w:lineRule="auto"/>
        <w:ind w:left="738"/>
        <w:rPr>
          <w:rFonts w:eastAsiaTheme="majorEastAsia"/>
          <w:b/>
          <w:sz w:val="24"/>
          <w:szCs w:val="24"/>
          <w:lang w:eastAsia="en-GB"/>
        </w:rPr>
      </w:pPr>
      <w:r w:rsidRPr="000E2A1F">
        <w:rPr>
          <w:rFonts w:eastAsiaTheme="majorEastAsia"/>
          <w:b/>
          <w:sz w:val="24"/>
          <w:szCs w:val="24"/>
          <w:lang w:eastAsia="en-GB"/>
        </w:rPr>
        <w:t>Counterparty risks</w:t>
      </w:r>
    </w:p>
    <w:p w14:paraId="75777D62" w14:textId="3B5F8851" w:rsidR="002D0B9A" w:rsidRDefault="002D0B9A" w:rsidP="00D03508">
      <w:pPr>
        <w:pStyle w:val="Normalnumbered"/>
        <w:spacing w:after="0" w:line="240" w:lineRule="auto"/>
        <w:ind w:left="738" w:hanging="738"/>
        <w:rPr>
          <w:rFonts w:eastAsiaTheme="majorEastAsia"/>
          <w:sz w:val="24"/>
          <w:szCs w:val="24"/>
          <w:lang w:eastAsia="en-GB"/>
        </w:rPr>
      </w:pPr>
      <w:r>
        <w:rPr>
          <w:rFonts w:eastAsiaTheme="majorEastAsia"/>
          <w:sz w:val="24"/>
          <w:szCs w:val="24"/>
          <w:lang w:eastAsia="en-GB"/>
        </w:rPr>
        <w:t>In the current uncertain economic environment further falls in swap rates cannot be ruled out. There is therefore a risk that the mark to market exposures under the existing swap portfolio will increase.</w:t>
      </w:r>
      <w:r w:rsidR="00296C35">
        <w:rPr>
          <w:rFonts w:eastAsiaTheme="majorEastAsia"/>
          <w:sz w:val="24"/>
          <w:szCs w:val="24"/>
          <w:lang w:eastAsia="en-GB"/>
        </w:rPr>
        <w:t xml:space="preserve"> In the event that market rates for each of the above instruments falls to 0% we estimate that the mark to market exposure would increase to £43.3 million. </w:t>
      </w:r>
    </w:p>
    <w:p w14:paraId="66EB88CE" w14:textId="77777777" w:rsidR="002D0B9A" w:rsidRDefault="002D0B9A" w:rsidP="003F32C7">
      <w:pPr>
        <w:pStyle w:val="Normalnumbered"/>
        <w:numPr>
          <w:ilvl w:val="0"/>
          <w:numId w:val="0"/>
        </w:numPr>
        <w:spacing w:after="0" w:line="240" w:lineRule="auto"/>
        <w:ind w:left="738"/>
        <w:rPr>
          <w:rFonts w:eastAsiaTheme="majorEastAsia"/>
          <w:sz w:val="24"/>
          <w:szCs w:val="24"/>
          <w:lang w:eastAsia="en-GB"/>
        </w:rPr>
      </w:pPr>
    </w:p>
    <w:p w14:paraId="5FA90C3F" w14:textId="5A952663" w:rsidR="00C31832" w:rsidRPr="007F5AA8" w:rsidRDefault="00C31832" w:rsidP="00D03508">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 xml:space="preserve">As at the end of the financial year the counterparty risk of Hexagon </w:t>
      </w:r>
      <w:r w:rsidR="004E3298">
        <w:rPr>
          <w:rFonts w:eastAsiaTheme="majorEastAsia"/>
          <w:sz w:val="24"/>
          <w:szCs w:val="24"/>
          <w:lang w:eastAsia="en-GB"/>
        </w:rPr>
        <w:t>was</w:t>
      </w:r>
      <w:r w:rsidRPr="007F5AA8">
        <w:rPr>
          <w:rFonts w:eastAsiaTheme="majorEastAsia"/>
          <w:sz w:val="24"/>
          <w:szCs w:val="24"/>
          <w:lang w:eastAsia="en-GB"/>
        </w:rPr>
        <w:t xml:space="preserve"> as follows;</w:t>
      </w:r>
    </w:p>
    <w:p w14:paraId="7347BE8D" w14:textId="77777777" w:rsidR="00C31832" w:rsidRPr="007F5AA8" w:rsidRDefault="00C31832" w:rsidP="007F5AA8">
      <w:pPr>
        <w:pStyle w:val="Normalnumbered"/>
        <w:numPr>
          <w:ilvl w:val="0"/>
          <w:numId w:val="0"/>
        </w:numPr>
        <w:spacing w:after="0" w:line="240" w:lineRule="auto"/>
        <w:ind w:left="738"/>
        <w:rPr>
          <w:rFonts w:eastAsiaTheme="majorEastAsia"/>
          <w:sz w:val="24"/>
          <w:szCs w:val="24"/>
          <w:lang w:eastAsia="en-GB"/>
        </w:rPr>
      </w:pPr>
    </w:p>
    <w:tbl>
      <w:tblPr>
        <w:tblStyle w:val="TableGrid"/>
        <w:tblW w:w="0" w:type="auto"/>
        <w:tblInd w:w="715" w:type="dxa"/>
        <w:tblLook w:val="04A0" w:firstRow="1" w:lastRow="0" w:firstColumn="1" w:lastColumn="0" w:noHBand="0" w:noVBand="1"/>
      </w:tblPr>
      <w:tblGrid>
        <w:gridCol w:w="1885"/>
        <w:gridCol w:w="2070"/>
        <w:gridCol w:w="2610"/>
      </w:tblGrid>
      <w:tr w:rsidR="00C31832" w:rsidRPr="00D242B4" w14:paraId="71F3C9E3" w14:textId="77777777" w:rsidTr="00D52641">
        <w:tc>
          <w:tcPr>
            <w:tcW w:w="1885" w:type="dxa"/>
          </w:tcPr>
          <w:p w14:paraId="2266161E" w14:textId="77777777" w:rsidR="00C31832" w:rsidRPr="007F5AA8" w:rsidRDefault="00C31832" w:rsidP="007F5AA8">
            <w:pPr>
              <w:pStyle w:val="Normalnumbered"/>
              <w:numPr>
                <w:ilvl w:val="0"/>
                <w:numId w:val="0"/>
              </w:numPr>
              <w:spacing w:after="0" w:line="240" w:lineRule="auto"/>
              <w:rPr>
                <w:rFonts w:eastAsiaTheme="majorEastAsia"/>
                <w:b/>
                <w:lang w:eastAsia="en-GB"/>
              </w:rPr>
            </w:pPr>
            <w:r w:rsidRPr="007F5AA8">
              <w:rPr>
                <w:rFonts w:eastAsiaTheme="majorEastAsia"/>
                <w:b/>
                <w:lang w:eastAsia="en-GB"/>
              </w:rPr>
              <w:t xml:space="preserve">Counterparty </w:t>
            </w:r>
          </w:p>
        </w:tc>
        <w:tc>
          <w:tcPr>
            <w:tcW w:w="2070" w:type="dxa"/>
          </w:tcPr>
          <w:p w14:paraId="416B5025" w14:textId="77777777" w:rsidR="00C31832" w:rsidRPr="007F5AA8" w:rsidRDefault="00C31832" w:rsidP="007F5AA8">
            <w:pPr>
              <w:pStyle w:val="Normalnumbered"/>
              <w:numPr>
                <w:ilvl w:val="0"/>
                <w:numId w:val="0"/>
              </w:numPr>
              <w:spacing w:after="0" w:line="240" w:lineRule="auto"/>
              <w:ind w:left="738" w:hanging="661"/>
              <w:rPr>
                <w:rFonts w:eastAsiaTheme="majorEastAsia"/>
                <w:b/>
                <w:lang w:eastAsia="en-GB"/>
              </w:rPr>
            </w:pPr>
            <w:r w:rsidRPr="007F5AA8">
              <w:rPr>
                <w:rFonts w:eastAsiaTheme="majorEastAsia"/>
                <w:b/>
                <w:lang w:eastAsia="en-GB"/>
              </w:rPr>
              <w:t xml:space="preserve">Exposure </w:t>
            </w:r>
          </w:p>
        </w:tc>
        <w:tc>
          <w:tcPr>
            <w:tcW w:w="2610" w:type="dxa"/>
          </w:tcPr>
          <w:p w14:paraId="4CEE6DB6" w14:textId="77777777" w:rsidR="00C31832" w:rsidRPr="007F5AA8" w:rsidRDefault="00C31832" w:rsidP="007F5AA8">
            <w:pPr>
              <w:pStyle w:val="Normalnumbered"/>
              <w:numPr>
                <w:ilvl w:val="0"/>
                <w:numId w:val="0"/>
              </w:numPr>
              <w:spacing w:after="0" w:line="240" w:lineRule="auto"/>
              <w:ind w:left="77"/>
              <w:rPr>
                <w:rFonts w:eastAsiaTheme="majorEastAsia"/>
                <w:b/>
                <w:lang w:eastAsia="en-GB"/>
              </w:rPr>
            </w:pPr>
            <w:r w:rsidRPr="007F5AA8">
              <w:rPr>
                <w:rFonts w:eastAsiaTheme="majorEastAsia"/>
                <w:b/>
                <w:lang w:eastAsia="en-GB"/>
              </w:rPr>
              <w:t xml:space="preserve">Type of exposure </w:t>
            </w:r>
          </w:p>
        </w:tc>
      </w:tr>
      <w:tr w:rsidR="00C31832" w:rsidRPr="007F5AA8" w14:paraId="22D7031D" w14:textId="77777777" w:rsidTr="00D52641">
        <w:tc>
          <w:tcPr>
            <w:tcW w:w="1885" w:type="dxa"/>
          </w:tcPr>
          <w:p w14:paraId="30950373" w14:textId="77777777" w:rsidR="00C31832" w:rsidRPr="007F5AA8" w:rsidRDefault="00C31832" w:rsidP="007F5AA8">
            <w:pPr>
              <w:pStyle w:val="Normalnumbered"/>
              <w:numPr>
                <w:ilvl w:val="0"/>
                <w:numId w:val="0"/>
              </w:numPr>
              <w:spacing w:after="0" w:line="240" w:lineRule="auto"/>
              <w:ind w:left="-18"/>
              <w:rPr>
                <w:rFonts w:eastAsiaTheme="majorEastAsia"/>
                <w:sz w:val="24"/>
                <w:szCs w:val="24"/>
                <w:lang w:eastAsia="en-GB"/>
              </w:rPr>
            </w:pPr>
            <w:r w:rsidRPr="007F5AA8">
              <w:rPr>
                <w:rFonts w:eastAsiaTheme="majorEastAsia"/>
                <w:sz w:val="24"/>
                <w:szCs w:val="24"/>
                <w:lang w:eastAsia="en-GB"/>
              </w:rPr>
              <w:t xml:space="preserve">Santander </w:t>
            </w:r>
          </w:p>
        </w:tc>
        <w:tc>
          <w:tcPr>
            <w:tcW w:w="2070" w:type="dxa"/>
          </w:tcPr>
          <w:p w14:paraId="5FB22186" w14:textId="77777777" w:rsidR="00C31832" w:rsidRPr="007F5AA8" w:rsidRDefault="00C31832" w:rsidP="007F5AA8">
            <w:pPr>
              <w:pStyle w:val="Normalnumbered"/>
              <w:numPr>
                <w:ilvl w:val="0"/>
                <w:numId w:val="0"/>
              </w:numPr>
              <w:spacing w:after="0" w:line="240" w:lineRule="auto"/>
              <w:ind w:left="738" w:hanging="661"/>
              <w:rPr>
                <w:rFonts w:eastAsiaTheme="majorEastAsia"/>
                <w:sz w:val="24"/>
                <w:szCs w:val="24"/>
                <w:lang w:eastAsia="en-GB"/>
              </w:rPr>
            </w:pPr>
            <w:r w:rsidRPr="007F5AA8">
              <w:rPr>
                <w:rFonts w:eastAsiaTheme="majorEastAsia"/>
                <w:sz w:val="24"/>
                <w:szCs w:val="24"/>
                <w:lang w:eastAsia="en-GB"/>
              </w:rPr>
              <w:t xml:space="preserve">£20 million </w:t>
            </w:r>
          </w:p>
        </w:tc>
        <w:tc>
          <w:tcPr>
            <w:tcW w:w="2610" w:type="dxa"/>
          </w:tcPr>
          <w:p w14:paraId="4FBD0E36" w14:textId="77777777" w:rsidR="00C31832" w:rsidRPr="007F5AA8" w:rsidRDefault="00C31832" w:rsidP="007F5AA8">
            <w:pPr>
              <w:pStyle w:val="Normalnumbered"/>
              <w:numPr>
                <w:ilvl w:val="0"/>
                <w:numId w:val="0"/>
              </w:numPr>
              <w:spacing w:after="0" w:line="240" w:lineRule="auto"/>
              <w:ind w:left="77"/>
              <w:rPr>
                <w:rFonts w:eastAsiaTheme="majorEastAsia"/>
                <w:sz w:val="24"/>
                <w:szCs w:val="24"/>
                <w:lang w:eastAsia="en-GB"/>
              </w:rPr>
            </w:pPr>
            <w:r w:rsidRPr="007F5AA8">
              <w:rPr>
                <w:rFonts w:eastAsiaTheme="majorEastAsia"/>
                <w:sz w:val="24"/>
                <w:szCs w:val="24"/>
                <w:lang w:eastAsia="en-GB"/>
              </w:rPr>
              <w:t xml:space="preserve">Undrawn facility </w:t>
            </w:r>
          </w:p>
        </w:tc>
      </w:tr>
      <w:tr w:rsidR="00C31832" w:rsidRPr="007F5AA8" w14:paraId="3690ACD1" w14:textId="77777777" w:rsidTr="00D52641">
        <w:trPr>
          <w:trHeight w:val="255"/>
        </w:trPr>
        <w:tc>
          <w:tcPr>
            <w:tcW w:w="1885" w:type="dxa"/>
            <w:noWrap/>
          </w:tcPr>
          <w:p w14:paraId="2D9F2CAE" w14:textId="26EE8945" w:rsidR="00C31832" w:rsidRPr="007F5AA8" w:rsidRDefault="004E3298" w:rsidP="007F5AA8">
            <w:pPr>
              <w:pStyle w:val="Normalnumbered"/>
              <w:numPr>
                <w:ilvl w:val="0"/>
                <w:numId w:val="0"/>
              </w:numPr>
              <w:spacing w:after="0" w:line="240" w:lineRule="auto"/>
              <w:ind w:left="-18"/>
              <w:rPr>
                <w:rFonts w:eastAsiaTheme="majorEastAsia"/>
                <w:sz w:val="24"/>
                <w:szCs w:val="24"/>
                <w:lang w:eastAsia="en-GB"/>
              </w:rPr>
            </w:pPr>
            <w:r>
              <w:rPr>
                <w:rFonts w:eastAsiaTheme="majorEastAsia"/>
                <w:sz w:val="24"/>
                <w:szCs w:val="24"/>
                <w:lang w:eastAsia="en-GB"/>
              </w:rPr>
              <w:t>NatWest</w:t>
            </w:r>
          </w:p>
        </w:tc>
        <w:tc>
          <w:tcPr>
            <w:tcW w:w="2070" w:type="dxa"/>
            <w:noWrap/>
          </w:tcPr>
          <w:p w14:paraId="4E81CB14" w14:textId="77777777" w:rsidR="00C31832" w:rsidRPr="007F5AA8" w:rsidRDefault="00C31832" w:rsidP="007F5AA8">
            <w:pPr>
              <w:pStyle w:val="Normalnumbered"/>
              <w:numPr>
                <w:ilvl w:val="0"/>
                <w:numId w:val="0"/>
              </w:numPr>
              <w:spacing w:after="0" w:line="240" w:lineRule="auto"/>
              <w:ind w:left="738" w:hanging="661"/>
              <w:rPr>
                <w:rFonts w:eastAsiaTheme="majorEastAsia"/>
                <w:sz w:val="24"/>
                <w:szCs w:val="24"/>
                <w:lang w:eastAsia="en-GB"/>
              </w:rPr>
            </w:pPr>
            <w:r w:rsidRPr="007F5AA8">
              <w:rPr>
                <w:rFonts w:eastAsiaTheme="majorEastAsia"/>
                <w:sz w:val="24"/>
                <w:szCs w:val="24"/>
                <w:lang w:eastAsia="en-GB"/>
              </w:rPr>
              <w:t>£3,000,000</w:t>
            </w:r>
          </w:p>
        </w:tc>
        <w:tc>
          <w:tcPr>
            <w:tcW w:w="2610" w:type="dxa"/>
          </w:tcPr>
          <w:p w14:paraId="64589D1F" w14:textId="77777777" w:rsidR="00C31832" w:rsidRPr="007F5AA8" w:rsidRDefault="00C31832" w:rsidP="007F5AA8">
            <w:pPr>
              <w:pStyle w:val="Normalnumbered"/>
              <w:numPr>
                <w:ilvl w:val="0"/>
                <w:numId w:val="0"/>
              </w:numPr>
              <w:spacing w:after="0" w:line="240" w:lineRule="auto"/>
              <w:ind w:left="77"/>
              <w:rPr>
                <w:rFonts w:eastAsiaTheme="majorEastAsia"/>
                <w:sz w:val="24"/>
                <w:szCs w:val="24"/>
                <w:lang w:eastAsia="en-GB"/>
              </w:rPr>
            </w:pPr>
            <w:r w:rsidRPr="007F5AA8">
              <w:rPr>
                <w:rFonts w:eastAsiaTheme="majorEastAsia"/>
                <w:sz w:val="24"/>
                <w:szCs w:val="24"/>
                <w:lang w:eastAsia="en-GB"/>
              </w:rPr>
              <w:t xml:space="preserve">Instant access account </w:t>
            </w:r>
          </w:p>
        </w:tc>
      </w:tr>
      <w:tr w:rsidR="00C31832" w:rsidRPr="007F5AA8" w14:paraId="03321CBD" w14:textId="77777777" w:rsidTr="00D52641">
        <w:trPr>
          <w:trHeight w:val="255"/>
        </w:trPr>
        <w:tc>
          <w:tcPr>
            <w:tcW w:w="1885" w:type="dxa"/>
            <w:noWrap/>
          </w:tcPr>
          <w:p w14:paraId="67429FBF" w14:textId="2814E5B9" w:rsidR="00C31832" w:rsidRPr="007F5AA8" w:rsidRDefault="004E3298" w:rsidP="007F5AA8">
            <w:pPr>
              <w:pStyle w:val="Normalnumbered"/>
              <w:numPr>
                <w:ilvl w:val="0"/>
                <w:numId w:val="0"/>
              </w:numPr>
              <w:spacing w:after="0" w:line="240" w:lineRule="auto"/>
              <w:ind w:left="-18"/>
              <w:rPr>
                <w:rFonts w:eastAsiaTheme="majorEastAsia"/>
                <w:sz w:val="24"/>
                <w:szCs w:val="24"/>
                <w:lang w:eastAsia="en-GB"/>
              </w:rPr>
            </w:pPr>
            <w:r>
              <w:rPr>
                <w:rFonts w:eastAsiaTheme="majorEastAsia"/>
                <w:sz w:val="24"/>
                <w:szCs w:val="24"/>
                <w:lang w:eastAsia="en-GB"/>
              </w:rPr>
              <w:t>Bank of Scotland</w:t>
            </w:r>
          </w:p>
        </w:tc>
        <w:tc>
          <w:tcPr>
            <w:tcW w:w="2070" w:type="dxa"/>
            <w:noWrap/>
          </w:tcPr>
          <w:p w14:paraId="01F749B8" w14:textId="44BDB2E3" w:rsidR="00C31832" w:rsidRPr="007F5AA8" w:rsidRDefault="00C31832" w:rsidP="004E3298">
            <w:pPr>
              <w:pStyle w:val="Normalnumbered"/>
              <w:numPr>
                <w:ilvl w:val="0"/>
                <w:numId w:val="0"/>
              </w:numPr>
              <w:spacing w:after="0" w:line="240" w:lineRule="auto"/>
              <w:ind w:left="738" w:hanging="661"/>
              <w:rPr>
                <w:rFonts w:eastAsiaTheme="majorEastAsia"/>
                <w:sz w:val="24"/>
                <w:szCs w:val="24"/>
                <w:lang w:eastAsia="en-GB"/>
              </w:rPr>
            </w:pPr>
            <w:r w:rsidRPr="007F5AA8">
              <w:rPr>
                <w:rFonts w:eastAsiaTheme="majorEastAsia"/>
                <w:sz w:val="24"/>
                <w:szCs w:val="24"/>
                <w:lang w:eastAsia="en-GB"/>
              </w:rPr>
              <w:t>£</w:t>
            </w:r>
            <w:r w:rsidR="004E3298">
              <w:rPr>
                <w:rFonts w:eastAsiaTheme="majorEastAsia"/>
                <w:sz w:val="24"/>
                <w:szCs w:val="24"/>
                <w:lang w:eastAsia="en-GB"/>
              </w:rPr>
              <w:t>3</w:t>
            </w:r>
            <w:r w:rsidRPr="007F5AA8">
              <w:rPr>
                <w:rFonts w:eastAsiaTheme="majorEastAsia"/>
                <w:sz w:val="24"/>
                <w:szCs w:val="24"/>
                <w:lang w:eastAsia="en-GB"/>
              </w:rPr>
              <w:t>,000,000</w:t>
            </w:r>
          </w:p>
        </w:tc>
        <w:tc>
          <w:tcPr>
            <w:tcW w:w="2610" w:type="dxa"/>
          </w:tcPr>
          <w:p w14:paraId="06D3B778" w14:textId="77777777" w:rsidR="00C31832" w:rsidRPr="007F5AA8" w:rsidRDefault="00C31832" w:rsidP="007F5AA8">
            <w:pPr>
              <w:pStyle w:val="Normalnumbered"/>
              <w:numPr>
                <w:ilvl w:val="0"/>
                <w:numId w:val="0"/>
              </w:numPr>
              <w:spacing w:after="0" w:line="240" w:lineRule="auto"/>
              <w:ind w:left="77"/>
              <w:rPr>
                <w:rFonts w:eastAsiaTheme="majorEastAsia"/>
                <w:sz w:val="24"/>
                <w:szCs w:val="24"/>
                <w:lang w:eastAsia="en-GB"/>
              </w:rPr>
            </w:pPr>
            <w:r w:rsidRPr="007F5AA8">
              <w:rPr>
                <w:rFonts w:eastAsiaTheme="majorEastAsia"/>
                <w:sz w:val="24"/>
                <w:szCs w:val="24"/>
                <w:lang w:eastAsia="en-GB"/>
              </w:rPr>
              <w:t xml:space="preserve">Term deposit </w:t>
            </w:r>
          </w:p>
        </w:tc>
      </w:tr>
      <w:tr w:rsidR="004E3298" w:rsidRPr="007F5AA8" w14:paraId="4AE17D6B" w14:textId="77777777" w:rsidTr="00D52641">
        <w:trPr>
          <w:trHeight w:val="255"/>
        </w:trPr>
        <w:tc>
          <w:tcPr>
            <w:tcW w:w="1885" w:type="dxa"/>
            <w:noWrap/>
          </w:tcPr>
          <w:p w14:paraId="4EED0A0E" w14:textId="376B81D8" w:rsidR="004E3298" w:rsidRDefault="004E3298" w:rsidP="007F5AA8">
            <w:pPr>
              <w:pStyle w:val="Normalnumbered"/>
              <w:numPr>
                <w:ilvl w:val="0"/>
                <w:numId w:val="0"/>
              </w:numPr>
              <w:spacing w:after="0" w:line="240" w:lineRule="auto"/>
              <w:ind w:left="-18"/>
              <w:rPr>
                <w:rFonts w:eastAsiaTheme="majorEastAsia"/>
                <w:sz w:val="24"/>
                <w:szCs w:val="24"/>
                <w:lang w:eastAsia="en-GB"/>
              </w:rPr>
            </w:pPr>
            <w:r>
              <w:rPr>
                <w:rFonts w:eastAsiaTheme="majorEastAsia"/>
                <w:sz w:val="24"/>
                <w:szCs w:val="24"/>
                <w:lang w:eastAsia="en-GB"/>
              </w:rPr>
              <w:t>Clydesdale bank</w:t>
            </w:r>
          </w:p>
        </w:tc>
        <w:tc>
          <w:tcPr>
            <w:tcW w:w="2070" w:type="dxa"/>
            <w:noWrap/>
          </w:tcPr>
          <w:p w14:paraId="76A79406" w14:textId="3B9E2C72" w:rsidR="004E3298" w:rsidRPr="007F5AA8" w:rsidRDefault="004E3298" w:rsidP="004E3298">
            <w:pPr>
              <w:pStyle w:val="Normalnumbered"/>
              <w:numPr>
                <w:ilvl w:val="0"/>
                <w:numId w:val="0"/>
              </w:numPr>
              <w:spacing w:after="0" w:line="240" w:lineRule="auto"/>
              <w:ind w:left="738" w:hanging="661"/>
              <w:rPr>
                <w:rFonts w:eastAsiaTheme="majorEastAsia"/>
                <w:sz w:val="24"/>
                <w:szCs w:val="24"/>
                <w:lang w:eastAsia="en-GB"/>
              </w:rPr>
            </w:pPr>
            <w:r>
              <w:rPr>
                <w:rFonts w:eastAsiaTheme="majorEastAsia"/>
                <w:sz w:val="24"/>
                <w:szCs w:val="24"/>
                <w:lang w:eastAsia="en-GB"/>
              </w:rPr>
              <w:t>£2</w:t>
            </w:r>
            <w:r w:rsidRPr="004E3298">
              <w:rPr>
                <w:rFonts w:eastAsiaTheme="majorEastAsia"/>
                <w:sz w:val="24"/>
                <w:szCs w:val="24"/>
                <w:lang w:eastAsia="en-GB"/>
              </w:rPr>
              <w:t>,000,000</w:t>
            </w:r>
          </w:p>
        </w:tc>
        <w:tc>
          <w:tcPr>
            <w:tcW w:w="2610" w:type="dxa"/>
          </w:tcPr>
          <w:p w14:paraId="15E69B53" w14:textId="1D7C20B5" w:rsidR="004E3298" w:rsidRPr="007F5AA8" w:rsidRDefault="004E3298" w:rsidP="007F5AA8">
            <w:pPr>
              <w:pStyle w:val="Normalnumbered"/>
              <w:numPr>
                <w:ilvl w:val="0"/>
                <w:numId w:val="0"/>
              </w:numPr>
              <w:spacing w:after="0" w:line="240" w:lineRule="auto"/>
              <w:ind w:left="77"/>
              <w:rPr>
                <w:rFonts w:eastAsiaTheme="majorEastAsia"/>
                <w:sz w:val="24"/>
                <w:szCs w:val="24"/>
                <w:lang w:eastAsia="en-GB"/>
              </w:rPr>
            </w:pPr>
            <w:r>
              <w:rPr>
                <w:rFonts w:eastAsiaTheme="majorEastAsia"/>
                <w:sz w:val="24"/>
                <w:szCs w:val="24"/>
                <w:lang w:eastAsia="en-GB"/>
              </w:rPr>
              <w:t>Term deposit</w:t>
            </w:r>
          </w:p>
        </w:tc>
      </w:tr>
    </w:tbl>
    <w:p w14:paraId="0174A013" w14:textId="77777777" w:rsidR="00C31832" w:rsidRPr="007F5AA8" w:rsidRDefault="00C31832" w:rsidP="00D242B4">
      <w:pPr>
        <w:pStyle w:val="Normalnumbered"/>
        <w:numPr>
          <w:ilvl w:val="0"/>
          <w:numId w:val="0"/>
        </w:numPr>
        <w:spacing w:after="0" w:line="240" w:lineRule="auto"/>
        <w:ind w:left="738"/>
        <w:rPr>
          <w:rFonts w:eastAsiaTheme="majorEastAsia"/>
          <w:sz w:val="24"/>
          <w:szCs w:val="24"/>
          <w:lang w:eastAsia="en-GB"/>
        </w:rPr>
      </w:pPr>
    </w:p>
    <w:p w14:paraId="5B1E6F39" w14:textId="77777777" w:rsidR="00C31832" w:rsidRPr="000E2A1F" w:rsidRDefault="00C31832" w:rsidP="00D242B4">
      <w:pPr>
        <w:pStyle w:val="Normalnumbered"/>
        <w:numPr>
          <w:ilvl w:val="0"/>
          <w:numId w:val="0"/>
        </w:numPr>
        <w:spacing w:after="0" w:line="240" w:lineRule="auto"/>
        <w:ind w:left="738"/>
        <w:rPr>
          <w:rFonts w:eastAsiaTheme="majorEastAsia"/>
          <w:b/>
          <w:sz w:val="24"/>
          <w:szCs w:val="24"/>
          <w:lang w:eastAsia="en-GB"/>
        </w:rPr>
      </w:pPr>
      <w:r w:rsidRPr="000E2A1F">
        <w:rPr>
          <w:rFonts w:eastAsiaTheme="majorEastAsia"/>
          <w:b/>
          <w:sz w:val="24"/>
          <w:szCs w:val="24"/>
          <w:lang w:eastAsia="en-GB"/>
        </w:rPr>
        <w:t>Prevention of fraud and error</w:t>
      </w:r>
    </w:p>
    <w:p w14:paraId="399DCA21" w14:textId="52C188FE" w:rsidR="00C31832" w:rsidRPr="007F5AA8" w:rsidRDefault="00C31832" w:rsidP="00D03508">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Policies for the prevention of fraud or error set out in the Treasury Management have been in operation throughout the year.</w:t>
      </w:r>
      <w:r w:rsidR="00B27268">
        <w:rPr>
          <w:rFonts w:eastAsiaTheme="majorEastAsia"/>
          <w:sz w:val="24"/>
          <w:szCs w:val="24"/>
          <w:lang w:eastAsia="en-GB"/>
        </w:rPr>
        <w:t xml:space="preserve"> </w:t>
      </w:r>
      <w:r w:rsidRPr="00A069C9">
        <w:rPr>
          <w:rFonts w:eastAsiaTheme="majorEastAsia"/>
          <w:sz w:val="24"/>
          <w:szCs w:val="24"/>
          <w:lang w:eastAsia="en-GB"/>
        </w:rPr>
        <w:t xml:space="preserve">There have been no </w:t>
      </w:r>
      <w:r w:rsidR="004E3298" w:rsidRPr="00A069C9">
        <w:rPr>
          <w:rFonts w:eastAsiaTheme="majorEastAsia"/>
          <w:sz w:val="24"/>
          <w:szCs w:val="24"/>
          <w:lang w:eastAsia="en-GB"/>
        </w:rPr>
        <w:t xml:space="preserve">treasury-related </w:t>
      </w:r>
      <w:r w:rsidRPr="00A069C9">
        <w:rPr>
          <w:rFonts w:eastAsiaTheme="majorEastAsia"/>
          <w:sz w:val="24"/>
          <w:szCs w:val="24"/>
          <w:lang w:eastAsia="en-GB"/>
        </w:rPr>
        <w:t xml:space="preserve">incidents </w:t>
      </w:r>
      <w:r w:rsidR="004E3298" w:rsidRPr="00A069C9">
        <w:rPr>
          <w:rFonts w:eastAsiaTheme="majorEastAsia"/>
          <w:sz w:val="24"/>
          <w:szCs w:val="24"/>
          <w:lang w:eastAsia="en-GB"/>
        </w:rPr>
        <w:t xml:space="preserve">to report </w:t>
      </w:r>
      <w:r w:rsidRPr="00A069C9">
        <w:rPr>
          <w:rFonts w:eastAsiaTheme="majorEastAsia"/>
          <w:sz w:val="24"/>
          <w:szCs w:val="24"/>
          <w:lang w:eastAsia="en-GB"/>
        </w:rPr>
        <w:t xml:space="preserve">to the </w:t>
      </w:r>
      <w:r w:rsidR="004E3298">
        <w:rPr>
          <w:rFonts w:eastAsiaTheme="majorEastAsia"/>
          <w:sz w:val="24"/>
          <w:szCs w:val="24"/>
          <w:lang w:eastAsia="en-GB"/>
        </w:rPr>
        <w:t>Audit &amp; Risk Committee</w:t>
      </w:r>
      <w:r w:rsidR="00B27268">
        <w:rPr>
          <w:rFonts w:eastAsiaTheme="majorEastAsia"/>
          <w:sz w:val="24"/>
          <w:szCs w:val="24"/>
          <w:lang w:eastAsia="en-GB"/>
        </w:rPr>
        <w:t>.</w:t>
      </w:r>
    </w:p>
    <w:p w14:paraId="792DCABB" w14:textId="77777777" w:rsidR="00D242B4" w:rsidRPr="00D242B4" w:rsidRDefault="00D242B4" w:rsidP="00D242B4">
      <w:pPr>
        <w:pStyle w:val="Normalnumbered"/>
        <w:numPr>
          <w:ilvl w:val="0"/>
          <w:numId w:val="0"/>
        </w:numPr>
        <w:spacing w:after="0" w:line="240" w:lineRule="auto"/>
        <w:ind w:left="738"/>
        <w:rPr>
          <w:rFonts w:eastAsiaTheme="majorEastAsia"/>
          <w:lang w:eastAsia="en-GB"/>
        </w:rPr>
      </w:pPr>
    </w:p>
    <w:p w14:paraId="04D69AAF" w14:textId="77777777" w:rsidR="00C31832" w:rsidRPr="000E2A1F" w:rsidRDefault="00C31832" w:rsidP="00D242B4">
      <w:pPr>
        <w:pStyle w:val="Normalnumbered"/>
        <w:numPr>
          <w:ilvl w:val="0"/>
          <w:numId w:val="0"/>
        </w:numPr>
        <w:spacing w:after="0" w:line="240" w:lineRule="auto"/>
        <w:ind w:left="738"/>
        <w:rPr>
          <w:rFonts w:eastAsiaTheme="majorEastAsia"/>
          <w:b/>
          <w:sz w:val="24"/>
          <w:szCs w:val="24"/>
          <w:lang w:eastAsia="en-GB"/>
        </w:rPr>
      </w:pPr>
      <w:r w:rsidRPr="000E2A1F">
        <w:rPr>
          <w:rFonts w:eastAsiaTheme="majorEastAsia"/>
          <w:b/>
          <w:sz w:val="24"/>
          <w:szCs w:val="24"/>
          <w:lang w:eastAsia="en-GB"/>
        </w:rPr>
        <w:t>Value for money</w:t>
      </w:r>
    </w:p>
    <w:p w14:paraId="37F8E3B2" w14:textId="62510A0C" w:rsidR="00C31832" w:rsidRPr="007F5AA8" w:rsidRDefault="00C31832" w:rsidP="00D03508">
      <w:pPr>
        <w:pStyle w:val="Normalnumbered"/>
        <w:spacing w:after="0" w:line="240" w:lineRule="auto"/>
        <w:ind w:left="738" w:hanging="738"/>
        <w:rPr>
          <w:rFonts w:eastAsiaTheme="majorEastAsia"/>
          <w:sz w:val="24"/>
          <w:szCs w:val="24"/>
          <w:lang w:eastAsia="en-GB"/>
        </w:rPr>
      </w:pPr>
      <w:r w:rsidRPr="007F5AA8">
        <w:rPr>
          <w:rFonts w:eastAsiaTheme="majorEastAsia"/>
          <w:sz w:val="24"/>
          <w:szCs w:val="24"/>
          <w:lang w:eastAsia="en-GB"/>
        </w:rPr>
        <w:t xml:space="preserve">The </w:t>
      </w:r>
      <w:r w:rsidR="004E3298">
        <w:rPr>
          <w:rFonts w:eastAsiaTheme="majorEastAsia"/>
          <w:sz w:val="24"/>
          <w:szCs w:val="24"/>
          <w:lang w:eastAsia="en-GB"/>
        </w:rPr>
        <w:t xml:space="preserve">average weighted interest rate was 3.25% for 2015/16. This is less than the Value for Money target of </w:t>
      </w:r>
      <w:r w:rsidR="00B27268">
        <w:rPr>
          <w:rFonts w:eastAsiaTheme="majorEastAsia"/>
          <w:sz w:val="24"/>
          <w:szCs w:val="24"/>
          <w:lang w:eastAsia="en-GB"/>
        </w:rPr>
        <w:t xml:space="preserve">3.74% in the Association’s VFM Strategy. Hexagon has compared average weighted interest rates for 15/16 with its L8 peer group and has achieved the second-lowest interest rate of the 7 associations who contributed their data. </w:t>
      </w:r>
      <w:r w:rsidRPr="007F5AA8">
        <w:rPr>
          <w:rFonts w:eastAsiaTheme="majorEastAsia"/>
          <w:sz w:val="24"/>
          <w:szCs w:val="24"/>
          <w:lang w:eastAsia="en-GB"/>
        </w:rPr>
        <w:t xml:space="preserve"> </w:t>
      </w:r>
    </w:p>
    <w:p w14:paraId="5A33065F" w14:textId="77777777" w:rsidR="00DB7E04" w:rsidRDefault="00DB7E04" w:rsidP="00D242B4">
      <w:pPr>
        <w:pStyle w:val="Normalnumbered"/>
        <w:numPr>
          <w:ilvl w:val="0"/>
          <w:numId w:val="0"/>
        </w:numPr>
        <w:spacing w:after="0" w:line="240" w:lineRule="auto"/>
        <w:ind w:left="738"/>
        <w:rPr>
          <w:rFonts w:eastAsiaTheme="majorEastAsia"/>
          <w:lang w:eastAsia="en-GB"/>
        </w:rPr>
      </w:pPr>
    </w:p>
    <w:p w14:paraId="12721D1E" w14:textId="3350DC2A" w:rsidR="00D03508" w:rsidRDefault="00B27268" w:rsidP="003F32C7">
      <w:pPr>
        <w:pStyle w:val="Heading1numbered"/>
        <w:numPr>
          <w:ilvl w:val="0"/>
          <w:numId w:val="4"/>
        </w:numPr>
        <w:ind w:left="0" w:firstLine="0"/>
        <w:outlineLvl w:val="0"/>
        <w:rPr>
          <w:rFonts w:eastAsiaTheme="majorEastAsia"/>
          <w:lang w:eastAsia="en-GB"/>
        </w:rPr>
      </w:pPr>
      <w:bookmarkStart w:id="2" w:name="_Toc456265889"/>
      <w:bookmarkStart w:id="3" w:name="_Toc456265890"/>
      <w:bookmarkEnd w:id="2"/>
      <w:r>
        <w:rPr>
          <w:rFonts w:eastAsiaTheme="majorEastAsia"/>
          <w:lang w:eastAsia="en-GB"/>
        </w:rPr>
        <w:t>Review of current loan portfolio</w:t>
      </w:r>
      <w:bookmarkEnd w:id="3"/>
    </w:p>
    <w:p w14:paraId="6ADDAF87" w14:textId="7BDB28A3" w:rsidR="004C2D9F" w:rsidRDefault="004C2D9F" w:rsidP="003F32C7">
      <w:pPr>
        <w:pStyle w:val="Normalnumbered"/>
        <w:spacing w:after="0" w:line="240" w:lineRule="auto"/>
        <w:ind w:left="738" w:hanging="738"/>
        <w:rPr>
          <w:lang w:eastAsia="en-GB"/>
        </w:rPr>
      </w:pPr>
      <w:r>
        <w:rPr>
          <w:lang w:eastAsia="en-GB"/>
        </w:rPr>
        <w:t>Hexagon has the following loan arrangements in place</w:t>
      </w:r>
      <w:r w:rsidR="00EE4AF2">
        <w:rPr>
          <w:lang w:eastAsia="en-GB"/>
        </w:rPr>
        <w:t xml:space="preserve"> [as at 30/06/16]</w:t>
      </w:r>
      <w:r>
        <w:rPr>
          <w:lang w:eastAsia="en-GB"/>
        </w:rPr>
        <w:t>;</w:t>
      </w:r>
    </w:p>
    <w:p w14:paraId="7E86CCD6" w14:textId="77777777" w:rsidR="00C01C9D" w:rsidRDefault="00C01C9D" w:rsidP="00C01C9D">
      <w:pPr>
        <w:pStyle w:val="Normalnumbered"/>
        <w:numPr>
          <w:ilvl w:val="0"/>
          <w:numId w:val="0"/>
        </w:numPr>
        <w:spacing w:after="0" w:line="240" w:lineRule="auto"/>
        <w:ind w:left="738"/>
        <w:rPr>
          <w:lang w:eastAsia="en-GB"/>
        </w:rPr>
      </w:pPr>
    </w:p>
    <w:p w14:paraId="6315C798" w14:textId="6B7EE792" w:rsidR="00C01C9D" w:rsidRDefault="00C01C9D" w:rsidP="00EE4AF2">
      <w:pPr>
        <w:pStyle w:val="Normalnumbered"/>
        <w:numPr>
          <w:ilvl w:val="0"/>
          <w:numId w:val="0"/>
        </w:numPr>
        <w:spacing w:after="0" w:line="240" w:lineRule="auto"/>
        <w:ind w:left="720"/>
        <w:rPr>
          <w:lang w:eastAsia="en-GB"/>
        </w:rPr>
      </w:pPr>
      <w:r w:rsidRPr="00C01C9D">
        <w:rPr>
          <w:noProof/>
          <w:lang w:val="en-GB" w:eastAsia="en-GB" w:bidi="ar-SA"/>
        </w:rPr>
        <w:drawing>
          <wp:inline distT="0" distB="0" distL="0" distR="0" wp14:anchorId="2270B815" wp14:editId="4DCC8AAE">
            <wp:extent cx="4887595" cy="2282342"/>
            <wp:effectExtent l="0" t="0" r="825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981" cy="2297932"/>
                    </a:xfrm>
                    <a:prstGeom prst="rect">
                      <a:avLst/>
                    </a:prstGeom>
                    <a:noFill/>
                    <a:ln>
                      <a:noFill/>
                    </a:ln>
                  </pic:spPr>
                </pic:pic>
              </a:graphicData>
            </a:graphic>
          </wp:inline>
        </w:drawing>
      </w:r>
    </w:p>
    <w:p w14:paraId="585058EA" w14:textId="146D373D" w:rsidR="004C2D9F" w:rsidRDefault="004C2D9F" w:rsidP="00C01C9D">
      <w:pPr>
        <w:pStyle w:val="Normalnumbered"/>
        <w:numPr>
          <w:ilvl w:val="0"/>
          <w:numId w:val="0"/>
        </w:numPr>
        <w:spacing w:after="0" w:line="240" w:lineRule="auto"/>
        <w:ind w:left="738"/>
        <w:rPr>
          <w:lang w:eastAsia="en-GB"/>
        </w:rPr>
      </w:pPr>
    </w:p>
    <w:p w14:paraId="45E7745C" w14:textId="3D49972C" w:rsidR="00C01C9D" w:rsidRPr="003F32C7" w:rsidRDefault="004C2D9F" w:rsidP="003F32C7">
      <w:pPr>
        <w:pStyle w:val="Normalnumbered"/>
        <w:spacing w:after="0" w:line="240" w:lineRule="auto"/>
        <w:ind w:left="738" w:hanging="738"/>
        <w:rPr>
          <w:rFonts w:eastAsiaTheme="majorEastAsia"/>
          <w:sz w:val="24"/>
          <w:szCs w:val="24"/>
          <w:lang w:eastAsia="en-GB"/>
        </w:rPr>
      </w:pPr>
      <w:r w:rsidRPr="003F32C7">
        <w:rPr>
          <w:rFonts w:eastAsiaTheme="majorEastAsia"/>
          <w:sz w:val="24"/>
          <w:szCs w:val="24"/>
          <w:lang w:eastAsia="en-GB"/>
        </w:rPr>
        <w:t xml:space="preserve">A number of the very first private finance deals such as </w:t>
      </w:r>
      <w:r w:rsidR="0063469E" w:rsidRPr="003F32C7">
        <w:rPr>
          <w:rFonts w:eastAsiaTheme="majorEastAsia"/>
          <w:sz w:val="24"/>
          <w:szCs w:val="24"/>
          <w:lang w:eastAsia="en-GB"/>
        </w:rPr>
        <w:t>Orchard</w:t>
      </w:r>
      <w:r w:rsidR="00C40D0F">
        <w:rPr>
          <w:rFonts w:eastAsiaTheme="majorEastAsia"/>
          <w:sz w:val="24"/>
          <w:szCs w:val="24"/>
          <w:lang w:eastAsia="en-GB"/>
        </w:rPr>
        <w:t>b</w:t>
      </w:r>
      <w:r w:rsidR="0063469E" w:rsidRPr="003F32C7">
        <w:rPr>
          <w:rFonts w:eastAsiaTheme="majorEastAsia"/>
          <w:sz w:val="24"/>
          <w:szCs w:val="24"/>
          <w:lang w:eastAsia="en-GB"/>
        </w:rPr>
        <w:t xml:space="preserve">rook, </w:t>
      </w:r>
      <w:r w:rsidRPr="003F32C7">
        <w:rPr>
          <w:rFonts w:eastAsiaTheme="majorEastAsia"/>
          <w:sz w:val="24"/>
          <w:szCs w:val="24"/>
          <w:lang w:eastAsia="en-GB"/>
        </w:rPr>
        <w:t xml:space="preserve">THFC and HSL </w:t>
      </w:r>
      <w:r w:rsidR="0063469E" w:rsidRPr="003F32C7">
        <w:rPr>
          <w:rFonts w:eastAsiaTheme="majorEastAsia"/>
          <w:sz w:val="24"/>
          <w:szCs w:val="24"/>
          <w:lang w:eastAsia="en-GB"/>
        </w:rPr>
        <w:t xml:space="preserve">are approaching maturity. These </w:t>
      </w:r>
      <w:r w:rsidR="00C01C9D" w:rsidRPr="003F32C7">
        <w:rPr>
          <w:rFonts w:eastAsiaTheme="majorEastAsia"/>
          <w:sz w:val="24"/>
          <w:szCs w:val="24"/>
          <w:lang w:eastAsia="en-GB"/>
        </w:rPr>
        <w:t>are typically high fixed rate but relatively small value loans. Repayment will result in some small reduction in the average weighted cost of funds.</w:t>
      </w:r>
    </w:p>
    <w:p w14:paraId="0F9482E0" w14:textId="77777777" w:rsidR="00C01C9D" w:rsidRPr="003F32C7" w:rsidRDefault="00C01C9D" w:rsidP="0049208B">
      <w:pPr>
        <w:pStyle w:val="Normalnumbered"/>
        <w:numPr>
          <w:ilvl w:val="0"/>
          <w:numId w:val="0"/>
        </w:numPr>
        <w:spacing w:after="0" w:line="240" w:lineRule="auto"/>
        <w:ind w:left="738"/>
        <w:rPr>
          <w:rFonts w:eastAsiaTheme="majorEastAsia"/>
          <w:sz w:val="24"/>
          <w:szCs w:val="24"/>
          <w:lang w:eastAsia="en-GB"/>
        </w:rPr>
      </w:pPr>
    </w:p>
    <w:p w14:paraId="77DA2EBB" w14:textId="6AE89EF3" w:rsidR="00C01C9D" w:rsidRPr="003F32C7" w:rsidRDefault="00C01C9D" w:rsidP="003F32C7">
      <w:pPr>
        <w:pStyle w:val="Normalnumbered"/>
        <w:spacing w:after="0" w:line="240" w:lineRule="auto"/>
        <w:ind w:left="738" w:hanging="738"/>
        <w:rPr>
          <w:rFonts w:eastAsiaTheme="majorEastAsia"/>
          <w:sz w:val="24"/>
          <w:szCs w:val="24"/>
          <w:lang w:eastAsia="en-GB"/>
        </w:rPr>
      </w:pPr>
      <w:r w:rsidRPr="003F32C7">
        <w:rPr>
          <w:rFonts w:eastAsiaTheme="majorEastAsia"/>
          <w:sz w:val="24"/>
          <w:szCs w:val="24"/>
          <w:lang w:eastAsia="en-GB"/>
        </w:rPr>
        <w:t xml:space="preserve">The remaining bank and building society loans were all arranged before the 2008 financial crisis and benefit from very low credit margins. The anticipated lower for longer variable interest rate environment combined with the low margins will benefit Hexagon so long </w:t>
      </w:r>
      <w:r w:rsidR="00751265">
        <w:rPr>
          <w:rFonts w:eastAsiaTheme="majorEastAsia"/>
          <w:sz w:val="24"/>
          <w:szCs w:val="24"/>
          <w:lang w:eastAsia="en-GB"/>
        </w:rPr>
        <w:t xml:space="preserve">as </w:t>
      </w:r>
      <w:r w:rsidRPr="003F32C7">
        <w:rPr>
          <w:rFonts w:eastAsiaTheme="majorEastAsia"/>
          <w:sz w:val="24"/>
          <w:szCs w:val="24"/>
          <w:lang w:eastAsia="en-GB"/>
        </w:rPr>
        <w:t xml:space="preserve">rates continue to follow market expectations. </w:t>
      </w:r>
    </w:p>
    <w:p w14:paraId="104D5EFB" w14:textId="77777777" w:rsidR="0049208B" w:rsidRPr="003F32C7" w:rsidRDefault="0049208B" w:rsidP="0049208B">
      <w:pPr>
        <w:pStyle w:val="Normalnumbered"/>
        <w:numPr>
          <w:ilvl w:val="0"/>
          <w:numId w:val="0"/>
        </w:numPr>
        <w:spacing w:after="0" w:line="240" w:lineRule="auto"/>
        <w:ind w:left="738"/>
        <w:rPr>
          <w:rFonts w:eastAsiaTheme="majorEastAsia"/>
          <w:sz w:val="24"/>
          <w:szCs w:val="24"/>
          <w:lang w:eastAsia="en-GB"/>
        </w:rPr>
      </w:pPr>
    </w:p>
    <w:p w14:paraId="5A04AE74" w14:textId="4BA7A0C5" w:rsidR="00B27268" w:rsidRDefault="0049208B" w:rsidP="003F32C7">
      <w:pPr>
        <w:pStyle w:val="Normalnumbered"/>
        <w:spacing w:after="0" w:line="240" w:lineRule="auto"/>
        <w:ind w:left="738" w:hanging="738"/>
        <w:rPr>
          <w:rFonts w:eastAsiaTheme="majorEastAsia"/>
          <w:sz w:val="24"/>
          <w:szCs w:val="24"/>
          <w:lang w:eastAsia="en-GB"/>
        </w:rPr>
      </w:pPr>
      <w:r w:rsidRPr="003F32C7">
        <w:rPr>
          <w:rFonts w:eastAsiaTheme="majorEastAsia"/>
          <w:sz w:val="24"/>
          <w:szCs w:val="24"/>
          <w:lang w:eastAsia="en-GB"/>
        </w:rPr>
        <w:t xml:space="preserve">It is well known in the market that </w:t>
      </w:r>
      <w:r w:rsidR="00C01C9D" w:rsidRPr="003F32C7">
        <w:rPr>
          <w:rFonts w:eastAsiaTheme="majorEastAsia"/>
          <w:sz w:val="24"/>
          <w:szCs w:val="24"/>
          <w:lang w:eastAsia="en-GB"/>
        </w:rPr>
        <w:t>Newcastle B</w:t>
      </w:r>
      <w:r w:rsidRPr="003F32C7">
        <w:rPr>
          <w:rFonts w:eastAsiaTheme="majorEastAsia"/>
          <w:sz w:val="24"/>
          <w:szCs w:val="24"/>
          <w:lang w:eastAsia="en-GB"/>
        </w:rPr>
        <w:t xml:space="preserve">uilding Society is seeking to reduce its exposure to the market. Newcastle has </w:t>
      </w:r>
      <w:r w:rsidR="00751265">
        <w:rPr>
          <w:rFonts w:eastAsiaTheme="majorEastAsia"/>
          <w:sz w:val="24"/>
          <w:szCs w:val="24"/>
          <w:lang w:eastAsia="en-GB"/>
        </w:rPr>
        <w:t>suggested that they might</w:t>
      </w:r>
      <w:r w:rsidRPr="003F32C7">
        <w:rPr>
          <w:rFonts w:eastAsiaTheme="majorEastAsia"/>
          <w:sz w:val="24"/>
          <w:szCs w:val="24"/>
          <w:lang w:eastAsia="en-GB"/>
        </w:rPr>
        <w:t xml:space="preserve"> discount the principal amount owing by</w:t>
      </w:r>
      <w:r w:rsidR="00751265">
        <w:rPr>
          <w:rFonts w:eastAsiaTheme="majorEastAsia"/>
          <w:sz w:val="24"/>
          <w:szCs w:val="24"/>
          <w:lang w:eastAsia="en-GB"/>
        </w:rPr>
        <w:t xml:space="preserve"> around</w:t>
      </w:r>
      <w:r w:rsidRPr="003F32C7">
        <w:rPr>
          <w:rFonts w:eastAsiaTheme="majorEastAsia"/>
          <w:sz w:val="24"/>
          <w:szCs w:val="24"/>
          <w:lang w:eastAsia="en-GB"/>
        </w:rPr>
        <w:t xml:space="preserve"> 5% if Hexagon agrees to repay early. As Hexagon would have to arrange additional new loans to do this</w:t>
      </w:r>
      <w:r w:rsidR="00296C35">
        <w:rPr>
          <w:rFonts w:eastAsiaTheme="majorEastAsia"/>
          <w:sz w:val="24"/>
          <w:szCs w:val="24"/>
          <w:lang w:eastAsia="en-GB"/>
        </w:rPr>
        <w:t>,</w:t>
      </w:r>
      <w:r w:rsidRPr="003F32C7">
        <w:rPr>
          <w:rFonts w:eastAsiaTheme="majorEastAsia"/>
          <w:sz w:val="24"/>
          <w:szCs w:val="24"/>
          <w:lang w:eastAsia="en-GB"/>
        </w:rPr>
        <w:t xml:space="preserve"> at a likely credit spread of around 1.5%</w:t>
      </w:r>
      <w:r w:rsidR="00296C35">
        <w:rPr>
          <w:rFonts w:eastAsiaTheme="majorEastAsia"/>
          <w:sz w:val="24"/>
          <w:szCs w:val="24"/>
          <w:lang w:eastAsia="en-GB"/>
        </w:rPr>
        <w:t>,</w:t>
      </w:r>
      <w:r w:rsidRPr="003F32C7">
        <w:rPr>
          <w:rFonts w:eastAsiaTheme="majorEastAsia"/>
          <w:sz w:val="24"/>
          <w:szCs w:val="24"/>
          <w:lang w:eastAsia="en-GB"/>
        </w:rPr>
        <w:t xml:space="preserve"> this is not a particularly attractive proposition. Our rough estimate is that the discount would need to be closer to 15% for this to make economic sense. </w:t>
      </w:r>
    </w:p>
    <w:p w14:paraId="5000132F" w14:textId="77777777" w:rsidR="00A04906" w:rsidRDefault="00A04906" w:rsidP="003F32C7">
      <w:pPr>
        <w:pStyle w:val="ListParagraph"/>
        <w:rPr>
          <w:rFonts w:eastAsiaTheme="majorEastAsia"/>
          <w:sz w:val="24"/>
          <w:szCs w:val="24"/>
          <w:lang w:eastAsia="en-GB"/>
        </w:rPr>
      </w:pPr>
    </w:p>
    <w:p w14:paraId="3AF12408" w14:textId="4E5707EC" w:rsidR="00A04906" w:rsidRPr="003F32C7" w:rsidRDefault="00A04906" w:rsidP="003F32C7">
      <w:pPr>
        <w:pStyle w:val="Normalnumbered"/>
        <w:spacing w:after="0" w:line="240" w:lineRule="auto"/>
        <w:ind w:left="738" w:hanging="738"/>
        <w:rPr>
          <w:rFonts w:eastAsiaTheme="majorEastAsia"/>
          <w:sz w:val="24"/>
          <w:szCs w:val="24"/>
          <w:lang w:eastAsia="en-GB"/>
        </w:rPr>
      </w:pPr>
      <w:r>
        <w:rPr>
          <w:rFonts w:eastAsiaTheme="majorEastAsia"/>
          <w:sz w:val="24"/>
          <w:szCs w:val="24"/>
          <w:lang w:eastAsia="en-GB"/>
        </w:rPr>
        <w:t>The business plan shows peak debt of just over £210 million in September 2021. The undrawn and available loan facilities are expected to be exhausted by</w:t>
      </w:r>
      <w:r w:rsidR="00751265">
        <w:rPr>
          <w:rFonts w:eastAsiaTheme="majorEastAsia"/>
          <w:sz w:val="24"/>
          <w:szCs w:val="24"/>
          <w:lang w:eastAsia="en-GB"/>
        </w:rPr>
        <w:t xml:space="preserve"> June 2018</w:t>
      </w:r>
      <w:r>
        <w:rPr>
          <w:rFonts w:eastAsiaTheme="majorEastAsia"/>
          <w:sz w:val="24"/>
          <w:szCs w:val="24"/>
          <w:lang w:eastAsia="en-GB"/>
        </w:rPr>
        <w:t xml:space="preserve"> </w:t>
      </w:r>
    </w:p>
    <w:p w14:paraId="4BD524D0" w14:textId="77777777" w:rsidR="00B27268" w:rsidRPr="003F32C7" w:rsidRDefault="00B27268" w:rsidP="00D242B4">
      <w:pPr>
        <w:pStyle w:val="Normalnumbered"/>
        <w:numPr>
          <w:ilvl w:val="0"/>
          <w:numId w:val="0"/>
        </w:numPr>
        <w:spacing w:after="0" w:line="240" w:lineRule="auto"/>
        <w:ind w:left="738"/>
        <w:rPr>
          <w:rFonts w:eastAsiaTheme="majorEastAsia"/>
          <w:sz w:val="24"/>
          <w:szCs w:val="24"/>
          <w:lang w:eastAsia="en-GB"/>
        </w:rPr>
      </w:pPr>
    </w:p>
    <w:p w14:paraId="0BF5A3D4" w14:textId="7BD7CE69" w:rsidR="00892E8E" w:rsidRDefault="00C31832" w:rsidP="003F32C7">
      <w:pPr>
        <w:pStyle w:val="Heading1numbered"/>
        <w:numPr>
          <w:ilvl w:val="0"/>
          <w:numId w:val="4"/>
        </w:numPr>
        <w:spacing w:after="0" w:line="240" w:lineRule="auto"/>
        <w:ind w:left="720" w:hanging="720"/>
        <w:outlineLvl w:val="0"/>
        <w:rPr>
          <w:rFonts w:asciiTheme="minorHAnsi" w:eastAsiaTheme="majorEastAsia" w:hAnsiTheme="minorHAnsi"/>
          <w:b/>
          <w:bCs w:val="0"/>
          <w:color w:val="auto"/>
          <w:spacing w:val="0"/>
          <w:sz w:val="24"/>
          <w:szCs w:val="24"/>
          <w:lang w:eastAsia="en-GB"/>
        </w:rPr>
      </w:pPr>
      <w:bookmarkStart w:id="4" w:name="_Toc456265891"/>
      <w:r w:rsidRPr="00EE3B7A">
        <w:rPr>
          <w:rFonts w:eastAsiaTheme="majorEastAsia"/>
          <w:lang w:eastAsia="en-GB"/>
        </w:rPr>
        <w:t>Annual Treasury Strategy</w:t>
      </w:r>
      <w:bookmarkEnd w:id="4"/>
    </w:p>
    <w:p w14:paraId="699AB3D6" w14:textId="77777777" w:rsidR="00892E8E" w:rsidRDefault="00892E8E" w:rsidP="003F32C7">
      <w:pPr>
        <w:pStyle w:val="Heading1numbered"/>
        <w:spacing w:after="0" w:line="240" w:lineRule="auto"/>
        <w:ind w:left="720"/>
        <w:outlineLvl w:val="0"/>
        <w:rPr>
          <w:rFonts w:asciiTheme="minorHAnsi" w:eastAsiaTheme="majorEastAsia" w:hAnsiTheme="minorHAnsi"/>
          <w:b/>
          <w:bCs w:val="0"/>
          <w:color w:val="auto"/>
          <w:spacing w:val="0"/>
          <w:sz w:val="24"/>
          <w:szCs w:val="24"/>
          <w:lang w:eastAsia="en-GB"/>
        </w:rPr>
      </w:pPr>
    </w:p>
    <w:p w14:paraId="4C0EAB46" w14:textId="6707902A" w:rsidR="00877ED1" w:rsidRPr="00EE3B7A" w:rsidRDefault="00877ED1" w:rsidP="003F32C7">
      <w:pPr>
        <w:pStyle w:val="Heading1numbered"/>
        <w:spacing w:after="0" w:line="240" w:lineRule="auto"/>
        <w:ind w:left="720"/>
        <w:outlineLvl w:val="0"/>
        <w:rPr>
          <w:rFonts w:asciiTheme="minorHAnsi" w:eastAsiaTheme="majorEastAsia" w:hAnsiTheme="minorHAnsi"/>
          <w:b/>
          <w:bCs w:val="0"/>
          <w:color w:val="auto"/>
          <w:spacing w:val="0"/>
          <w:sz w:val="24"/>
          <w:szCs w:val="24"/>
          <w:lang w:eastAsia="en-GB"/>
        </w:rPr>
      </w:pPr>
      <w:r w:rsidRPr="00EE3B7A">
        <w:rPr>
          <w:rFonts w:asciiTheme="minorHAnsi" w:eastAsiaTheme="majorEastAsia" w:hAnsiTheme="minorHAnsi"/>
          <w:b/>
          <w:bCs w:val="0"/>
          <w:color w:val="auto"/>
          <w:spacing w:val="0"/>
          <w:sz w:val="24"/>
          <w:szCs w:val="24"/>
          <w:lang w:eastAsia="en-GB"/>
        </w:rPr>
        <w:t>Proposals for amendments to the Treasury Policy.</w:t>
      </w:r>
    </w:p>
    <w:p w14:paraId="5D70BD19" w14:textId="3721F322" w:rsidR="00877ED1" w:rsidRPr="00DB7E04" w:rsidRDefault="00877ED1" w:rsidP="003F32C7">
      <w:pPr>
        <w:pStyle w:val="Normalnumbered"/>
        <w:spacing w:after="0" w:line="240" w:lineRule="auto"/>
        <w:ind w:left="720" w:hanging="720"/>
        <w:rPr>
          <w:rFonts w:eastAsiaTheme="majorEastAsia"/>
          <w:sz w:val="24"/>
          <w:szCs w:val="24"/>
          <w:lang w:eastAsia="en-GB"/>
        </w:rPr>
      </w:pPr>
      <w:r w:rsidRPr="00DB7E04">
        <w:rPr>
          <w:rFonts w:eastAsiaTheme="majorEastAsia"/>
          <w:sz w:val="24"/>
          <w:szCs w:val="24"/>
          <w:lang w:eastAsia="en-GB"/>
        </w:rPr>
        <w:t xml:space="preserve">The Treasury Policy of Hexagon was reviewed and updated to reflect best practice in </w:t>
      </w:r>
      <w:r w:rsidR="00B27268" w:rsidRPr="00DB7E04">
        <w:rPr>
          <w:rFonts w:eastAsiaTheme="majorEastAsia"/>
          <w:sz w:val="24"/>
          <w:szCs w:val="24"/>
          <w:lang w:eastAsia="en-GB"/>
        </w:rPr>
        <w:t xml:space="preserve">September </w:t>
      </w:r>
      <w:r w:rsidRPr="00DB7E04">
        <w:rPr>
          <w:rFonts w:eastAsiaTheme="majorEastAsia"/>
          <w:sz w:val="24"/>
          <w:szCs w:val="24"/>
          <w:lang w:eastAsia="en-GB"/>
        </w:rPr>
        <w:t>of last year</w:t>
      </w:r>
    </w:p>
    <w:p w14:paraId="006122EE" w14:textId="77777777" w:rsidR="00DB7E04" w:rsidRDefault="00DB7E04" w:rsidP="003F32C7">
      <w:pPr>
        <w:pStyle w:val="Normalnumbered"/>
        <w:numPr>
          <w:ilvl w:val="0"/>
          <w:numId w:val="0"/>
        </w:numPr>
        <w:spacing w:after="0" w:line="240" w:lineRule="auto"/>
        <w:ind w:left="810"/>
        <w:rPr>
          <w:rFonts w:eastAsiaTheme="majorEastAsia"/>
          <w:sz w:val="24"/>
          <w:szCs w:val="24"/>
          <w:lang w:eastAsia="en-GB"/>
        </w:rPr>
      </w:pPr>
    </w:p>
    <w:p w14:paraId="1A55C76F" w14:textId="77777777" w:rsidR="00877ED1" w:rsidRDefault="00757A5F" w:rsidP="00892E8E">
      <w:pPr>
        <w:pStyle w:val="Normalnumbered"/>
        <w:spacing w:after="0" w:line="240" w:lineRule="auto"/>
        <w:ind w:left="720" w:hanging="720"/>
        <w:rPr>
          <w:rFonts w:eastAsiaTheme="majorEastAsia"/>
          <w:sz w:val="24"/>
          <w:szCs w:val="24"/>
          <w:lang w:eastAsia="en-GB"/>
        </w:rPr>
      </w:pPr>
      <w:r w:rsidRPr="007F5AA8">
        <w:rPr>
          <w:rFonts w:eastAsiaTheme="majorEastAsia"/>
          <w:sz w:val="24"/>
          <w:szCs w:val="24"/>
          <w:lang w:eastAsia="en-GB"/>
        </w:rPr>
        <w:t>Capita has reviewed the current policy document and can confirm that no further</w:t>
      </w:r>
      <w:r w:rsidR="00877ED1" w:rsidRPr="007F5AA8">
        <w:rPr>
          <w:rFonts w:eastAsiaTheme="majorEastAsia"/>
          <w:sz w:val="24"/>
          <w:szCs w:val="24"/>
          <w:lang w:eastAsia="en-GB"/>
        </w:rPr>
        <w:t xml:space="preserve"> </w:t>
      </w:r>
      <w:r w:rsidRPr="007F5AA8">
        <w:rPr>
          <w:rFonts w:eastAsiaTheme="majorEastAsia"/>
          <w:sz w:val="24"/>
          <w:szCs w:val="24"/>
          <w:lang w:eastAsia="en-GB"/>
        </w:rPr>
        <w:t>amendments are required.</w:t>
      </w:r>
    </w:p>
    <w:p w14:paraId="2CB61819" w14:textId="77777777" w:rsidR="0049208B" w:rsidRDefault="0049208B" w:rsidP="003F32C7">
      <w:pPr>
        <w:pStyle w:val="Normalnumbered"/>
        <w:numPr>
          <w:ilvl w:val="0"/>
          <w:numId w:val="0"/>
        </w:numPr>
        <w:spacing w:after="0" w:line="240" w:lineRule="auto"/>
        <w:ind w:left="810"/>
        <w:rPr>
          <w:rFonts w:eastAsiaTheme="majorEastAsia"/>
          <w:sz w:val="24"/>
          <w:szCs w:val="24"/>
          <w:lang w:eastAsia="en-GB"/>
        </w:rPr>
      </w:pPr>
    </w:p>
    <w:p w14:paraId="03416C40" w14:textId="21167EA5" w:rsidR="0049208B" w:rsidRPr="007F5AA8" w:rsidRDefault="0049208B" w:rsidP="00892E8E">
      <w:pPr>
        <w:pStyle w:val="Normalnumbered"/>
        <w:spacing w:after="0" w:line="240" w:lineRule="auto"/>
        <w:ind w:left="720" w:hanging="810"/>
        <w:rPr>
          <w:rFonts w:eastAsiaTheme="majorEastAsia"/>
          <w:sz w:val="24"/>
          <w:szCs w:val="24"/>
          <w:lang w:eastAsia="en-GB"/>
        </w:rPr>
      </w:pPr>
      <w:r>
        <w:rPr>
          <w:rFonts w:eastAsiaTheme="majorEastAsia"/>
          <w:sz w:val="24"/>
          <w:szCs w:val="24"/>
          <w:lang w:eastAsia="en-GB"/>
        </w:rPr>
        <w:t xml:space="preserve">One small change is suggested to S1.1 of the policy which requires security to be charged to lenders months 12 months ahead of need. The suggestion is to reduce this time period from 12 months to 6 months to avoid the problem of having to start the charging process before a new facility is in place. In practice this is something that it is not possible to do as the lenders requirements will only be known once a facility has been completed.  </w:t>
      </w:r>
    </w:p>
    <w:p w14:paraId="2D124EDB" w14:textId="778F4104" w:rsidR="00757A5F" w:rsidRPr="007F5AA8" w:rsidRDefault="00757A5F" w:rsidP="00877ED1">
      <w:pPr>
        <w:pStyle w:val="Normalnumbered"/>
        <w:numPr>
          <w:ilvl w:val="0"/>
          <w:numId w:val="0"/>
        </w:numPr>
        <w:spacing w:after="0" w:line="240" w:lineRule="auto"/>
        <w:ind w:left="738"/>
        <w:rPr>
          <w:rFonts w:eastAsiaTheme="majorEastAsia"/>
          <w:sz w:val="24"/>
          <w:szCs w:val="24"/>
          <w:lang w:eastAsia="en-GB"/>
        </w:rPr>
      </w:pPr>
    </w:p>
    <w:p w14:paraId="3267F64F" w14:textId="77777777" w:rsidR="00757A5F" w:rsidRPr="007F5AA8" w:rsidRDefault="00757A5F" w:rsidP="00877ED1">
      <w:pPr>
        <w:pStyle w:val="Normalnumbered"/>
        <w:numPr>
          <w:ilvl w:val="0"/>
          <w:numId w:val="0"/>
        </w:numPr>
        <w:spacing w:after="0" w:line="240" w:lineRule="auto"/>
        <w:ind w:left="738"/>
        <w:rPr>
          <w:rFonts w:eastAsiaTheme="majorEastAsia"/>
          <w:b/>
          <w:sz w:val="24"/>
          <w:szCs w:val="24"/>
          <w:lang w:eastAsia="en-GB"/>
        </w:rPr>
      </w:pPr>
      <w:r w:rsidRPr="007F5AA8">
        <w:rPr>
          <w:rFonts w:eastAsiaTheme="majorEastAsia"/>
          <w:b/>
          <w:sz w:val="24"/>
          <w:szCs w:val="24"/>
          <w:lang w:eastAsia="en-GB"/>
        </w:rPr>
        <w:t xml:space="preserve">Three year cash flow forecast </w:t>
      </w:r>
    </w:p>
    <w:p w14:paraId="2D353DEA" w14:textId="05E83A2A" w:rsidR="00877ED1" w:rsidRPr="007F5AA8" w:rsidRDefault="00877ED1" w:rsidP="00877ED1">
      <w:pPr>
        <w:pStyle w:val="Normalnumbered"/>
        <w:ind w:left="720" w:hanging="720"/>
        <w:rPr>
          <w:rFonts w:eastAsiaTheme="majorEastAsia"/>
          <w:sz w:val="24"/>
          <w:szCs w:val="24"/>
          <w:lang w:eastAsia="en-GB"/>
        </w:rPr>
      </w:pPr>
      <w:r w:rsidRPr="007F5AA8">
        <w:rPr>
          <w:sz w:val="24"/>
          <w:szCs w:val="24"/>
        </w:rPr>
        <w:t xml:space="preserve"> </w:t>
      </w:r>
      <w:r w:rsidRPr="007F5AA8">
        <w:rPr>
          <w:rFonts w:eastAsiaTheme="majorEastAsia"/>
          <w:sz w:val="24"/>
          <w:szCs w:val="24"/>
          <w:lang w:eastAsia="en-GB"/>
        </w:rPr>
        <w:t>A three year cash flow forecast</w:t>
      </w:r>
      <w:r w:rsidR="00B27268">
        <w:rPr>
          <w:rFonts w:eastAsiaTheme="majorEastAsia"/>
          <w:sz w:val="24"/>
          <w:szCs w:val="24"/>
          <w:lang w:eastAsia="en-GB"/>
        </w:rPr>
        <w:t xml:space="preserve">, based on the business plan approved by the Board in June 2016, </w:t>
      </w:r>
      <w:r w:rsidRPr="007F5AA8">
        <w:rPr>
          <w:rFonts w:eastAsiaTheme="majorEastAsia"/>
          <w:sz w:val="24"/>
          <w:szCs w:val="24"/>
          <w:lang w:eastAsia="en-GB"/>
        </w:rPr>
        <w:t>is shown in appendix 1</w:t>
      </w:r>
      <w:r w:rsidR="00F2569D">
        <w:rPr>
          <w:rFonts w:eastAsiaTheme="majorEastAsia"/>
          <w:sz w:val="24"/>
          <w:szCs w:val="24"/>
          <w:lang w:eastAsia="en-GB"/>
        </w:rPr>
        <w:t xml:space="preserve">. The business plan includes a new 380-unit development </w:t>
      </w:r>
      <w:r w:rsidR="00296C35">
        <w:rPr>
          <w:rFonts w:eastAsiaTheme="majorEastAsia"/>
          <w:sz w:val="24"/>
          <w:szCs w:val="24"/>
          <w:lang w:eastAsia="en-GB"/>
        </w:rPr>
        <w:t>program</w:t>
      </w:r>
      <w:r w:rsidR="00F2569D">
        <w:rPr>
          <w:rFonts w:eastAsiaTheme="majorEastAsia"/>
          <w:sz w:val="24"/>
          <w:szCs w:val="24"/>
          <w:lang w:eastAsia="en-GB"/>
        </w:rPr>
        <w:t xml:space="preserve">, of which 72% are for shared ownership or outright sale. The plan also assumes that Hexagon sells 20 homes a year under the voluntary right to buy (vRTB) </w:t>
      </w:r>
      <w:r w:rsidR="00296C35">
        <w:rPr>
          <w:rFonts w:eastAsiaTheme="majorEastAsia"/>
          <w:sz w:val="24"/>
          <w:szCs w:val="24"/>
          <w:lang w:eastAsia="en-GB"/>
        </w:rPr>
        <w:t>program</w:t>
      </w:r>
      <w:r w:rsidR="00F2569D">
        <w:rPr>
          <w:rFonts w:eastAsiaTheme="majorEastAsia"/>
          <w:sz w:val="24"/>
          <w:szCs w:val="24"/>
          <w:lang w:eastAsia="en-GB"/>
        </w:rPr>
        <w:t xml:space="preserve">.  These aspects are particularly uncertain post-Brexit vote, so the forecast may change significantly. </w:t>
      </w:r>
    </w:p>
    <w:p w14:paraId="50DBD897" w14:textId="79F2E313" w:rsidR="00C31832" w:rsidRPr="007F5AA8" w:rsidRDefault="00C31832" w:rsidP="00877ED1">
      <w:pPr>
        <w:pStyle w:val="Normalnumbered"/>
        <w:numPr>
          <w:ilvl w:val="0"/>
          <w:numId w:val="0"/>
        </w:numPr>
        <w:spacing w:after="0" w:line="240" w:lineRule="auto"/>
        <w:ind w:left="738"/>
        <w:rPr>
          <w:rFonts w:eastAsiaTheme="majorEastAsia"/>
          <w:sz w:val="24"/>
          <w:szCs w:val="24"/>
          <w:lang w:eastAsia="en-GB"/>
        </w:rPr>
      </w:pPr>
      <w:r w:rsidRPr="007F5AA8">
        <w:rPr>
          <w:rFonts w:eastAsiaTheme="majorEastAsia"/>
          <w:sz w:val="24"/>
          <w:szCs w:val="24"/>
          <w:lang w:eastAsia="en-GB"/>
        </w:rPr>
        <w:t xml:space="preserve"> </w:t>
      </w:r>
    </w:p>
    <w:p w14:paraId="2E218980" w14:textId="2E090F73" w:rsidR="00C31832" w:rsidRPr="00D11EC7" w:rsidRDefault="00F2569D" w:rsidP="00D242B4">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Nevertheless, t</w:t>
      </w:r>
      <w:r w:rsidR="00C31832" w:rsidRPr="007F5AA8">
        <w:rPr>
          <w:rFonts w:eastAsiaTheme="majorEastAsia"/>
          <w:sz w:val="24"/>
          <w:szCs w:val="24"/>
          <w:lang w:eastAsia="en-GB"/>
        </w:rPr>
        <w:t xml:space="preserve">he forecast shows that available facilities and cash will be fully utilised by </w:t>
      </w:r>
      <w:r w:rsidR="00C40D0F">
        <w:rPr>
          <w:rFonts w:eastAsiaTheme="majorEastAsia"/>
          <w:sz w:val="24"/>
          <w:szCs w:val="24"/>
          <w:lang w:eastAsia="en-GB"/>
        </w:rPr>
        <w:t>June</w:t>
      </w:r>
      <w:r w:rsidR="00C31832" w:rsidRPr="007F5AA8">
        <w:rPr>
          <w:rFonts w:eastAsiaTheme="majorEastAsia"/>
          <w:sz w:val="24"/>
          <w:szCs w:val="24"/>
          <w:lang w:eastAsia="en-GB"/>
        </w:rPr>
        <w:t xml:space="preserve"> 2018. More detailed analysis of the rolling monthly cash flow forecast shows that Hexagon </w:t>
      </w:r>
      <w:r w:rsidR="00296C35">
        <w:rPr>
          <w:rFonts w:eastAsiaTheme="majorEastAsia"/>
          <w:sz w:val="24"/>
          <w:szCs w:val="24"/>
          <w:lang w:eastAsia="en-GB"/>
        </w:rPr>
        <w:t>would</w:t>
      </w:r>
      <w:r w:rsidR="00C31832" w:rsidRPr="007F5AA8">
        <w:rPr>
          <w:rFonts w:eastAsiaTheme="majorEastAsia"/>
          <w:sz w:val="24"/>
          <w:szCs w:val="24"/>
          <w:lang w:eastAsia="en-GB"/>
        </w:rPr>
        <w:t xml:space="preserve"> need new to draw new loan finance </w:t>
      </w:r>
      <w:r w:rsidR="00C31832" w:rsidRPr="00A069C9">
        <w:rPr>
          <w:rFonts w:eastAsiaTheme="majorEastAsia"/>
          <w:sz w:val="24"/>
          <w:szCs w:val="24"/>
          <w:lang w:eastAsia="en-GB"/>
        </w:rPr>
        <w:t xml:space="preserve">by </w:t>
      </w:r>
      <w:r w:rsidRPr="00A069C9">
        <w:rPr>
          <w:rFonts w:eastAsiaTheme="majorEastAsia"/>
          <w:sz w:val="24"/>
          <w:szCs w:val="24"/>
          <w:lang w:eastAsia="en-GB"/>
        </w:rPr>
        <w:t>September 2017 if no vRTB sales are achieved.</w:t>
      </w:r>
    </w:p>
    <w:p w14:paraId="75FE36A0"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68243740" w14:textId="77777777" w:rsidR="00C31832" w:rsidRPr="007F5AA8" w:rsidRDefault="00C31832" w:rsidP="00D242B4">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Hexagon’s Treasury Policy requires that sufficient loan facilities are in place to cover at least 18 months forward capital commitments. Given that it can take more than six months to put in place security for a new loan facility, Hexagon is therefore advised to start the procurement process for a new revolving loan before the end of the current calendar year.</w:t>
      </w:r>
    </w:p>
    <w:p w14:paraId="75AE6DD3" w14:textId="77777777" w:rsidR="00877ED1" w:rsidRPr="007F5AA8" w:rsidRDefault="00877ED1" w:rsidP="00877ED1">
      <w:pPr>
        <w:spacing w:after="0" w:line="240" w:lineRule="auto"/>
        <w:ind w:firstLine="720"/>
        <w:rPr>
          <w:rFonts w:eastAsiaTheme="majorEastAsia"/>
          <w:b/>
          <w:sz w:val="24"/>
          <w:szCs w:val="24"/>
          <w:lang w:val="en-US" w:eastAsia="en-GB" w:bidi="en-US"/>
        </w:rPr>
      </w:pPr>
    </w:p>
    <w:p w14:paraId="53AB01A3" w14:textId="77777777" w:rsidR="00C31832" w:rsidRPr="007F5AA8" w:rsidRDefault="00C31832" w:rsidP="00877ED1">
      <w:pPr>
        <w:spacing w:after="0" w:line="240" w:lineRule="auto"/>
        <w:ind w:firstLine="720"/>
        <w:rPr>
          <w:rFonts w:eastAsiaTheme="majorEastAsia"/>
          <w:b/>
          <w:sz w:val="24"/>
          <w:szCs w:val="24"/>
          <w:lang w:val="en-US" w:eastAsia="en-GB" w:bidi="en-US"/>
        </w:rPr>
      </w:pPr>
      <w:r w:rsidRPr="007F5AA8">
        <w:rPr>
          <w:rFonts w:eastAsiaTheme="majorEastAsia"/>
          <w:b/>
          <w:sz w:val="24"/>
          <w:szCs w:val="24"/>
          <w:lang w:val="en-US" w:eastAsia="en-GB" w:bidi="en-US"/>
        </w:rPr>
        <w:t>Details of principal borrowing maturities over the next three financial years</w:t>
      </w:r>
    </w:p>
    <w:p w14:paraId="626A9A3D" w14:textId="77777777" w:rsidR="00C31832"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Hexagon has the following loans due for repayment in the next three financial years;</w:t>
      </w:r>
    </w:p>
    <w:tbl>
      <w:tblPr>
        <w:tblStyle w:val="TableGrid"/>
        <w:tblW w:w="6475" w:type="dxa"/>
        <w:tblInd w:w="720" w:type="dxa"/>
        <w:tblLayout w:type="fixed"/>
        <w:tblLook w:val="04A0" w:firstRow="1" w:lastRow="0" w:firstColumn="1" w:lastColumn="0" w:noHBand="0" w:noVBand="1"/>
      </w:tblPr>
      <w:tblGrid>
        <w:gridCol w:w="2695"/>
        <w:gridCol w:w="1710"/>
        <w:gridCol w:w="2070"/>
      </w:tblGrid>
      <w:tr w:rsidR="00C31832" w:rsidRPr="007F5AA8" w14:paraId="4DBFE139" w14:textId="77777777" w:rsidTr="00D52641">
        <w:tc>
          <w:tcPr>
            <w:tcW w:w="2695" w:type="dxa"/>
          </w:tcPr>
          <w:p w14:paraId="15178231" w14:textId="77777777" w:rsidR="00C31832" w:rsidRPr="007F5AA8" w:rsidRDefault="00C31832" w:rsidP="00D242B4">
            <w:pPr>
              <w:rPr>
                <w:rFonts w:ascii="Calibri" w:eastAsia="Times New Roman" w:hAnsi="Calibri" w:cs="Times New Roman"/>
                <w:b/>
                <w:sz w:val="24"/>
                <w:szCs w:val="24"/>
                <w:lang w:eastAsia="en-GB"/>
              </w:rPr>
            </w:pPr>
            <w:r w:rsidRPr="007F5AA8">
              <w:rPr>
                <w:rFonts w:ascii="Calibri" w:eastAsia="Times New Roman" w:hAnsi="Calibri" w:cs="Times New Roman"/>
                <w:b/>
                <w:sz w:val="24"/>
                <w:szCs w:val="24"/>
                <w:lang w:eastAsia="en-GB"/>
              </w:rPr>
              <w:t xml:space="preserve">Lender </w:t>
            </w:r>
          </w:p>
        </w:tc>
        <w:tc>
          <w:tcPr>
            <w:tcW w:w="1710" w:type="dxa"/>
          </w:tcPr>
          <w:p w14:paraId="41EA5550" w14:textId="77777777" w:rsidR="00C31832" w:rsidRPr="007F5AA8" w:rsidRDefault="00C31832" w:rsidP="00D242B4">
            <w:pPr>
              <w:rPr>
                <w:rFonts w:ascii="Calibri" w:eastAsia="Times New Roman" w:hAnsi="Calibri" w:cs="Times New Roman"/>
                <w:b/>
                <w:sz w:val="24"/>
                <w:szCs w:val="24"/>
                <w:lang w:eastAsia="en-GB"/>
              </w:rPr>
            </w:pPr>
            <w:r w:rsidRPr="007F5AA8">
              <w:rPr>
                <w:rFonts w:ascii="Calibri" w:eastAsia="Times New Roman" w:hAnsi="Calibri" w:cs="Times New Roman"/>
                <w:b/>
                <w:sz w:val="24"/>
                <w:szCs w:val="24"/>
                <w:lang w:eastAsia="en-GB"/>
              </w:rPr>
              <w:t xml:space="preserve">Amount </w:t>
            </w:r>
          </w:p>
        </w:tc>
        <w:tc>
          <w:tcPr>
            <w:tcW w:w="2070" w:type="dxa"/>
            <w:tcBorders>
              <w:bottom w:val="single" w:sz="4" w:space="0" w:color="auto"/>
            </w:tcBorders>
          </w:tcPr>
          <w:p w14:paraId="55D7AACA" w14:textId="77777777" w:rsidR="00C31832" w:rsidRPr="007F5AA8" w:rsidRDefault="00C31832" w:rsidP="00D242B4">
            <w:pPr>
              <w:rPr>
                <w:rFonts w:ascii="Calibri" w:eastAsia="Times New Roman" w:hAnsi="Calibri" w:cs="Times New Roman"/>
                <w:b/>
                <w:sz w:val="24"/>
                <w:szCs w:val="24"/>
                <w:lang w:eastAsia="en-GB"/>
              </w:rPr>
            </w:pPr>
            <w:r w:rsidRPr="007F5AA8">
              <w:rPr>
                <w:rFonts w:ascii="Calibri" w:eastAsia="Times New Roman" w:hAnsi="Calibri" w:cs="Times New Roman"/>
                <w:b/>
                <w:sz w:val="24"/>
                <w:szCs w:val="24"/>
                <w:lang w:eastAsia="en-GB"/>
              </w:rPr>
              <w:t xml:space="preserve">Repayment Date </w:t>
            </w:r>
          </w:p>
        </w:tc>
      </w:tr>
      <w:tr w:rsidR="00C31832" w:rsidRPr="007F5AA8" w14:paraId="69391D3B" w14:textId="77777777" w:rsidTr="00D52641">
        <w:tc>
          <w:tcPr>
            <w:tcW w:w="2695" w:type="dxa"/>
          </w:tcPr>
          <w:p w14:paraId="55301961"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THFC</w:t>
            </w:r>
          </w:p>
        </w:tc>
        <w:tc>
          <w:tcPr>
            <w:tcW w:w="1710" w:type="dxa"/>
          </w:tcPr>
          <w:p w14:paraId="314A77A1"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£1,500,000</w:t>
            </w:r>
          </w:p>
        </w:tc>
        <w:tc>
          <w:tcPr>
            <w:tcW w:w="2070" w:type="dxa"/>
            <w:tcBorders>
              <w:top w:val="single" w:sz="4" w:space="0" w:color="auto"/>
              <w:left w:val="nil"/>
              <w:bottom w:val="single" w:sz="4" w:space="0" w:color="auto"/>
              <w:right w:val="single" w:sz="4" w:space="0" w:color="auto"/>
            </w:tcBorders>
            <w:shd w:val="clear" w:color="auto" w:fill="auto"/>
            <w:vAlign w:val="bottom"/>
          </w:tcPr>
          <w:p w14:paraId="10DC29B7"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20-11-16</w:t>
            </w:r>
          </w:p>
        </w:tc>
      </w:tr>
      <w:tr w:rsidR="00C31832" w:rsidRPr="007F5AA8" w14:paraId="6D908145" w14:textId="77777777" w:rsidTr="00D52641">
        <w:tc>
          <w:tcPr>
            <w:tcW w:w="2695" w:type="dxa"/>
          </w:tcPr>
          <w:p w14:paraId="4F2352C6"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 xml:space="preserve">HSL </w:t>
            </w:r>
          </w:p>
        </w:tc>
        <w:tc>
          <w:tcPr>
            <w:tcW w:w="1710" w:type="dxa"/>
          </w:tcPr>
          <w:p w14:paraId="192B56D1"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£5,000,000</w:t>
            </w:r>
          </w:p>
        </w:tc>
        <w:tc>
          <w:tcPr>
            <w:tcW w:w="2070" w:type="dxa"/>
            <w:tcBorders>
              <w:top w:val="single" w:sz="4" w:space="0" w:color="auto"/>
              <w:left w:val="nil"/>
              <w:bottom w:val="single" w:sz="4" w:space="0" w:color="auto"/>
              <w:right w:val="single" w:sz="4" w:space="0" w:color="auto"/>
            </w:tcBorders>
            <w:shd w:val="clear" w:color="auto" w:fill="auto"/>
            <w:vAlign w:val="bottom"/>
          </w:tcPr>
          <w:p w14:paraId="2EAE3E15"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25-01-19</w:t>
            </w:r>
          </w:p>
        </w:tc>
      </w:tr>
      <w:tr w:rsidR="00C31832" w:rsidRPr="007F5AA8" w14:paraId="4D6244C9" w14:textId="77777777" w:rsidTr="00D52641">
        <w:trPr>
          <w:trHeight w:val="314"/>
        </w:trPr>
        <w:tc>
          <w:tcPr>
            <w:tcW w:w="2695" w:type="dxa"/>
          </w:tcPr>
          <w:p w14:paraId="5BBC2582"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ORCHARDBROOK (ex HC)</w:t>
            </w:r>
          </w:p>
        </w:tc>
        <w:tc>
          <w:tcPr>
            <w:tcW w:w="1710" w:type="dxa"/>
          </w:tcPr>
          <w:p w14:paraId="5BF7C65D"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£70,037</w:t>
            </w:r>
          </w:p>
        </w:tc>
        <w:tc>
          <w:tcPr>
            <w:tcW w:w="2070" w:type="dxa"/>
            <w:tcBorders>
              <w:top w:val="single" w:sz="4" w:space="0" w:color="auto"/>
              <w:left w:val="nil"/>
              <w:bottom w:val="single" w:sz="4" w:space="0" w:color="auto"/>
              <w:right w:val="single" w:sz="4" w:space="0" w:color="auto"/>
            </w:tcBorders>
            <w:shd w:val="clear" w:color="auto" w:fill="auto"/>
            <w:vAlign w:val="bottom"/>
          </w:tcPr>
          <w:p w14:paraId="4B81CB54" w14:textId="77777777" w:rsidR="00C31832" w:rsidRPr="007F5AA8" w:rsidRDefault="00C31832" w:rsidP="00D242B4">
            <w:pPr>
              <w:rPr>
                <w:rFonts w:ascii="Calibri" w:eastAsia="Times New Roman" w:hAnsi="Calibri" w:cs="Times New Roman"/>
                <w:sz w:val="24"/>
                <w:szCs w:val="24"/>
                <w:lang w:eastAsia="en-GB"/>
              </w:rPr>
            </w:pPr>
            <w:r w:rsidRPr="007F5AA8">
              <w:rPr>
                <w:rFonts w:ascii="Calibri" w:eastAsia="Times New Roman" w:hAnsi="Calibri" w:cs="Times New Roman"/>
                <w:sz w:val="24"/>
                <w:szCs w:val="24"/>
                <w:lang w:eastAsia="en-GB"/>
              </w:rPr>
              <w:t>30-09-16</w:t>
            </w:r>
          </w:p>
        </w:tc>
      </w:tr>
    </w:tbl>
    <w:p w14:paraId="4DF5A2BE" w14:textId="77777777" w:rsidR="00C31832" w:rsidRPr="007F5AA8" w:rsidRDefault="00C31832" w:rsidP="00D242B4">
      <w:pPr>
        <w:rPr>
          <w:rFonts w:ascii="MS Serif" w:eastAsia="Times New Roman" w:hAnsi="MS Serif" w:cs="Times New Roman"/>
          <w:sz w:val="24"/>
          <w:szCs w:val="24"/>
          <w:lang w:eastAsia="en-GB"/>
        </w:rPr>
      </w:pPr>
    </w:p>
    <w:p w14:paraId="6371370D" w14:textId="77777777" w:rsidR="00C31832"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 xml:space="preserve">The scheduled capital repayments are all provided for in the budget and forecast cash flow. </w:t>
      </w:r>
    </w:p>
    <w:p w14:paraId="3FB82739"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571B3086" w14:textId="77777777" w:rsidR="00C31832" w:rsidRPr="007F5AA8" w:rsidRDefault="00C31832" w:rsidP="007F5AA8">
      <w:pPr>
        <w:pStyle w:val="Normalnumbered"/>
        <w:numPr>
          <w:ilvl w:val="0"/>
          <w:numId w:val="0"/>
        </w:numPr>
        <w:spacing w:after="0" w:line="240" w:lineRule="auto"/>
        <w:ind w:left="738"/>
        <w:rPr>
          <w:rFonts w:eastAsiaTheme="majorEastAsia"/>
          <w:sz w:val="24"/>
          <w:szCs w:val="24"/>
          <w:lang w:eastAsia="en-GB"/>
        </w:rPr>
      </w:pPr>
      <w:r w:rsidRPr="007F5AA8">
        <w:rPr>
          <w:rFonts w:eastAsiaTheme="majorEastAsia"/>
          <w:b/>
          <w:sz w:val="24"/>
          <w:szCs w:val="24"/>
          <w:lang w:eastAsia="en-GB"/>
        </w:rPr>
        <w:t>Maturity ladder of existing borrowings and interest rate fixings</w:t>
      </w:r>
      <w:r w:rsidRPr="007F5AA8">
        <w:rPr>
          <w:rFonts w:eastAsiaTheme="majorEastAsia"/>
          <w:sz w:val="24"/>
          <w:szCs w:val="24"/>
          <w:lang w:eastAsia="en-GB"/>
        </w:rPr>
        <w:t>.</w:t>
      </w:r>
    </w:p>
    <w:p w14:paraId="49215F7E" w14:textId="78E491C6" w:rsidR="00877ED1"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The chart below shows the maturity ladder for embedded fixed rates and stand- alone derivatives.</w:t>
      </w:r>
    </w:p>
    <w:p w14:paraId="1B9E54E1" w14:textId="77777777" w:rsidR="00C31832" w:rsidRPr="00877ED1" w:rsidRDefault="00C31832" w:rsidP="00877ED1">
      <w:pPr>
        <w:pStyle w:val="Normalnumbered"/>
        <w:numPr>
          <w:ilvl w:val="0"/>
          <w:numId w:val="0"/>
        </w:numPr>
        <w:spacing w:after="0" w:line="240" w:lineRule="auto"/>
        <w:ind w:left="738"/>
        <w:rPr>
          <w:rFonts w:eastAsiaTheme="majorEastAsia"/>
          <w:lang w:eastAsia="en-GB"/>
        </w:rPr>
      </w:pPr>
      <w:r w:rsidRPr="00877ED1">
        <w:rPr>
          <w:rFonts w:eastAsiaTheme="majorEastAsia"/>
          <w:noProof/>
          <w:lang w:val="en-GB" w:eastAsia="en-GB" w:bidi="ar-SA"/>
        </w:rPr>
        <w:drawing>
          <wp:inline distT="0" distB="0" distL="0" distR="0" wp14:anchorId="1FDDA04D" wp14:editId="4EC0AF1B">
            <wp:extent cx="5358765" cy="3150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8395" cy="3155849"/>
                    </a:xfrm>
                    <a:prstGeom prst="rect">
                      <a:avLst/>
                    </a:prstGeom>
                    <a:noFill/>
                    <a:ln>
                      <a:noFill/>
                    </a:ln>
                  </pic:spPr>
                </pic:pic>
              </a:graphicData>
            </a:graphic>
          </wp:inline>
        </w:drawing>
      </w:r>
    </w:p>
    <w:p w14:paraId="242B0ED6" w14:textId="77777777" w:rsidR="00C31832" w:rsidRPr="007F5AA8" w:rsidRDefault="00C31832" w:rsidP="00877ED1">
      <w:pPr>
        <w:pStyle w:val="Normalnumbered"/>
        <w:numPr>
          <w:ilvl w:val="0"/>
          <w:numId w:val="0"/>
        </w:numPr>
        <w:spacing w:after="0" w:line="240" w:lineRule="auto"/>
        <w:ind w:left="738"/>
        <w:rPr>
          <w:rFonts w:eastAsiaTheme="majorEastAsia"/>
          <w:sz w:val="24"/>
          <w:szCs w:val="24"/>
          <w:lang w:eastAsia="en-GB"/>
        </w:rPr>
      </w:pPr>
    </w:p>
    <w:p w14:paraId="434187EB" w14:textId="4280D96B" w:rsidR="00C31832" w:rsidRPr="007F5AA8" w:rsidRDefault="00C31832"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 xml:space="preserve">As can be seen between 2018 and 2021 Hexagon has maturities of approximately £25 million. These are expiring </w:t>
      </w:r>
      <w:r w:rsidR="00877ED1" w:rsidRPr="007F5AA8">
        <w:rPr>
          <w:rFonts w:eastAsiaTheme="majorEastAsia"/>
          <w:sz w:val="24"/>
          <w:szCs w:val="24"/>
          <w:lang w:eastAsia="en-GB"/>
        </w:rPr>
        <w:t>stand-alone</w:t>
      </w:r>
      <w:r w:rsidRPr="007F5AA8">
        <w:rPr>
          <w:rFonts w:eastAsiaTheme="majorEastAsia"/>
          <w:sz w:val="24"/>
          <w:szCs w:val="24"/>
          <w:lang w:eastAsia="en-GB"/>
        </w:rPr>
        <w:t xml:space="preserve"> interest rate hedges and not capital repayments.  As Hexagon has recently drawn down the £17 million long term fixed rate AHF loan a substantial proportion of these maturing hedges has already been replaced.  </w:t>
      </w:r>
    </w:p>
    <w:p w14:paraId="7EF2267C" w14:textId="04205EDE" w:rsidR="007B1443" w:rsidRPr="00877ED1" w:rsidRDefault="007B1443" w:rsidP="00D03508">
      <w:pPr>
        <w:pStyle w:val="Normalnumbered"/>
        <w:numPr>
          <w:ilvl w:val="0"/>
          <w:numId w:val="0"/>
        </w:numPr>
        <w:spacing w:after="0" w:line="240" w:lineRule="auto"/>
        <w:ind w:left="738"/>
        <w:rPr>
          <w:rFonts w:eastAsiaTheme="majorEastAsia"/>
          <w:lang w:eastAsia="en-GB"/>
        </w:rPr>
      </w:pPr>
    </w:p>
    <w:p w14:paraId="20584AFE" w14:textId="77777777" w:rsidR="00DB7E04" w:rsidRPr="00053CE9" w:rsidRDefault="00DB7E04" w:rsidP="003F32C7">
      <w:pPr>
        <w:pStyle w:val="Normalnumbered"/>
        <w:numPr>
          <w:ilvl w:val="0"/>
          <w:numId w:val="0"/>
        </w:numPr>
        <w:spacing w:after="0" w:line="240" w:lineRule="auto"/>
        <w:ind w:left="738"/>
        <w:rPr>
          <w:rFonts w:ascii="Calibri" w:eastAsiaTheme="majorEastAsia" w:hAnsi="Calibri"/>
          <w:b/>
          <w:bCs/>
          <w:iCs/>
          <w:color w:val="000000"/>
          <w:sz w:val="24"/>
          <w:szCs w:val="24"/>
          <w:lang w:eastAsia="en-GB"/>
        </w:rPr>
      </w:pPr>
      <w:r w:rsidRPr="00053CE9">
        <w:rPr>
          <w:rFonts w:ascii="Calibri" w:eastAsiaTheme="majorEastAsia" w:hAnsi="Calibri"/>
          <w:b/>
          <w:bCs/>
          <w:iCs/>
          <w:color w:val="000000"/>
          <w:sz w:val="24"/>
          <w:szCs w:val="24"/>
          <w:lang w:eastAsia="en-GB"/>
        </w:rPr>
        <w:t>Security strategy</w:t>
      </w:r>
    </w:p>
    <w:p w14:paraId="7641AEE3" w14:textId="77777777" w:rsidR="00DB7E04" w:rsidRDefault="00DB7E04" w:rsidP="003F32C7">
      <w:pPr>
        <w:pStyle w:val="Normalnumbered"/>
        <w:spacing w:after="0" w:line="240" w:lineRule="auto"/>
        <w:ind w:left="738" w:hanging="738"/>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 xml:space="preserve">Hexagon currently has </w:t>
      </w:r>
      <w:r w:rsidRPr="00A069C9">
        <w:rPr>
          <w:rFonts w:ascii="Calibri" w:eastAsiaTheme="majorEastAsia" w:hAnsi="Calibri"/>
          <w:bCs/>
          <w:iCs/>
          <w:color w:val="000000"/>
          <w:sz w:val="24"/>
          <w:szCs w:val="24"/>
          <w:highlight w:val="yellow"/>
          <w:lang w:eastAsia="en-GB"/>
        </w:rPr>
        <w:t>x</w:t>
      </w:r>
      <w:r>
        <w:rPr>
          <w:rFonts w:ascii="Calibri" w:eastAsiaTheme="majorEastAsia" w:hAnsi="Calibri"/>
          <w:bCs/>
          <w:iCs/>
          <w:color w:val="000000"/>
          <w:sz w:val="24"/>
          <w:szCs w:val="24"/>
          <w:lang w:eastAsia="en-GB"/>
        </w:rPr>
        <w:t xml:space="preserve"> units which are uncharged and are suitable for charging.  Given the current situation with MTM values of swaps, the priorities for security charging are:</w:t>
      </w:r>
    </w:p>
    <w:p w14:paraId="50DF38A5" w14:textId="77777777" w:rsidR="00DB7E04" w:rsidRDefault="00DB7E04" w:rsidP="00DB7E04">
      <w:pPr>
        <w:pStyle w:val="Normalnumbered"/>
        <w:numPr>
          <w:ilvl w:val="0"/>
          <w:numId w:val="36"/>
        </w:numPr>
        <w:spacing w:after="0" w:line="240" w:lineRule="auto"/>
        <w:ind w:left="1260" w:hanging="450"/>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 xml:space="preserve">Charge to Barclays and Lloyds derivative agreements, so as to release cash from deposit </w:t>
      </w:r>
    </w:p>
    <w:p w14:paraId="1E8CE749" w14:textId="77777777" w:rsidR="00DB7E04" w:rsidRDefault="00DB7E04" w:rsidP="00DB7E04">
      <w:pPr>
        <w:pStyle w:val="Normalnumbered"/>
        <w:numPr>
          <w:ilvl w:val="0"/>
          <w:numId w:val="36"/>
        </w:numPr>
        <w:spacing w:after="0" w:line="240" w:lineRule="auto"/>
        <w:ind w:left="1260" w:hanging="450"/>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Top up the security charged to the AHF 2015 bond loan, so that this can withstand reductions in valuation as rents reduce</w:t>
      </w:r>
    </w:p>
    <w:p w14:paraId="2F34018D" w14:textId="77777777" w:rsidR="00DB7E04" w:rsidRDefault="00DB7E04" w:rsidP="003F32C7">
      <w:pPr>
        <w:pStyle w:val="Normalnumbered"/>
        <w:numPr>
          <w:ilvl w:val="0"/>
          <w:numId w:val="36"/>
        </w:numPr>
        <w:spacing w:after="0" w:line="240" w:lineRule="auto"/>
        <w:ind w:left="1260" w:hanging="450"/>
        <w:rPr>
          <w:rFonts w:ascii="Calibri" w:eastAsiaTheme="majorEastAsia" w:hAnsi="Calibri"/>
          <w:bCs/>
          <w:iCs/>
          <w:color w:val="000000"/>
          <w:sz w:val="24"/>
          <w:szCs w:val="24"/>
          <w:lang w:eastAsia="en-GB"/>
        </w:rPr>
      </w:pPr>
      <w:r>
        <w:rPr>
          <w:rFonts w:ascii="Calibri" w:eastAsiaTheme="majorEastAsia" w:hAnsi="Calibri"/>
          <w:bCs/>
          <w:iCs/>
          <w:color w:val="000000"/>
          <w:sz w:val="24"/>
          <w:szCs w:val="24"/>
          <w:lang w:eastAsia="en-GB"/>
        </w:rPr>
        <w:t>Identify properties to charge to the new revolving loan. It may be better to use street properties, rather than new schemes for this, as they are quicker to charge.</w:t>
      </w:r>
    </w:p>
    <w:p w14:paraId="07DF47C3" w14:textId="56438377" w:rsidR="005D18E9" w:rsidRPr="003F32C7" w:rsidRDefault="00DB7E04" w:rsidP="003F32C7">
      <w:pPr>
        <w:pStyle w:val="Normalnumbered"/>
        <w:numPr>
          <w:ilvl w:val="0"/>
          <w:numId w:val="36"/>
        </w:numPr>
        <w:spacing w:after="0" w:line="240" w:lineRule="auto"/>
        <w:ind w:left="1260" w:hanging="450"/>
        <w:rPr>
          <w:rFonts w:eastAsiaTheme="majorEastAsia"/>
          <w:lang w:eastAsia="en-GB"/>
        </w:rPr>
      </w:pPr>
      <w:r w:rsidRPr="00EE3B7A">
        <w:rPr>
          <w:rFonts w:ascii="Calibri" w:eastAsiaTheme="majorEastAsia" w:hAnsi="Calibri"/>
          <w:bCs/>
          <w:iCs/>
          <w:color w:val="000000"/>
          <w:sz w:val="24"/>
          <w:szCs w:val="24"/>
          <w:lang w:eastAsia="en-GB"/>
        </w:rPr>
        <w:t>Release properties from charge to THFC  when the £1.5m loan is repaid later this year</w:t>
      </w:r>
    </w:p>
    <w:p w14:paraId="32780F4D" w14:textId="77777777" w:rsidR="00DB7E04" w:rsidRDefault="00DB7E04" w:rsidP="003F32C7">
      <w:pPr>
        <w:pStyle w:val="Normalnumbered"/>
        <w:numPr>
          <w:ilvl w:val="0"/>
          <w:numId w:val="0"/>
        </w:numPr>
        <w:spacing w:after="0" w:line="240" w:lineRule="auto"/>
        <w:ind w:left="1260"/>
        <w:rPr>
          <w:rFonts w:ascii="Calibri" w:eastAsiaTheme="majorEastAsia" w:hAnsi="Calibri"/>
          <w:bCs/>
          <w:iCs/>
          <w:color w:val="000000"/>
          <w:sz w:val="24"/>
          <w:szCs w:val="24"/>
          <w:lang w:eastAsia="en-GB"/>
        </w:rPr>
      </w:pPr>
    </w:p>
    <w:p w14:paraId="1B0B5CEC" w14:textId="1DF89869" w:rsidR="00892E8E" w:rsidRDefault="00892E8E">
      <w:pPr>
        <w:rPr>
          <w:rFonts w:eastAsiaTheme="majorEastAsia"/>
          <w:lang w:val="en-US" w:eastAsia="en-GB" w:bidi="en-US"/>
        </w:rPr>
      </w:pPr>
      <w:r>
        <w:rPr>
          <w:rFonts w:eastAsiaTheme="majorEastAsia"/>
          <w:lang w:eastAsia="en-GB"/>
        </w:rPr>
        <w:br w:type="page"/>
      </w:r>
    </w:p>
    <w:p w14:paraId="64FBC358" w14:textId="77777777" w:rsidR="00892E8E" w:rsidRPr="00EE3B7A" w:rsidRDefault="00892E8E" w:rsidP="003F32C7">
      <w:pPr>
        <w:pStyle w:val="Normalnumbered"/>
        <w:numPr>
          <w:ilvl w:val="0"/>
          <w:numId w:val="0"/>
        </w:numPr>
        <w:spacing w:after="0" w:line="240" w:lineRule="auto"/>
        <w:ind w:left="1260"/>
        <w:rPr>
          <w:rFonts w:eastAsiaTheme="majorEastAsia"/>
          <w:lang w:eastAsia="en-GB"/>
        </w:rPr>
      </w:pPr>
    </w:p>
    <w:p w14:paraId="0523C152" w14:textId="77777777" w:rsidR="00C31832" w:rsidRDefault="00C31832" w:rsidP="00D03508">
      <w:pPr>
        <w:pStyle w:val="Heading1numbered"/>
        <w:numPr>
          <w:ilvl w:val="0"/>
          <w:numId w:val="4"/>
        </w:numPr>
        <w:ind w:left="720" w:hanging="720"/>
        <w:outlineLvl w:val="0"/>
        <w:rPr>
          <w:rFonts w:eastAsiaTheme="majorEastAsia"/>
          <w:lang w:eastAsia="en-GB"/>
        </w:rPr>
      </w:pPr>
      <w:bookmarkStart w:id="5" w:name="_Toc456265892"/>
      <w:r w:rsidRPr="005D18E9">
        <w:rPr>
          <w:rFonts w:eastAsiaTheme="majorEastAsia"/>
          <w:lang w:eastAsia="en-GB"/>
        </w:rPr>
        <w:t>Borrowing strategy</w:t>
      </w:r>
      <w:bookmarkEnd w:id="5"/>
      <w:r w:rsidRPr="005D18E9">
        <w:rPr>
          <w:rFonts w:eastAsiaTheme="majorEastAsia"/>
          <w:lang w:eastAsia="en-GB"/>
        </w:rPr>
        <w:t xml:space="preserve"> </w:t>
      </w:r>
    </w:p>
    <w:p w14:paraId="4C0105AC" w14:textId="35636652" w:rsidR="007B1443" w:rsidRPr="007F5AA8" w:rsidRDefault="007B1443"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There is a good supply of finance for Registered Providers</w:t>
      </w:r>
      <w:r w:rsidR="00877ED1" w:rsidRPr="007F5AA8">
        <w:rPr>
          <w:rFonts w:eastAsiaTheme="majorEastAsia"/>
          <w:sz w:val="24"/>
          <w:szCs w:val="24"/>
          <w:lang w:eastAsia="en-GB"/>
        </w:rPr>
        <w:t xml:space="preserve">. </w:t>
      </w:r>
      <w:r w:rsidRPr="007F5AA8">
        <w:rPr>
          <w:rFonts w:eastAsiaTheme="majorEastAsia"/>
          <w:sz w:val="24"/>
          <w:szCs w:val="24"/>
          <w:lang w:eastAsia="en-GB"/>
        </w:rPr>
        <w:t>Loan finance is available from the following sources;</w:t>
      </w:r>
    </w:p>
    <w:p w14:paraId="6381D862"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5E4378F7" w14:textId="77777777" w:rsidR="007B1443" w:rsidRPr="007F5AA8" w:rsidRDefault="007B1443" w:rsidP="00877ED1">
      <w:pPr>
        <w:pStyle w:val="Normalnumbered"/>
        <w:numPr>
          <w:ilvl w:val="1"/>
          <w:numId w:val="19"/>
        </w:numPr>
        <w:spacing w:after="0" w:line="240" w:lineRule="auto"/>
        <w:ind w:left="1710" w:hanging="990"/>
        <w:rPr>
          <w:rFonts w:eastAsiaTheme="majorEastAsia"/>
          <w:sz w:val="24"/>
          <w:szCs w:val="24"/>
          <w:lang w:eastAsia="en-GB"/>
        </w:rPr>
      </w:pPr>
      <w:r w:rsidRPr="007F5AA8">
        <w:rPr>
          <w:rFonts w:eastAsiaTheme="majorEastAsia"/>
          <w:sz w:val="24"/>
          <w:szCs w:val="24"/>
          <w:lang w:eastAsia="en-GB"/>
        </w:rPr>
        <w:t xml:space="preserve">Banks and Building Societies </w:t>
      </w:r>
    </w:p>
    <w:p w14:paraId="3853A4D2" w14:textId="77777777" w:rsidR="00877ED1" w:rsidRPr="007F5AA8" w:rsidRDefault="007B1443" w:rsidP="00877ED1">
      <w:pPr>
        <w:pStyle w:val="Normalnumbered"/>
        <w:numPr>
          <w:ilvl w:val="1"/>
          <w:numId w:val="19"/>
        </w:numPr>
        <w:spacing w:after="0" w:line="240" w:lineRule="auto"/>
        <w:ind w:left="1710" w:hanging="990"/>
        <w:rPr>
          <w:rFonts w:eastAsiaTheme="majorEastAsia"/>
          <w:sz w:val="24"/>
          <w:szCs w:val="24"/>
          <w:lang w:eastAsia="en-GB"/>
        </w:rPr>
      </w:pPr>
      <w:r w:rsidRPr="007F5AA8">
        <w:rPr>
          <w:rFonts w:eastAsiaTheme="majorEastAsia"/>
          <w:sz w:val="24"/>
          <w:szCs w:val="24"/>
          <w:lang w:eastAsia="en-GB"/>
        </w:rPr>
        <w:t>The Capital mar</w:t>
      </w:r>
      <w:r w:rsidR="00877ED1" w:rsidRPr="007F5AA8">
        <w:rPr>
          <w:rFonts w:eastAsiaTheme="majorEastAsia"/>
          <w:sz w:val="24"/>
          <w:szCs w:val="24"/>
          <w:lang w:eastAsia="en-GB"/>
        </w:rPr>
        <w:t>ket for public issues</w:t>
      </w:r>
    </w:p>
    <w:p w14:paraId="3F6DFEE4" w14:textId="7BE6E23A" w:rsidR="007B1443" w:rsidRPr="007F5AA8" w:rsidRDefault="007B1443" w:rsidP="00877ED1">
      <w:pPr>
        <w:pStyle w:val="Normalnumbered"/>
        <w:numPr>
          <w:ilvl w:val="1"/>
          <w:numId w:val="19"/>
        </w:numPr>
        <w:spacing w:after="0" w:line="240" w:lineRule="auto"/>
        <w:ind w:left="1710" w:hanging="990"/>
        <w:rPr>
          <w:rFonts w:eastAsiaTheme="majorEastAsia"/>
          <w:sz w:val="24"/>
          <w:szCs w:val="24"/>
          <w:lang w:eastAsia="en-GB"/>
        </w:rPr>
      </w:pPr>
      <w:r w:rsidRPr="007F5AA8">
        <w:rPr>
          <w:rFonts w:eastAsiaTheme="majorEastAsia"/>
          <w:sz w:val="24"/>
          <w:szCs w:val="24"/>
          <w:lang w:eastAsia="en-GB"/>
        </w:rPr>
        <w:t xml:space="preserve">The Capital market for private placements or bilateral loans </w:t>
      </w:r>
    </w:p>
    <w:p w14:paraId="6A73EFB3" w14:textId="77777777" w:rsidR="00877ED1" w:rsidRPr="007F5AA8" w:rsidRDefault="00877ED1" w:rsidP="00877ED1">
      <w:pPr>
        <w:pStyle w:val="Normalnumbered"/>
        <w:numPr>
          <w:ilvl w:val="0"/>
          <w:numId w:val="0"/>
        </w:numPr>
        <w:spacing w:after="0" w:line="240" w:lineRule="auto"/>
        <w:ind w:left="738"/>
        <w:rPr>
          <w:rFonts w:eastAsiaTheme="majorEastAsia"/>
          <w:sz w:val="24"/>
          <w:szCs w:val="24"/>
          <w:lang w:eastAsia="en-GB"/>
        </w:rPr>
      </w:pPr>
    </w:p>
    <w:p w14:paraId="440EB76B" w14:textId="395FF4AB" w:rsidR="00355744" w:rsidRPr="007F5AA8" w:rsidRDefault="007B1443"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 xml:space="preserve">The </w:t>
      </w:r>
      <w:r w:rsidR="00355744" w:rsidRPr="007F5AA8">
        <w:rPr>
          <w:rFonts w:eastAsiaTheme="majorEastAsia"/>
          <w:sz w:val="24"/>
          <w:szCs w:val="24"/>
          <w:lang w:eastAsia="en-GB"/>
        </w:rPr>
        <w:t xml:space="preserve">latest </w:t>
      </w:r>
      <w:r w:rsidRPr="007F5AA8">
        <w:rPr>
          <w:rFonts w:eastAsiaTheme="majorEastAsia"/>
          <w:sz w:val="24"/>
          <w:szCs w:val="24"/>
          <w:lang w:eastAsia="en-GB"/>
        </w:rPr>
        <w:t xml:space="preserve">cash flow forecast </w:t>
      </w:r>
      <w:r w:rsidR="00355744" w:rsidRPr="007F5AA8">
        <w:rPr>
          <w:rFonts w:eastAsiaTheme="majorEastAsia"/>
          <w:sz w:val="24"/>
          <w:szCs w:val="24"/>
          <w:lang w:eastAsia="en-GB"/>
        </w:rPr>
        <w:t xml:space="preserve">from the business plan </w:t>
      </w:r>
      <w:r w:rsidRPr="007F5AA8">
        <w:rPr>
          <w:rFonts w:eastAsiaTheme="majorEastAsia"/>
          <w:sz w:val="24"/>
          <w:szCs w:val="24"/>
          <w:lang w:eastAsia="en-GB"/>
        </w:rPr>
        <w:t>shows that</w:t>
      </w:r>
      <w:r w:rsidR="00D9276A">
        <w:rPr>
          <w:rFonts w:eastAsiaTheme="majorEastAsia"/>
          <w:sz w:val="24"/>
          <w:szCs w:val="24"/>
          <w:lang w:eastAsia="en-GB"/>
        </w:rPr>
        <w:t xml:space="preserve"> new loan finance will need to be in place to draw from </w:t>
      </w:r>
      <w:r w:rsidR="00C40D0F">
        <w:rPr>
          <w:rFonts w:eastAsiaTheme="majorEastAsia"/>
          <w:sz w:val="24"/>
          <w:szCs w:val="24"/>
          <w:lang w:eastAsia="en-GB"/>
        </w:rPr>
        <w:t>June 2018</w:t>
      </w:r>
      <w:r w:rsidR="00A04906">
        <w:rPr>
          <w:rFonts w:eastAsiaTheme="majorEastAsia"/>
          <w:sz w:val="24"/>
          <w:szCs w:val="24"/>
          <w:lang w:eastAsia="en-GB"/>
        </w:rPr>
        <w:t xml:space="preserve"> </w:t>
      </w:r>
      <w:r w:rsidR="00355744" w:rsidRPr="007F5AA8">
        <w:rPr>
          <w:rFonts w:eastAsiaTheme="majorEastAsia"/>
          <w:sz w:val="24"/>
          <w:szCs w:val="24"/>
          <w:lang w:eastAsia="en-GB"/>
        </w:rPr>
        <w:t xml:space="preserve">with a peak requirement of </w:t>
      </w:r>
      <w:r w:rsidR="00A04906">
        <w:rPr>
          <w:rFonts w:eastAsiaTheme="majorEastAsia"/>
          <w:sz w:val="24"/>
          <w:szCs w:val="24"/>
          <w:lang w:eastAsia="en-GB"/>
        </w:rPr>
        <w:t xml:space="preserve">just over £40 </w:t>
      </w:r>
      <w:r w:rsidRPr="007F5AA8">
        <w:rPr>
          <w:rFonts w:eastAsiaTheme="majorEastAsia"/>
          <w:sz w:val="24"/>
          <w:szCs w:val="24"/>
          <w:lang w:eastAsia="en-GB"/>
        </w:rPr>
        <w:t xml:space="preserve">million in 2021. </w:t>
      </w:r>
      <w:r w:rsidR="00A04906">
        <w:rPr>
          <w:rFonts w:eastAsiaTheme="majorEastAsia"/>
          <w:sz w:val="24"/>
          <w:szCs w:val="24"/>
          <w:lang w:eastAsia="en-GB"/>
        </w:rPr>
        <w:t>In the absence of a new development program the new funding requirement is shown to be repaid in full by 2025.</w:t>
      </w:r>
    </w:p>
    <w:p w14:paraId="110C4120" w14:textId="77777777" w:rsidR="00355744" w:rsidRPr="007F5AA8" w:rsidRDefault="00355744" w:rsidP="00355744">
      <w:pPr>
        <w:pStyle w:val="Normalnumbered"/>
        <w:numPr>
          <w:ilvl w:val="0"/>
          <w:numId w:val="0"/>
        </w:numPr>
        <w:spacing w:after="0" w:line="240" w:lineRule="auto"/>
        <w:ind w:left="738"/>
        <w:rPr>
          <w:rFonts w:eastAsiaTheme="majorEastAsia"/>
          <w:sz w:val="24"/>
          <w:szCs w:val="24"/>
          <w:lang w:eastAsia="en-GB"/>
        </w:rPr>
      </w:pPr>
    </w:p>
    <w:p w14:paraId="286ADF1A" w14:textId="6DBAB044" w:rsidR="00D9276A" w:rsidRDefault="007B1443" w:rsidP="00877ED1">
      <w:pPr>
        <w:pStyle w:val="Normalnumbered"/>
        <w:spacing w:after="0" w:line="240" w:lineRule="auto"/>
        <w:ind w:left="738" w:hanging="648"/>
        <w:rPr>
          <w:rFonts w:eastAsiaTheme="majorEastAsia"/>
          <w:sz w:val="24"/>
          <w:szCs w:val="24"/>
          <w:lang w:eastAsia="en-GB"/>
        </w:rPr>
      </w:pPr>
      <w:r w:rsidRPr="007F5AA8">
        <w:rPr>
          <w:rFonts w:eastAsiaTheme="majorEastAsia"/>
          <w:sz w:val="24"/>
          <w:szCs w:val="24"/>
          <w:lang w:eastAsia="en-GB"/>
        </w:rPr>
        <w:t>This funding requirement could be</w:t>
      </w:r>
      <w:r w:rsidR="00355744" w:rsidRPr="007F5AA8">
        <w:rPr>
          <w:rFonts w:eastAsiaTheme="majorEastAsia"/>
          <w:sz w:val="24"/>
          <w:szCs w:val="24"/>
          <w:lang w:eastAsia="en-GB"/>
        </w:rPr>
        <w:t xml:space="preserve"> covered with a </w:t>
      </w:r>
      <w:r w:rsidR="00D9276A">
        <w:rPr>
          <w:rFonts w:eastAsiaTheme="majorEastAsia"/>
          <w:sz w:val="24"/>
          <w:szCs w:val="24"/>
          <w:lang w:eastAsia="en-GB"/>
        </w:rPr>
        <w:t xml:space="preserve">ten year bilateral loan with a bank or building society. The advantage of this strategy is that the business plan would be fully funded out </w:t>
      </w:r>
      <w:r w:rsidR="00C40D0F">
        <w:rPr>
          <w:rFonts w:eastAsiaTheme="majorEastAsia"/>
          <w:sz w:val="24"/>
          <w:szCs w:val="24"/>
          <w:lang w:eastAsia="en-GB"/>
        </w:rPr>
        <w:t xml:space="preserve">to </w:t>
      </w:r>
      <w:r w:rsidR="00D9276A">
        <w:rPr>
          <w:rFonts w:eastAsiaTheme="majorEastAsia"/>
          <w:sz w:val="24"/>
          <w:szCs w:val="24"/>
          <w:lang w:eastAsia="en-GB"/>
        </w:rPr>
        <w:t xml:space="preserve">2025. If surplus cash is available bank debt can usually be repaid without penalty. If new opportunities arise the facility limit can be used to the full. </w:t>
      </w:r>
    </w:p>
    <w:p w14:paraId="4A794301" w14:textId="77777777" w:rsidR="00D9276A" w:rsidRDefault="00D9276A" w:rsidP="003F32C7">
      <w:pPr>
        <w:pStyle w:val="Normalnumbered"/>
        <w:numPr>
          <w:ilvl w:val="0"/>
          <w:numId w:val="0"/>
        </w:numPr>
        <w:spacing w:after="0" w:line="240" w:lineRule="auto"/>
        <w:ind w:left="738"/>
        <w:rPr>
          <w:rFonts w:eastAsiaTheme="majorEastAsia"/>
          <w:sz w:val="24"/>
          <w:szCs w:val="24"/>
          <w:lang w:eastAsia="en-GB"/>
        </w:rPr>
      </w:pPr>
    </w:p>
    <w:p w14:paraId="11F66631" w14:textId="77777777" w:rsidR="00D9276A" w:rsidRDefault="00D9276A"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Lending margins on ten year facilities are in the region of 1.75% to 2% with non-utilisation fees set at 50% of the margin. There are fewer banks in the market willing to lend out to ten years meaning less completion for Hexagons mandate. With funds not required until 2019 Hexagon will incur significant costs on a £40 million committed loan facility. </w:t>
      </w:r>
    </w:p>
    <w:p w14:paraId="07D41555" w14:textId="77777777" w:rsidR="00D9276A" w:rsidRDefault="00D9276A" w:rsidP="003F32C7">
      <w:pPr>
        <w:pStyle w:val="ListParagraph"/>
        <w:rPr>
          <w:rFonts w:eastAsiaTheme="majorEastAsia"/>
          <w:sz w:val="24"/>
          <w:szCs w:val="24"/>
          <w:lang w:eastAsia="en-GB"/>
        </w:rPr>
      </w:pPr>
    </w:p>
    <w:p w14:paraId="08D68B99" w14:textId="77777777" w:rsidR="00D9276A" w:rsidRDefault="00D9276A"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Alternatively Hexagon could seek to arrange a smaller, say £30 million revolving loan facility. The strategy here would be to refinance some or all of this short term debt with long term debt from a capital markets investor. This assumes that Hexagon will have an ongoing development program that would lead to higher on going borrowing requirements than are shown in the business plan.</w:t>
      </w:r>
    </w:p>
    <w:p w14:paraId="4B716BB0" w14:textId="77777777" w:rsidR="00D9276A" w:rsidRDefault="00D9276A" w:rsidP="003F32C7">
      <w:pPr>
        <w:pStyle w:val="ListParagraph"/>
        <w:rPr>
          <w:rFonts w:eastAsiaTheme="majorEastAsia"/>
          <w:sz w:val="24"/>
          <w:szCs w:val="24"/>
          <w:lang w:eastAsia="en-GB"/>
        </w:rPr>
      </w:pPr>
    </w:p>
    <w:p w14:paraId="2EB3EEB6" w14:textId="25B6E54F" w:rsidR="00570B4B" w:rsidRPr="00EE3B7A" w:rsidRDefault="00570B4B" w:rsidP="003F32C7">
      <w:pPr>
        <w:pStyle w:val="Normalnumbered"/>
        <w:ind w:left="720" w:hanging="630"/>
        <w:rPr>
          <w:rFonts w:eastAsiaTheme="majorEastAsia"/>
          <w:sz w:val="24"/>
          <w:szCs w:val="24"/>
          <w:lang w:eastAsia="en-GB"/>
        </w:rPr>
      </w:pPr>
      <w:r w:rsidRPr="003F32C7">
        <w:rPr>
          <w:rFonts w:eastAsiaTheme="majorEastAsia"/>
          <w:sz w:val="24"/>
          <w:szCs w:val="24"/>
          <w:lang w:eastAsia="en-GB"/>
        </w:rPr>
        <w:t xml:space="preserve">The lowest cost bank finance is for a three year revolving facility. A three year </w:t>
      </w:r>
      <w:r w:rsidRPr="00EE3B7A">
        <w:rPr>
          <w:rFonts w:eastAsiaTheme="majorEastAsia"/>
          <w:sz w:val="24"/>
          <w:szCs w:val="24"/>
          <w:lang w:eastAsia="en-GB"/>
        </w:rPr>
        <w:t xml:space="preserve">revolver </w:t>
      </w:r>
      <w:r w:rsidRPr="003F32C7">
        <w:rPr>
          <w:rFonts w:eastAsiaTheme="majorEastAsia"/>
          <w:sz w:val="24"/>
          <w:szCs w:val="24"/>
          <w:lang w:eastAsia="en-GB"/>
        </w:rPr>
        <w:t xml:space="preserve">would seem too short given that facility is only expected to be drawn in 2019 and the policy requirement for committed capital to be in place to cover 18 months development expenditure. </w:t>
      </w:r>
    </w:p>
    <w:p w14:paraId="5CD1B809" w14:textId="77777777" w:rsidR="00355744" w:rsidRPr="007F5AA8" w:rsidRDefault="00355744" w:rsidP="00355744">
      <w:pPr>
        <w:pStyle w:val="Normalnumbered"/>
        <w:numPr>
          <w:ilvl w:val="0"/>
          <w:numId w:val="0"/>
        </w:numPr>
        <w:spacing w:after="0" w:line="240" w:lineRule="auto"/>
        <w:ind w:left="738"/>
        <w:rPr>
          <w:rFonts w:eastAsiaTheme="majorEastAsia"/>
          <w:sz w:val="24"/>
          <w:szCs w:val="24"/>
          <w:lang w:eastAsia="en-GB"/>
        </w:rPr>
      </w:pPr>
    </w:p>
    <w:p w14:paraId="0DF89731" w14:textId="7C582358" w:rsidR="00C31832" w:rsidRPr="00D52641" w:rsidRDefault="00C31832" w:rsidP="00877ED1">
      <w:pPr>
        <w:pStyle w:val="Normalnumbered"/>
        <w:spacing w:after="0" w:line="240" w:lineRule="auto"/>
        <w:ind w:left="738" w:hanging="648"/>
        <w:rPr>
          <w:rFonts w:eastAsiaTheme="majorEastAsia"/>
          <w:sz w:val="24"/>
          <w:szCs w:val="24"/>
          <w:lang w:eastAsia="en-GB"/>
        </w:rPr>
      </w:pPr>
      <w:r w:rsidRPr="00D52641">
        <w:rPr>
          <w:rFonts w:eastAsiaTheme="majorEastAsia"/>
          <w:sz w:val="24"/>
          <w:szCs w:val="24"/>
          <w:lang w:eastAsia="en-GB"/>
        </w:rPr>
        <w:t>A revolving bank facility allows funds to be drawn and repaid and drawn again as and when required. This structure is more appropriate for development finance as it minimises interest cost and would enable Hexagon to take advantage of the forecast very low LIBOR rates</w:t>
      </w:r>
      <w:r w:rsidR="00355744" w:rsidRPr="00D52641">
        <w:rPr>
          <w:rFonts w:eastAsiaTheme="majorEastAsia"/>
          <w:sz w:val="24"/>
          <w:szCs w:val="24"/>
          <w:lang w:eastAsia="en-GB"/>
        </w:rPr>
        <w:t xml:space="preserve"> for at least the next two years</w:t>
      </w:r>
      <w:r w:rsidRPr="00D52641">
        <w:rPr>
          <w:rFonts w:eastAsiaTheme="majorEastAsia"/>
          <w:sz w:val="24"/>
          <w:szCs w:val="24"/>
          <w:lang w:eastAsia="en-GB"/>
        </w:rPr>
        <w:t>. If Hexagon has no need for new loans after 2021</w:t>
      </w:r>
      <w:r w:rsidR="00D52641">
        <w:rPr>
          <w:rFonts w:eastAsiaTheme="majorEastAsia"/>
          <w:sz w:val="24"/>
          <w:szCs w:val="24"/>
          <w:lang w:eastAsia="en-GB"/>
        </w:rPr>
        <w:t xml:space="preserve">, </w:t>
      </w:r>
      <w:r w:rsidRPr="00D52641">
        <w:rPr>
          <w:rFonts w:eastAsiaTheme="majorEastAsia"/>
          <w:sz w:val="24"/>
          <w:szCs w:val="24"/>
          <w:lang w:eastAsia="en-GB"/>
        </w:rPr>
        <w:t>as shown in the business plan</w:t>
      </w:r>
      <w:r w:rsidR="00D52641">
        <w:rPr>
          <w:rFonts w:eastAsiaTheme="majorEastAsia"/>
          <w:sz w:val="24"/>
          <w:szCs w:val="24"/>
          <w:lang w:eastAsia="en-GB"/>
        </w:rPr>
        <w:t>,</w:t>
      </w:r>
      <w:r w:rsidRPr="00D52641">
        <w:rPr>
          <w:rFonts w:eastAsiaTheme="majorEastAsia"/>
          <w:sz w:val="24"/>
          <w:szCs w:val="24"/>
          <w:lang w:eastAsia="en-GB"/>
        </w:rPr>
        <w:t xml:space="preserve"> the facility can be repaid and cancelled at no cost.</w:t>
      </w:r>
    </w:p>
    <w:p w14:paraId="69E04F35" w14:textId="77777777" w:rsidR="00355744" w:rsidRPr="00D52641" w:rsidRDefault="00355744" w:rsidP="00355744">
      <w:pPr>
        <w:pStyle w:val="Normalnumbered"/>
        <w:numPr>
          <w:ilvl w:val="0"/>
          <w:numId w:val="0"/>
        </w:numPr>
        <w:spacing w:after="0" w:line="240" w:lineRule="auto"/>
        <w:ind w:left="738"/>
        <w:rPr>
          <w:rFonts w:eastAsiaTheme="majorEastAsia"/>
          <w:sz w:val="24"/>
          <w:szCs w:val="24"/>
          <w:lang w:eastAsia="en-GB"/>
        </w:rPr>
      </w:pPr>
    </w:p>
    <w:p w14:paraId="14CCE2FC" w14:textId="5351B95F" w:rsidR="00C31832" w:rsidRPr="00D52641" w:rsidRDefault="00C31832" w:rsidP="00877ED1">
      <w:pPr>
        <w:pStyle w:val="Normalnumbered"/>
        <w:spacing w:after="0" w:line="240" w:lineRule="auto"/>
        <w:ind w:left="738" w:hanging="648"/>
        <w:rPr>
          <w:rFonts w:eastAsiaTheme="majorEastAsia"/>
          <w:sz w:val="24"/>
          <w:szCs w:val="24"/>
          <w:lang w:eastAsia="en-GB"/>
        </w:rPr>
      </w:pPr>
      <w:r w:rsidRPr="00D52641">
        <w:rPr>
          <w:rFonts w:eastAsiaTheme="majorEastAsia"/>
          <w:sz w:val="24"/>
          <w:szCs w:val="24"/>
          <w:lang w:eastAsia="en-GB"/>
        </w:rPr>
        <w:t>There are a</w:t>
      </w:r>
      <w:r w:rsidR="001F24A6" w:rsidRPr="00D52641">
        <w:rPr>
          <w:rFonts w:eastAsiaTheme="majorEastAsia"/>
          <w:sz w:val="24"/>
          <w:szCs w:val="24"/>
          <w:lang w:eastAsia="en-GB"/>
        </w:rPr>
        <w:t xml:space="preserve"> small number of bank lenders </w:t>
      </w:r>
      <w:r w:rsidRPr="00D52641">
        <w:rPr>
          <w:rFonts w:eastAsiaTheme="majorEastAsia"/>
          <w:sz w:val="24"/>
          <w:szCs w:val="24"/>
          <w:lang w:eastAsia="en-GB"/>
        </w:rPr>
        <w:t xml:space="preserve">offering loans </w:t>
      </w:r>
      <w:r w:rsidR="001F24A6" w:rsidRPr="00D52641">
        <w:rPr>
          <w:rFonts w:eastAsiaTheme="majorEastAsia"/>
          <w:sz w:val="24"/>
          <w:szCs w:val="24"/>
          <w:lang w:eastAsia="en-GB"/>
        </w:rPr>
        <w:t xml:space="preserve">with repayment out to </w:t>
      </w:r>
      <w:r w:rsidRPr="00D52641">
        <w:rPr>
          <w:rFonts w:eastAsiaTheme="majorEastAsia"/>
          <w:sz w:val="24"/>
          <w:szCs w:val="24"/>
          <w:lang w:eastAsia="en-GB"/>
        </w:rPr>
        <w:t>25 years but these typically include a right to reprice and come with margins in excess of 2%.</w:t>
      </w:r>
      <w:r w:rsidR="00570B4B">
        <w:rPr>
          <w:rFonts w:eastAsiaTheme="majorEastAsia"/>
          <w:sz w:val="24"/>
          <w:szCs w:val="24"/>
          <w:lang w:eastAsia="en-GB"/>
        </w:rPr>
        <w:t xml:space="preserve"> We would not recommend to Hexagon long term funding from these sources.</w:t>
      </w:r>
    </w:p>
    <w:p w14:paraId="53B77F23" w14:textId="77777777" w:rsidR="00355744" w:rsidRPr="00D52641" w:rsidRDefault="00355744" w:rsidP="00355744">
      <w:pPr>
        <w:pStyle w:val="Normalnumbered"/>
        <w:numPr>
          <w:ilvl w:val="0"/>
          <w:numId w:val="0"/>
        </w:numPr>
        <w:spacing w:after="0" w:line="240" w:lineRule="auto"/>
        <w:ind w:left="738"/>
        <w:rPr>
          <w:rFonts w:eastAsiaTheme="majorEastAsia"/>
          <w:sz w:val="24"/>
          <w:szCs w:val="24"/>
          <w:lang w:eastAsia="en-GB"/>
        </w:rPr>
      </w:pPr>
    </w:p>
    <w:p w14:paraId="69A5FD32" w14:textId="4D7E3760" w:rsidR="000B2B52" w:rsidRPr="000B2B52" w:rsidRDefault="00C31832" w:rsidP="000B2B52">
      <w:pPr>
        <w:pStyle w:val="Normalnumbered"/>
        <w:spacing w:after="0" w:line="240" w:lineRule="auto"/>
        <w:ind w:left="738" w:hanging="648"/>
        <w:rPr>
          <w:rFonts w:eastAsiaTheme="majorEastAsia"/>
          <w:sz w:val="24"/>
          <w:szCs w:val="24"/>
          <w:lang w:eastAsia="en-GB"/>
        </w:rPr>
      </w:pPr>
      <w:r w:rsidRPr="000B2B52">
        <w:rPr>
          <w:rFonts w:eastAsiaTheme="majorEastAsia"/>
          <w:sz w:val="24"/>
          <w:szCs w:val="24"/>
          <w:lang w:eastAsia="en-GB"/>
        </w:rPr>
        <w:t xml:space="preserve">Given the timing and nature of </w:t>
      </w:r>
      <w:r w:rsidR="00D52641" w:rsidRPr="000B2B52">
        <w:rPr>
          <w:rFonts w:eastAsiaTheme="majorEastAsia"/>
          <w:sz w:val="24"/>
          <w:szCs w:val="24"/>
          <w:lang w:eastAsia="en-GB"/>
        </w:rPr>
        <w:t xml:space="preserve">the borrowing </w:t>
      </w:r>
      <w:r w:rsidRPr="000B2B52">
        <w:rPr>
          <w:rFonts w:eastAsiaTheme="majorEastAsia"/>
          <w:sz w:val="24"/>
          <w:szCs w:val="24"/>
          <w:lang w:eastAsia="en-GB"/>
        </w:rPr>
        <w:t>requirement shown in the cash flow</w:t>
      </w:r>
      <w:r w:rsidR="00355744" w:rsidRPr="000B2B52">
        <w:rPr>
          <w:rFonts w:eastAsiaTheme="majorEastAsia"/>
          <w:sz w:val="24"/>
          <w:szCs w:val="24"/>
          <w:lang w:eastAsia="en-GB"/>
        </w:rPr>
        <w:t xml:space="preserve"> forecast </w:t>
      </w:r>
      <w:r w:rsidRPr="000B2B52">
        <w:rPr>
          <w:rFonts w:eastAsiaTheme="majorEastAsia"/>
          <w:sz w:val="24"/>
          <w:szCs w:val="24"/>
          <w:lang w:eastAsia="en-GB"/>
        </w:rPr>
        <w:t>we would recommend Hexagon invites lenders to submit offers fo</w:t>
      </w:r>
      <w:r w:rsidR="00D52641" w:rsidRPr="000B2B52">
        <w:rPr>
          <w:rFonts w:eastAsiaTheme="majorEastAsia"/>
          <w:sz w:val="24"/>
          <w:szCs w:val="24"/>
          <w:lang w:eastAsia="en-GB"/>
        </w:rPr>
        <w:t>r a five year revolving facility of up to £</w:t>
      </w:r>
      <w:r w:rsidR="00570B4B">
        <w:rPr>
          <w:rFonts w:eastAsiaTheme="majorEastAsia"/>
          <w:sz w:val="24"/>
          <w:szCs w:val="24"/>
          <w:lang w:eastAsia="en-GB"/>
        </w:rPr>
        <w:t>30</w:t>
      </w:r>
      <w:r w:rsidR="00570B4B" w:rsidRPr="000B2B52">
        <w:rPr>
          <w:rFonts w:eastAsiaTheme="majorEastAsia"/>
          <w:sz w:val="24"/>
          <w:szCs w:val="24"/>
          <w:lang w:eastAsia="en-GB"/>
        </w:rPr>
        <w:t xml:space="preserve"> </w:t>
      </w:r>
      <w:r w:rsidR="00D52641" w:rsidRPr="000B2B52">
        <w:rPr>
          <w:rFonts w:eastAsiaTheme="majorEastAsia"/>
          <w:sz w:val="24"/>
          <w:szCs w:val="24"/>
          <w:lang w:eastAsia="en-GB"/>
        </w:rPr>
        <w:t>million.</w:t>
      </w:r>
    </w:p>
    <w:p w14:paraId="7E4C4C8F" w14:textId="77777777" w:rsidR="000B2B52" w:rsidRDefault="000B2B52" w:rsidP="003F32C7">
      <w:pPr>
        <w:pStyle w:val="Normalnumbered"/>
        <w:numPr>
          <w:ilvl w:val="0"/>
          <w:numId w:val="0"/>
        </w:numPr>
        <w:spacing w:after="0" w:line="240" w:lineRule="auto"/>
        <w:ind w:left="738"/>
        <w:rPr>
          <w:rFonts w:eastAsiaTheme="majorEastAsia"/>
          <w:sz w:val="24"/>
          <w:szCs w:val="24"/>
          <w:lang w:eastAsia="en-GB"/>
        </w:rPr>
      </w:pPr>
    </w:p>
    <w:p w14:paraId="56576234" w14:textId="0D44C931" w:rsidR="000B2B52" w:rsidRPr="00DB7E04" w:rsidRDefault="000B2B52" w:rsidP="000B2B52">
      <w:pPr>
        <w:pStyle w:val="Normalnumbered"/>
        <w:spacing w:after="0" w:line="240" w:lineRule="auto"/>
        <w:ind w:left="738" w:hanging="648"/>
        <w:rPr>
          <w:rFonts w:eastAsiaTheme="majorEastAsia"/>
          <w:sz w:val="24"/>
          <w:szCs w:val="24"/>
          <w:lang w:eastAsia="en-GB"/>
        </w:rPr>
      </w:pPr>
      <w:r w:rsidRPr="000B2B52">
        <w:rPr>
          <w:rFonts w:eastAsiaTheme="majorEastAsia"/>
          <w:sz w:val="24"/>
          <w:szCs w:val="24"/>
          <w:lang w:eastAsia="en-GB"/>
        </w:rPr>
        <w:t xml:space="preserve">There is a good supply of </w:t>
      </w:r>
      <w:r w:rsidR="00570B4B">
        <w:rPr>
          <w:rFonts w:eastAsiaTheme="majorEastAsia"/>
          <w:sz w:val="24"/>
          <w:szCs w:val="24"/>
          <w:lang w:eastAsia="en-GB"/>
        </w:rPr>
        <w:t>short term revolving facilities from b</w:t>
      </w:r>
      <w:r w:rsidRPr="000B2B52">
        <w:rPr>
          <w:rFonts w:eastAsiaTheme="majorEastAsia"/>
          <w:sz w:val="24"/>
          <w:szCs w:val="24"/>
          <w:lang w:eastAsia="en-GB"/>
        </w:rPr>
        <w:t>anks and building societies.</w:t>
      </w:r>
      <w:r w:rsidRPr="00DB7E04">
        <w:rPr>
          <w:rFonts w:eastAsiaTheme="majorEastAsia"/>
          <w:sz w:val="24"/>
          <w:szCs w:val="24"/>
          <w:lang w:eastAsia="en-GB"/>
        </w:rPr>
        <w:t xml:space="preserve"> Revolving loans are ideal for development finance or where requirements are uncertain. They allow borrowers to draw when funds are required, repay when fresh resources become available and redraw again.</w:t>
      </w:r>
    </w:p>
    <w:p w14:paraId="23EC15AE" w14:textId="77777777" w:rsidR="000B2B52" w:rsidRDefault="000B2B52" w:rsidP="003F32C7">
      <w:pPr>
        <w:pStyle w:val="Normalnumbered"/>
        <w:numPr>
          <w:ilvl w:val="0"/>
          <w:numId w:val="0"/>
        </w:numPr>
        <w:spacing w:after="0" w:line="240" w:lineRule="auto"/>
        <w:ind w:left="738"/>
        <w:rPr>
          <w:rFonts w:eastAsiaTheme="majorEastAsia"/>
          <w:sz w:val="24"/>
          <w:szCs w:val="24"/>
          <w:lang w:eastAsia="en-GB"/>
        </w:rPr>
      </w:pPr>
    </w:p>
    <w:p w14:paraId="297A8A01" w14:textId="77777777" w:rsidR="00570B4B" w:rsidRDefault="00570B4B"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We are confident that if Hexagon invited offers for a five year revolving facility of £30 million there would be strong competition for the mandate. </w:t>
      </w:r>
      <w:r w:rsidR="000B2B52">
        <w:rPr>
          <w:rFonts w:eastAsiaTheme="majorEastAsia"/>
          <w:sz w:val="24"/>
          <w:szCs w:val="24"/>
          <w:lang w:eastAsia="en-GB"/>
        </w:rPr>
        <w:t>Five year facilities are available at margins of between 1.25% and 1.75%. Arrangement fees are typically around 0.75% with non-utilisation fees at 50% of the margin.</w:t>
      </w:r>
    </w:p>
    <w:p w14:paraId="57B2E6EE" w14:textId="77777777" w:rsidR="00570B4B" w:rsidRDefault="00570B4B" w:rsidP="003F32C7">
      <w:pPr>
        <w:pStyle w:val="ListParagraph"/>
        <w:rPr>
          <w:rFonts w:eastAsiaTheme="majorEastAsia"/>
          <w:sz w:val="24"/>
          <w:szCs w:val="24"/>
          <w:lang w:eastAsia="en-GB"/>
        </w:rPr>
      </w:pPr>
    </w:p>
    <w:p w14:paraId="7BF2DA1E" w14:textId="26EE1C7A" w:rsidR="00C85B81" w:rsidRDefault="00570B4B"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Long term finance is increasingly available on a bilateral basis in amounts of £25 million upwards </w:t>
      </w:r>
      <w:r w:rsidR="00C85B81">
        <w:rPr>
          <w:rFonts w:eastAsiaTheme="majorEastAsia"/>
          <w:sz w:val="24"/>
          <w:szCs w:val="24"/>
          <w:lang w:eastAsia="en-GB"/>
        </w:rPr>
        <w:t xml:space="preserve">from institutional investors. In recent years these investors have started to offer more flexible drawdown profiles or repayment structures. This would enable Hexagon to avoid the cost of carry normally associated with bond issues that have to be drawn in full on a particular date. Institutional investors are typically looking to lend on fixed or index linked rates for periods up to 40 years. The cost of borrowing is made up of the underlying gilt yield at the time and a credit spread. The difference between the spread on a private deal and a public issue for a well rated RP has fallen sharply over the last 18 months. </w:t>
      </w:r>
    </w:p>
    <w:p w14:paraId="4DB98F30" w14:textId="77777777" w:rsidR="00C85B81" w:rsidRDefault="00C85B81" w:rsidP="003F32C7">
      <w:pPr>
        <w:pStyle w:val="ListParagraph"/>
        <w:rPr>
          <w:rFonts w:eastAsiaTheme="majorEastAsia"/>
          <w:sz w:val="24"/>
          <w:szCs w:val="24"/>
          <w:lang w:eastAsia="en-GB"/>
        </w:rPr>
      </w:pPr>
    </w:p>
    <w:p w14:paraId="132C8929" w14:textId="27E09927" w:rsidR="00C31832" w:rsidRPr="00D52641" w:rsidRDefault="00C85B81" w:rsidP="00877ED1">
      <w:pPr>
        <w:pStyle w:val="Normalnumbered"/>
        <w:spacing w:after="0" w:line="240" w:lineRule="auto"/>
        <w:ind w:left="738" w:hanging="648"/>
        <w:rPr>
          <w:rFonts w:eastAsiaTheme="majorEastAsia"/>
          <w:sz w:val="24"/>
          <w:szCs w:val="24"/>
          <w:lang w:eastAsia="en-GB"/>
        </w:rPr>
      </w:pPr>
      <w:r>
        <w:rPr>
          <w:rFonts w:eastAsiaTheme="majorEastAsia"/>
          <w:sz w:val="24"/>
          <w:szCs w:val="24"/>
          <w:lang w:eastAsia="en-GB"/>
        </w:rPr>
        <w:t xml:space="preserve">By way of indication, current thirty year gilt yields are at 1.62%. Our conservative estimate of a credit spread for Hexagon would be around 2%, giving an all in fixed rate of 3.6%. This type of long term fixed rate loan would only be suitable for Hexagon if an ongoing long term funding requirement were identified in the business plan. </w:t>
      </w:r>
      <w:r w:rsidR="000B2B52">
        <w:rPr>
          <w:rFonts w:eastAsiaTheme="majorEastAsia"/>
          <w:sz w:val="24"/>
          <w:szCs w:val="24"/>
          <w:lang w:eastAsia="en-GB"/>
        </w:rPr>
        <w:t xml:space="preserve"> </w:t>
      </w:r>
    </w:p>
    <w:p w14:paraId="2E96926F" w14:textId="1A9CCA14" w:rsidR="00BD47B0" w:rsidRDefault="00BD47B0" w:rsidP="001F24A6">
      <w:pPr>
        <w:pStyle w:val="Normalnumbered"/>
        <w:numPr>
          <w:ilvl w:val="0"/>
          <w:numId w:val="0"/>
        </w:numPr>
        <w:spacing w:after="0" w:line="240" w:lineRule="auto"/>
        <w:ind w:left="738"/>
        <w:rPr>
          <w:rFonts w:eastAsiaTheme="majorEastAsia"/>
          <w:sz w:val="24"/>
          <w:szCs w:val="24"/>
          <w:lang w:eastAsia="en-GB"/>
        </w:rPr>
      </w:pPr>
    </w:p>
    <w:p w14:paraId="385D80C5" w14:textId="77777777" w:rsidR="00570B4B" w:rsidRDefault="00570B4B" w:rsidP="001F24A6">
      <w:pPr>
        <w:pStyle w:val="Normalnumbered"/>
        <w:numPr>
          <w:ilvl w:val="0"/>
          <w:numId w:val="0"/>
        </w:numPr>
        <w:spacing w:after="0" w:line="240" w:lineRule="auto"/>
        <w:ind w:left="738"/>
        <w:rPr>
          <w:rFonts w:eastAsiaTheme="majorEastAsia"/>
          <w:sz w:val="24"/>
          <w:szCs w:val="24"/>
          <w:lang w:eastAsia="en-GB"/>
        </w:rPr>
      </w:pPr>
    </w:p>
    <w:p w14:paraId="09906C78" w14:textId="77777777" w:rsidR="00570B4B" w:rsidRDefault="00570B4B" w:rsidP="001F24A6">
      <w:pPr>
        <w:pStyle w:val="Normalnumbered"/>
        <w:numPr>
          <w:ilvl w:val="0"/>
          <w:numId w:val="0"/>
        </w:numPr>
        <w:spacing w:after="0" w:line="240" w:lineRule="auto"/>
        <w:ind w:left="738"/>
        <w:rPr>
          <w:rFonts w:eastAsiaTheme="majorEastAsia"/>
          <w:sz w:val="24"/>
          <w:szCs w:val="24"/>
          <w:lang w:eastAsia="en-GB"/>
        </w:rPr>
      </w:pPr>
    </w:p>
    <w:p w14:paraId="31D7C8DA" w14:textId="77777777" w:rsidR="00BD47B0" w:rsidRPr="005D18E9" w:rsidRDefault="00BD47B0" w:rsidP="00D03508">
      <w:pPr>
        <w:pStyle w:val="Heading1numbered"/>
        <w:numPr>
          <w:ilvl w:val="0"/>
          <w:numId w:val="4"/>
        </w:numPr>
        <w:ind w:left="720" w:hanging="720"/>
        <w:outlineLvl w:val="0"/>
        <w:rPr>
          <w:rFonts w:eastAsiaTheme="majorEastAsia"/>
          <w:lang w:eastAsia="en-GB"/>
        </w:rPr>
      </w:pPr>
      <w:bookmarkStart w:id="6" w:name="_Toc456265893"/>
      <w:r w:rsidRPr="005D18E9">
        <w:rPr>
          <w:rFonts w:eastAsiaTheme="majorEastAsia"/>
          <w:lang w:eastAsia="en-GB"/>
        </w:rPr>
        <w:t xml:space="preserve">The </w:t>
      </w:r>
      <w:r w:rsidRPr="00D03508">
        <w:rPr>
          <w:rFonts w:eastAsiaTheme="majorEastAsia"/>
          <w:color w:val="44546A"/>
          <w:lang w:eastAsia="en-GB"/>
        </w:rPr>
        <w:t>econom</w:t>
      </w:r>
      <w:r w:rsidRPr="005D18E9">
        <w:rPr>
          <w:rFonts w:eastAsiaTheme="majorEastAsia"/>
          <w:lang w:eastAsia="en-GB"/>
        </w:rPr>
        <w:t>ic and interest rate environment</w:t>
      </w:r>
      <w:bookmarkEnd w:id="6"/>
    </w:p>
    <w:p w14:paraId="3E412E89" w14:textId="77777777" w:rsidR="00BD47B0" w:rsidRPr="00D52641" w:rsidRDefault="00BD47B0" w:rsidP="001F24A6">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The vote to leave the European Union has engendered a huge amount of uncertainty about the future path of the UK economy and for interest rates. In the first quarter of quarter of 2016 the rate of growth in the economy slowed to just under 2%. Most economist expect the uncertainty that will now follow as the timing of exit and nature of the new regime are negotiated will lead to a further slowdown in the rate of growth.</w:t>
      </w:r>
    </w:p>
    <w:p w14:paraId="121B0BD8" w14:textId="77777777" w:rsidR="001F24A6" w:rsidRPr="00D52641" w:rsidRDefault="001F24A6" w:rsidP="001F24A6">
      <w:pPr>
        <w:pStyle w:val="Normalnumbered"/>
        <w:numPr>
          <w:ilvl w:val="0"/>
          <w:numId w:val="0"/>
        </w:numPr>
        <w:spacing w:after="0" w:line="240" w:lineRule="auto"/>
        <w:ind w:left="738"/>
        <w:rPr>
          <w:rFonts w:eastAsiaTheme="majorEastAsia"/>
          <w:sz w:val="24"/>
          <w:szCs w:val="24"/>
          <w:lang w:eastAsia="en-GB"/>
        </w:rPr>
      </w:pPr>
    </w:p>
    <w:p w14:paraId="65A3015A" w14:textId="77777777" w:rsidR="00BD47B0" w:rsidRPr="00D52641" w:rsidRDefault="00BD47B0" w:rsidP="001F24A6">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In the longer term whether or not new trade arrangements and the lifting of the trappings of EU membership will lead to a rapid return and perhaps faster growth in the economy remains to be seen.</w:t>
      </w:r>
    </w:p>
    <w:p w14:paraId="463037AF" w14:textId="77777777" w:rsidR="00FA08F1" w:rsidRPr="00D52641" w:rsidRDefault="00FA08F1" w:rsidP="00FA08F1">
      <w:pPr>
        <w:pStyle w:val="Normalnumbered"/>
        <w:numPr>
          <w:ilvl w:val="0"/>
          <w:numId w:val="0"/>
        </w:numPr>
        <w:spacing w:after="0" w:line="240" w:lineRule="auto"/>
        <w:ind w:left="738"/>
        <w:rPr>
          <w:rFonts w:eastAsiaTheme="majorEastAsia"/>
          <w:iCs/>
          <w:color w:val="000000"/>
          <w:sz w:val="24"/>
          <w:szCs w:val="24"/>
          <w:lang w:eastAsia="en-GB"/>
        </w:rPr>
      </w:pPr>
    </w:p>
    <w:p w14:paraId="3977D3C1" w14:textId="77777777" w:rsidR="00BD47B0" w:rsidRPr="00D52641" w:rsidRDefault="00BD47B0" w:rsidP="001F24A6">
      <w:pPr>
        <w:pStyle w:val="Normalnumbered"/>
        <w:spacing w:after="0" w:line="240" w:lineRule="auto"/>
        <w:ind w:left="738" w:hanging="738"/>
        <w:rPr>
          <w:rFonts w:eastAsiaTheme="majorEastAsia"/>
          <w:iCs/>
          <w:color w:val="000000"/>
          <w:sz w:val="24"/>
          <w:szCs w:val="24"/>
          <w:lang w:eastAsia="en-GB"/>
        </w:rPr>
      </w:pPr>
      <w:r w:rsidRPr="00D52641">
        <w:rPr>
          <w:rFonts w:eastAsiaTheme="majorEastAsia"/>
          <w:sz w:val="24"/>
          <w:szCs w:val="24"/>
          <w:lang w:eastAsia="en-GB"/>
        </w:rPr>
        <w:t>The immediate reaction to this uncertainty has seen a fall in the value of the pound and a dramatic drop in gilt yields as can be seen</w:t>
      </w:r>
      <w:r w:rsidRPr="00D52641">
        <w:rPr>
          <w:rFonts w:eastAsiaTheme="majorEastAsia"/>
          <w:iCs/>
          <w:color w:val="000000"/>
          <w:sz w:val="24"/>
          <w:szCs w:val="24"/>
          <w:lang w:eastAsia="en-GB"/>
        </w:rPr>
        <w:t xml:space="preserve"> from the chart below.</w:t>
      </w:r>
    </w:p>
    <w:p w14:paraId="3FD24850" w14:textId="46C6AFFB" w:rsidR="00DB7E04" w:rsidRPr="00D52641" w:rsidRDefault="00BD47B0" w:rsidP="00EE3B7A">
      <w:pPr>
        <w:spacing w:after="0"/>
        <w:ind w:left="532" w:right="720" w:hanging="86"/>
        <w:rPr>
          <w:rFonts w:eastAsia="Calibri"/>
          <w:sz w:val="24"/>
          <w:szCs w:val="24"/>
        </w:rPr>
      </w:pPr>
      <w:r w:rsidRPr="00D52641">
        <w:rPr>
          <w:rFonts w:eastAsia="Calibri"/>
          <w:sz w:val="24"/>
          <w:szCs w:val="24"/>
        </w:rPr>
        <w:t xml:space="preserve"> </w:t>
      </w:r>
      <w:r w:rsidR="000B2B52" w:rsidRPr="000B2B52">
        <w:rPr>
          <w:noProof/>
          <w:lang w:eastAsia="en-GB"/>
        </w:rPr>
        <w:drawing>
          <wp:inline distT="0" distB="0" distL="0" distR="0" wp14:anchorId="7C74BD35" wp14:editId="61F45019">
            <wp:extent cx="5290157" cy="3425036"/>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4761" cy="3434491"/>
                    </a:xfrm>
                    <a:prstGeom prst="rect">
                      <a:avLst/>
                    </a:prstGeom>
                    <a:noFill/>
                    <a:ln>
                      <a:noFill/>
                    </a:ln>
                  </pic:spPr>
                </pic:pic>
              </a:graphicData>
            </a:graphic>
          </wp:inline>
        </w:drawing>
      </w:r>
    </w:p>
    <w:p w14:paraId="69E07C77" w14:textId="6BC64ADD" w:rsidR="00BD47B0" w:rsidRDefault="00BD47B0" w:rsidP="00EE3B7A">
      <w:pPr>
        <w:spacing w:after="0"/>
        <w:ind w:left="532" w:right="720" w:hanging="86"/>
        <w:rPr>
          <w:rFonts w:eastAsia="Calibri"/>
          <w:b/>
          <w:sz w:val="24"/>
          <w:szCs w:val="24"/>
        </w:rPr>
      </w:pPr>
      <w:r w:rsidRPr="00D52641">
        <w:rPr>
          <w:rFonts w:eastAsia="Calibri"/>
          <w:b/>
          <w:sz w:val="24"/>
          <w:szCs w:val="24"/>
        </w:rPr>
        <w:t>Source: Thomson Reuters</w:t>
      </w:r>
    </w:p>
    <w:p w14:paraId="591D0A15" w14:textId="12106730" w:rsidR="00DB7E04" w:rsidRPr="00D52641" w:rsidRDefault="00DB7E04" w:rsidP="00EE3B7A">
      <w:pPr>
        <w:spacing w:after="0"/>
        <w:ind w:left="532" w:right="720" w:hanging="86"/>
        <w:rPr>
          <w:rFonts w:eastAsia="Calibri"/>
          <w:b/>
          <w:sz w:val="24"/>
          <w:szCs w:val="24"/>
        </w:rPr>
      </w:pPr>
    </w:p>
    <w:p w14:paraId="64E8289B" w14:textId="77777777" w:rsidR="00BD47B0" w:rsidRPr="00D52641" w:rsidRDefault="00BD47B0" w:rsidP="00FA08F1">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The current level of swap yields is shown in the table below.</w:t>
      </w:r>
    </w:p>
    <w:p w14:paraId="16B55204" w14:textId="21A8A091" w:rsidR="00FA08F1" w:rsidRPr="00FA08F1" w:rsidRDefault="000B2B52" w:rsidP="001061BF">
      <w:pPr>
        <w:pStyle w:val="Normalnumbered"/>
        <w:numPr>
          <w:ilvl w:val="0"/>
          <w:numId w:val="0"/>
        </w:numPr>
        <w:tabs>
          <w:tab w:val="left" w:pos="810"/>
        </w:tabs>
        <w:spacing w:after="0" w:line="240" w:lineRule="auto"/>
        <w:ind w:left="738"/>
        <w:rPr>
          <w:rFonts w:eastAsiaTheme="majorEastAsia"/>
          <w:lang w:eastAsia="en-GB"/>
        </w:rPr>
      </w:pPr>
      <w:r w:rsidRPr="000B2B52">
        <w:rPr>
          <w:noProof/>
          <w:lang w:val="en-GB" w:eastAsia="en-GB" w:bidi="ar-SA"/>
        </w:rPr>
        <w:drawing>
          <wp:inline distT="0" distB="0" distL="0" distR="0" wp14:anchorId="4B0249BE" wp14:editId="27D496C4">
            <wp:extent cx="2943860" cy="305498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860" cy="3054985"/>
                    </a:xfrm>
                    <a:prstGeom prst="rect">
                      <a:avLst/>
                    </a:prstGeom>
                    <a:noFill/>
                    <a:ln>
                      <a:noFill/>
                    </a:ln>
                  </pic:spPr>
                </pic:pic>
              </a:graphicData>
            </a:graphic>
          </wp:inline>
        </w:drawing>
      </w:r>
    </w:p>
    <w:p w14:paraId="7F7942A6" w14:textId="4F5A08AC" w:rsidR="00BD47B0" w:rsidRDefault="00BD47B0" w:rsidP="003F32C7">
      <w:pPr>
        <w:pStyle w:val="Normalnumbered"/>
        <w:numPr>
          <w:ilvl w:val="0"/>
          <w:numId w:val="0"/>
        </w:numPr>
        <w:spacing w:after="0" w:line="240" w:lineRule="auto"/>
        <w:ind w:left="738"/>
        <w:rPr>
          <w:rFonts w:eastAsia="Calibri"/>
          <w:b/>
          <w:sz w:val="24"/>
          <w:szCs w:val="24"/>
        </w:rPr>
      </w:pPr>
      <w:r w:rsidRPr="00FA08F1">
        <w:rPr>
          <w:rFonts w:eastAsiaTheme="majorEastAsia"/>
          <w:lang w:eastAsia="en-GB"/>
        </w:rPr>
        <w:t xml:space="preserve"> </w:t>
      </w:r>
      <w:r w:rsidRPr="00D52641">
        <w:rPr>
          <w:rFonts w:eastAsia="Calibri"/>
          <w:b/>
          <w:sz w:val="24"/>
          <w:szCs w:val="24"/>
        </w:rPr>
        <w:t>Source: Thomson Reuters</w:t>
      </w:r>
    </w:p>
    <w:p w14:paraId="564CD4F1" w14:textId="77777777" w:rsidR="002D0B9A" w:rsidRPr="00D52641" w:rsidRDefault="002D0B9A" w:rsidP="003F32C7">
      <w:pPr>
        <w:pStyle w:val="Normalnumbered"/>
        <w:numPr>
          <w:ilvl w:val="0"/>
          <w:numId w:val="0"/>
        </w:numPr>
        <w:spacing w:after="0" w:line="240" w:lineRule="auto"/>
        <w:ind w:left="738"/>
        <w:rPr>
          <w:rFonts w:eastAsia="Calibri"/>
          <w:b/>
          <w:sz w:val="24"/>
          <w:szCs w:val="24"/>
        </w:rPr>
      </w:pPr>
    </w:p>
    <w:p w14:paraId="6EBE79AB" w14:textId="77777777" w:rsidR="00BD47B0" w:rsidRPr="00D52641" w:rsidRDefault="00BD47B0" w:rsidP="00FA08F1">
      <w:pPr>
        <w:pStyle w:val="Normalnumbered"/>
        <w:spacing w:after="0" w:line="240" w:lineRule="auto"/>
        <w:ind w:left="738" w:hanging="738"/>
        <w:rPr>
          <w:rFonts w:eastAsiaTheme="majorEastAsia"/>
          <w:sz w:val="24"/>
          <w:szCs w:val="24"/>
          <w:lang w:eastAsia="en-GB"/>
        </w:rPr>
      </w:pPr>
      <w:r w:rsidRPr="00D52641">
        <w:rPr>
          <w:rFonts w:eastAsiaTheme="majorEastAsia"/>
          <w:sz w:val="24"/>
          <w:szCs w:val="24"/>
          <w:lang w:eastAsia="en-GB"/>
        </w:rPr>
        <w:t>The following chart shows rates today compared with those one month and one year ago.</w:t>
      </w:r>
    </w:p>
    <w:p w14:paraId="1C4E7794" w14:textId="4C587AD4" w:rsidR="00BD47B0" w:rsidRPr="00D52641" w:rsidRDefault="000B2B52" w:rsidP="00DB7E04">
      <w:pPr>
        <w:pStyle w:val="Normalnumbered"/>
        <w:numPr>
          <w:ilvl w:val="0"/>
          <w:numId w:val="0"/>
        </w:numPr>
        <w:spacing w:after="0" w:line="240" w:lineRule="auto"/>
        <w:ind w:left="630"/>
        <w:rPr>
          <w:rFonts w:eastAsiaTheme="majorEastAsia"/>
          <w:sz w:val="24"/>
          <w:szCs w:val="24"/>
          <w:lang w:eastAsia="en-GB"/>
        </w:rPr>
      </w:pPr>
      <w:r w:rsidRPr="000B2B52">
        <w:rPr>
          <w:noProof/>
          <w:lang w:val="en-GB" w:eastAsia="en-GB" w:bidi="ar-SA"/>
        </w:rPr>
        <w:drawing>
          <wp:inline distT="0" distB="0" distL="0" distR="0" wp14:anchorId="194887A7" wp14:editId="7508B135">
            <wp:extent cx="4965700" cy="2822028"/>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4310" cy="2832604"/>
                    </a:xfrm>
                    <a:prstGeom prst="rect">
                      <a:avLst/>
                    </a:prstGeom>
                    <a:noFill/>
                    <a:ln>
                      <a:noFill/>
                    </a:ln>
                  </pic:spPr>
                </pic:pic>
              </a:graphicData>
            </a:graphic>
          </wp:inline>
        </w:drawing>
      </w:r>
    </w:p>
    <w:p w14:paraId="18869B31" w14:textId="5D035E14" w:rsidR="00BD47B0" w:rsidRPr="000E2A1F" w:rsidRDefault="00BD47B0" w:rsidP="00D52641">
      <w:pPr>
        <w:spacing w:after="0"/>
        <w:ind w:left="806"/>
        <w:rPr>
          <w:b/>
          <w:sz w:val="24"/>
          <w:szCs w:val="24"/>
        </w:rPr>
      </w:pPr>
      <w:r w:rsidRPr="000E2A1F">
        <w:rPr>
          <w:b/>
          <w:sz w:val="24"/>
          <w:szCs w:val="24"/>
        </w:rPr>
        <w:t>Source: Thomson Reuters</w:t>
      </w:r>
    </w:p>
    <w:p w14:paraId="40616F48" w14:textId="77777777" w:rsidR="00D52641" w:rsidRDefault="00D52641" w:rsidP="00D52641">
      <w:pPr>
        <w:pStyle w:val="Normalnumbered"/>
        <w:numPr>
          <w:ilvl w:val="0"/>
          <w:numId w:val="0"/>
        </w:numPr>
        <w:spacing w:after="0" w:line="240" w:lineRule="auto"/>
        <w:ind w:left="738"/>
        <w:rPr>
          <w:rFonts w:eastAsiaTheme="majorEastAsia"/>
          <w:lang w:eastAsia="en-GB"/>
        </w:rPr>
      </w:pPr>
    </w:p>
    <w:p w14:paraId="359B3F60" w14:textId="77777777" w:rsidR="00BD47B0" w:rsidRDefault="00BD47B0" w:rsidP="00FA08F1">
      <w:pPr>
        <w:pStyle w:val="Normalnumbered"/>
        <w:spacing w:after="0" w:line="240" w:lineRule="auto"/>
        <w:ind w:left="738" w:hanging="738"/>
        <w:rPr>
          <w:rFonts w:eastAsiaTheme="majorEastAsia"/>
          <w:lang w:eastAsia="en-GB"/>
        </w:rPr>
      </w:pPr>
      <w:r w:rsidRPr="00FA08F1">
        <w:rPr>
          <w:rFonts w:eastAsiaTheme="majorEastAsia"/>
          <w:lang w:eastAsia="en-GB"/>
        </w:rPr>
        <w:t>As can be seen swap rates have dropped by an unprecedented amount in just one month.</w:t>
      </w:r>
    </w:p>
    <w:p w14:paraId="5A5B3BB3" w14:textId="77777777" w:rsidR="00DB7E04" w:rsidRPr="00FA08F1" w:rsidRDefault="00DB7E04" w:rsidP="00EE3B7A">
      <w:pPr>
        <w:pStyle w:val="Normalnumbered"/>
        <w:numPr>
          <w:ilvl w:val="0"/>
          <w:numId w:val="0"/>
        </w:numPr>
        <w:spacing w:after="0" w:line="240" w:lineRule="auto"/>
        <w:ind w:left="738"/>
        <w:rPr>
          <w:rFonts w:eastAsiaTheme="majorEastAsia"/>
          <w:lang w:eastAsia="en-GB"/>
        </w:rPr>
      </w:pPr>
    </w:p>
    <w:p w14:paraId="1FDB13BA" w14:textId="4173D6D2" w:rsidR="00BD47B0" w:rsidRPr="00FA08F1" w:rsidRDefault="000B2B52" w:rsidP="00DB7E04">
      <w:pPr>
        <w:pStyle w:val="Normalnumbered"/>
        <w:numPr>
          <w:ilvl w:val="0"/>
          <w:numId w:val="0"/>
        </w:numPr>
        <w:spacing w:after="0" w:line="240" w:lineRule="auto"/>
        <w:ind w:left="630"/>
        <w:rPr>
          <w:rFonts w:eastAsiaTheme="majorEastAsia"/>
          <w:lang w:eastAsia="en-GB"/>
        </w:rPr>
      </w:pPr>
      <w:r w:rsidRPr="000B2B52">
        <w:rPr>
          <w:noProof/>
          <w:lang w:val="en-GB" w:eastAsia="en-GB" w:bidi="ar-SA"/>
        </w:rPr>
        <w:drawing>
          <wp:inline distT="0" distB="0" distL="0" distR="0" wp14:anchorId="68DCA8D5" wp14:editId="7BB80518">
            <wp:extent cx="5029200" cy="29951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8071" cy="3018298"/>
                    </a:xfrm>
                    <a:prstGeom prst="rect">
                      <a:avLst/>
                    </a:prstGeom>
                    <a:noFill/>
                    <a:ln>
                      <a:noFill/>
                    </a:ln>
                  </pic:spPr>
                </pic:pic>
              </a:graphicData>
            </a:graphic>
          </wp:inline>
        </w:drawing>
      </w:r>
    </w:p>
    <w:p w14:paraId="4E5EB1BB" w14:textId="10501A1E" w:rsidR="00BD47B0" w:rsidRPr="000E2A1F" w:rsidRDefault="00BD47B0" w:rsidP="00D52641">
      <w:pPr>
        <w:spacing w:after="0"/>
        <w:ind w:left="634"/>
        <w:rPr>
          <w:b/>
          <w:sz w:val="24"/>
          <w:szCs w:val="24"/>
        </w:rPr>
      </w:pPr>
      <w:r w:rsidRPr="000E2A1F">
        <w:rPr>
          <w:b/>
          <w:sz w:val="24"/>
          <w:szCs w:val="24"/>
        </w:rPr>
        <w:t>Source: Thomson Reuters</w:t>
      </w:r>
    </w:p>
    <w:p w14:paraId="0705561F" w14:textId="77777777" w:rsidR="00D52641" w:rsidRPr="00D03508" w:rsidRDefault="00D52641" w:rsidP="00D52641">
      <w:pPr>
        <w:spacing w:after="0"/>
        <w:ind w:left="634"/>
        <w:rPr>
          <w:b/>
        </w:rPr>
      </w:pPr>
    </w:p>
    <w:p w14:paraId="21D53910" w14:textId="3A48DCB9" w:rsidR="00BD47B0" w:rsidRDefault="00BD47B0" w:rsidP="00FA08F1">
      <w:pPr>
        <w:pStyle w:val="Normalnumbered"/>
        <w:spacing w:after="0" w:line="240" w:lineRule="auto"/>
        <w:ind w:left="738" w:hanging="738"/>
        <w:rPr>
          <w:iCs/>
          <w:color w:val="000000"/>
          <w:sz w:val="24"/>
          <w:szCs w:val="24"/>
          <w:lang w:eastAsia="en-GB"/>
        </w:rPr>
      </w:pPr>
      <w:r w:rsidRPr="00FA08F1">
        <w:rPr>
          <w:rFonts w:eastAsiaTheme="majorEastAsia"/>
          <w:lang w:eastAsia="en-GB"/>
        </w:rPr>
        <w:t>The chart can be interpreted as illustrating the money markets belief that base rate is likely to be cut from the current level</w:t>
      </w:r>
      <w:r w:rsidRPr="007B1443">
        <w:rPr>
          <w:rFonts w:eastAsiaTheme="majorEastAsia"/>
          <w:iCs/>
          <w:color w:val="000000"/>
          <w:sz w:val="24"/>
          <w:szCs w:val="24"/>
          <w:lang w:eastAsia="en-GB"/>
        </w:rPr>
        <w:t xml:space="preserve"> of 0.5% </w:t>
      </w:r>
      <w:r w:rsidR="00D03508">
        <w:rPr>
          <w:rFonts w:eastAsiaTheme="majorEastAsia"/>
          <w:iCs/>
          <w:color w:val="000000"/>
          <w:sz w:val="24"/>
          <w:szCs w:val="24"/>
          <w:lang w:eastAsia="en-GB"/>
        </w:rPr>
        <w:t xml:space="preserve">to 0.c5% </w:t>
      </w:r>
      <w:r w:rsidRPr="007B1443">
        <w:rPr>
          <w:rFonts w:eastAsiaTheme="majorEastAsia"/>
          <w:iCs/>
          <w:color w:val="000000"/>
          <w:sz w:val="24"/>
          <w:szCs w:val="24"/>
          <w:lang w:eastAsia="en-GB"/>
        </w:rPr>
        <w:t xml:space="preserve">and is expected to stay low until </w:t>
      </w:r>
      <w:r w:rsidR="00D03508">
        <w:rPr>
          <w:rFonts w:eastAsiaTheme="majorEastAsia"/>
          <w:iCs/>
          <w:color w:val="000000"/>
          <w:sz w:val="24"/>
          <w:szCs w:val="24"/>
          <w:lang w:eastAsia="en-GB"/>
        </w:rPr>
        <w:t>March 2018</w:t>
      </w:r>
      <w:r w:rsidRPr="007B1443">
        <w:rPr>
          <w:rFonts w:eastAsiaTheme="majorEastAsia"/>
          <w:iCs/>
          <w:color w:val="000000"/>
          <w:sz w:val="24"/>
          <w:szCs w:val="24"/>
          <w:lang w:eastAsia="en-GB"/>
        </w:rPr>
        <w:t xml:space="preserve">. </w:t>
      </w:r>
    </w:p>
    <w:p w14:paraId="27C84CFE" w14:textId="4C0B9C2E" w:rsidR="00D52641" w:rsidRDefault="00D52641" w:rsidP="00EE3B7A">
      <w:pPr>
        <w:spacing w:after="0"/>
        <w:rPr>
          <w:rFonts w:eastAsiaTheme="majorEastAsia"/>
          <w:color w:val="44546A" w:themeColor="text2"/>
          <w:sz w:val="42"/>
          <w:szCs w:val="42"/>
          <w:lang w:eastAsia="en-GB"/>
        </w:rPr>
      </w:pPr>
    </w:p>
    <w:p w14:paraId="3318B868" w14:textId="18815811" w:rsidR="00BD47B0" w:rsidRDefault="00BD47B0" w:rsidP="00D03508">
      <w:pPr>
        <w:pStyle w:val="Heading1numbered"/>
        <w:numPr>
          <w:ilvl w:val="0"/>
          <w:numId w:val="4"/>
        </w:numPr>
        <w:ind w:left="720" w:hanging="720"/>
        <w:outlineLvl w:val="0"/>
      </w:pPr>
      <w:bookmarkStart w:id="7" w:name="_Toc456265894"/>
      <w:r w:rsidRPr="00FA08F1">
        <w:rPr>
          <w:rFonts w:eastAsiaTheme="majorEastAsia"/>
          <w:lang w:eastAsia="en-GB"/>
        </w:rPr>
        <w:t>Interest rate and inflation forecasts</w:t>
      </w:r>
      <w:bookmarkEnd w:id="7"/>
    </w:p>
    <w:p w14:paraId="56672CB8" w14:textId="2E29DAC9" w:rsidR="00BD47B0" w:rsidRPr="00D52641" w:rsidRDefault="00BD47B0" w:rsidP="00FA08F1">
      <w:pPr>
        <w:pStyle w:val="Normalnumbered"/>
        <w:spacing w:after="0" w:line="240" w:lineRule="auto"/>
        <w:ind w:left="738" w:hanging="738"/>
        <w:rPr>
          <w:rFonts w:eastAsiaTheme="majorEastAsia"/>
          <w:iCs/>
          <w:color w:val="000000"/>
          <w:sz w:val="24"/>
          <w:szCs w:val="24"/>
          <w:lang w:eastAsia="en-GB"/>
        </w:rPr>
      </w:pPr>
      <w:r w:rsidRPr="00D52641">
        <w:rPr>
          <w:rFonts w:eastAsiaTheme="majorEastAsia"/>
          <w:iCs/>
          <w:color w:val="000000"/>
          <w:sz w:val="24"/>
          <w:szCs w:val="24"/>
          <w:lang w:eastAsia="en-GB"/>
        </w:rPr>
        <w:t xml:space="preserve">The recent referendum result has created much greater uncertainty surrounding the future path of interest rates than is normal. The immediate impact on the markets is shown in the tables above. It will take some time for our independent forecasters to fully analyse all the economic </w:t>
      </w:r>
      <w:r w:rsidR="00D52641" w:rsidRPr="00D52641">
        <w:rPr>
          <w:rFonts w:eastAsiaTheme="majorEastAsia"/>
          <w:iCs/>
          <w:color w:val="000000"/>
          <w:sz w:val="24"/>
          <w:szCs w:val="24"/>
          <w:lang w:eastAsia="en-GB"/>
        </w:rPr>
        <w:t>consequences</w:t>
      </w:r>
      <w:r w:rsidRPr="00D52641">
        <w:rPr>
          <w:rFonts w:eastAsiaTheme="majorEastAsia"/>
          <w:iCs/>
          <w:color w:val="000000"/>
          <w:sz w:val="24"/>
          <w:szCs w:val="24"/>
          <w:lang w:eastAsia="en-GB"/>
        </w:rPr>
        <w:t xml:space="preserve"> of the vote and to produce new forecasts. </w:t>
      </w:r>
    </w:p>
    <w:p w14:paraId="678978E0" w14:textId="77777777" w:rsidR="00FA08F1" w:rsidRPr="00D52641" w:rsidRDefault="00FA08F1" w:rsidP="00FA08F1">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30AE5765" w14:textId="77777777" w:rsidR="00FA08F1" w:rsidRPr="00D52641" w:rsidRDefault="00BD47B0" w:rsidP="00FA08F1">
      <w:pPr>
        <w:pStyle w:val="Normalnumbered"/>
        <w:spacing w:after="0" w:line="240" w:lineRule="auto"/>
        <w:ind w:left="738" w:hanging="738"/>
        <w:rPr>
          <w:rFonts w:ascii="Calibri" w:eastAsiaTheme="majorEastAsia" w:hAnsi="Calibri"/>
          <w:bCs/>
          <w:iCs/>
          <w:color w:val="000000"/>
          <w:sz w:val="24"/>
          <w:szCs w:val="24"/>
          <w:lang w:eastAsia="en-GB"/>
        </w:rPr>
      </w:pPr>
      <w:r w:rsidRPr="00D52641">
        <w:rPr>
          <w:rFonts w:ascii="Calibri" w:eastAsiaTheme="majorEastAsia" w:hAnsi="Calibri"/>
          <w:bCs/>
          <w:iCs/>
          <w:color w:val="000000"/>
          <w:sz w:val="24"/>
          <w:szCs w:val="24"/>
          <w:lang w:eastAsia="en-GB"/>
        </w:rPr>
        <w:t>The forecasts that we normally include in our treasury strategy reports have all been made redundant by recent events. We</w:t>
      </w:r>
      <w:r w:rsidR="00FA08F1" w:rsidRPr="00D52641">
        <w:rPr>
          <w:rFonts w:ascii="Calibri" w:eastAsiaTheme="majorEastAsia" w:hAnsi="Calibri"/>
          <w:bCs/>
          <w:iCs/>
          <w:color w:val="000000"/>
          <w:sz w:val="24"/>
          <w:szCs w:val="24"/>
          <w:lang w:eastAsia="en-GB"/>
        </w:rPr>
        <w:t xml:space="preserve"> have however issued note setting out the implications for interest rates and inflation which is attached as Appendix2. </w:t>
      </w:r>
    </w:p>
    <w:p w14:paraId="15445525" w14:textId="77777777" w:rsidR="00FA08F1" w:rsidRPr="00D52641" w:rsidRDefault="00FA08F1" w:rsidP="00FA08F1">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54DD4FAA" w14:textId="23694B0B" w:rsidR="005D18E9" w:rsidRPr="00D52641" w:rsidRDefault="00C655DF" w:rsidP="00FA08F1">
      <w:pPr>
        <w:spacing w:after="0" w:line="240" w:lineRule="auto"/>
        <w:ind w:firstLine="720"/>
        <w:rPr>
          <w:rFonts w:eastAsia="Times New Roman"/>
          <w:b/>
          <w:iCs/>
          <w:color w:val="000000"/>
          <w:sz w:val="24"/>
          <w:szCs w:val="24"/>
          <w:lang w:eastAsia="en-GB"/>
        </w:rPr>
      </w:pPr>
      <w:r w:rsidRPr="00D52641">
        <w:rPr>
          <w:rFonts w:eastAsia="Times New Roman"/>
          <w:b/>
          <w:iCs/>
          <w:color w:val="000000"/>
          <w:sz w:val="24"/>
          <w:szCs w:val="24"/>
          <w:lang w:eastAsia="en-GB"/>
        </w:rPr>
        <w:t xml:space="preserve">Investment of surplus funds </w:t>
      </w:r>
    </w:p>
    <w:p w14:paraId="45220A9F" w14:textId="457E7A20" w:rsidR="00C655DF" w:rsidRPr="00D52641" w:rsidRDefault="007B1443" w:rsidP="00FA08F1">
      <w:pPr>
        <w:pStyle w:val="Normalnumbered"/>
        <w:spacing w:after="0" w:line="240" w:lineRule="auto"/>
        <w:ind w:left="738" w:hanging="738"/>
        <w:rPr>
          <w:rFonts w:eastAsia="Times New Roman"/>
          <w:iCs/>
          <w:color w:val="000000"/>
          <w:sz w:val="24"/>
          <w:szCs w:val="24"/>
          <w:lang w:eastAsia="en-GB"/>
        </w:rPr>
      </w:pPr>
      <w:r w:rsidRPr="00D52641">
        <w:rPr>
          <w:rFonts w:ascii="Calibri" w:eastAsiaTheme="majorEastAsia" w:hAnsi="Calibri"/>
          <w:bCs/>
          <w:iCs/>
          <w:color w:val="000000"/>
          <w:sz w:val="24"/>
          <w:szCs w:val="24"/>
          <w:lang w:eastAsia="en-GB"/>
        </w:rPr>
        <w:t>As a result of the recent drawing from AHF</w:t>
      </w:r>
      <w:r w:rsidR="00FA08F1" w:rsidRPr="00D52641">
        <w:rPr>
          <w:rFonts w:ascii="Calibri" w:eastAsiaTheme="majorEastAsia" w:hAnsi="Calibri"/>
          <w:bCs/>
          <w:iCs/>
          <w:color w:val="000000"/>
          <w:sz w:val="24"/>
          <w:szCs w:val="24"/>
          <w:lang w:eastAsia="en-GB"/>
        </w:rPr>
        <w:t>,</w:t>
      </w:r>
      <w:r w:rsidRPr="00D52641">
        <w:rPr>
          <w:rFonts w:ascii="Calibri" w:eastAsiaTheme="majorEastAsia" w:hAnsi="Calibri"/>
          <w:bCs/>
          <w:iCs/>
          <w:color w:val="000000"/>
          <w:sz w:val="24"/>
          <w:szCs w:val="24"/>
          <w:lang w:eastAsia="en-GB"/>
        </w:rPr>
        <w:t xml:space="preserve"> Hexagon will have significant levels of cash </w:t>
      </w:r>
      <w:r w:rsidR="00C655DF" w:rsidRPr="00D52641">
        <w:rPr>
          <w:rFonts w:ascii="Calibri" w:eastAsiaTheme="majorEastAsia" w:hAnsi="Calibri"/>
          <w:bCs/>
          <w:iCs/>
          <w:color w:val="000000"/>
          <w:sz w:val="24"/>
          <w:szCs w:val="24"/>
          <w:lang w:eastAsia="en-GB"/>
        </w:rPr>
        <w:t>in the short term</w:t>
      </w:r>
      <w:r w:rsidR="00C655DF" w:rsidRPr="00D52641">
        <w:rPr>
          <w:rFonts w:eastAsia="Times New Roman"/>
          <w:iCs/>
          <w:color w:val="000000"/>
          <w:sz w:val="24"/>
          <w:szCs w:val="24"/>
          <w:lang w:eastAsia="en-GB"/>
        </w:rPr>
        <w:t>.</w:t>
      </w:r>
    </w:p>
    <w:p w14:paraId="55E31BEC" w14:textId="77777777" w:rsidR="00D03508" w:rsidRPr="00D52641" w:rsidRDefault="00D03508" w:rsidP="00D03508">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539E34F0" w14:textId="16BB211F" w:rsidR="00C655DF" w:rsidRPr="00D52641" w:rsidRDefault="00C655DF" w:rsidP="00FA08F1">
      <w:pPr>
        <w:pStyle w:val="Normalnumbered"/>
        <w:spacing w:after="0" w:line="240" w:lineRule="auto"/>
        <w:ind w:left="738" w:hanging="738"/>
        <w:rPr>
          <w:rFonts w:ascii="Calibri" w:eastAsiaTheme="majorEastAsia" w:hAnsi="Calibri"/>
          <w:bCs/>
          <w:iCs/>
          <w:color w:val="000000"/>
          <w:sz w:val="24"/>
          <w:szCs w:val="24"/>
          <w:lang w:eastAsia="en-GB"/>
        </w:rPr>
      </w:pPr>
      <w:r w:rsidRPr="00D52641">
        <w:rPr>
          <w:rFonts w:ascii="Calibri" w:eastAsiaTheme="majorEastAsia" w:hAnsi="Calibri"/>
          <w:bCs/>
          <w:iCs/>
          <w:color w:val="000000"/>
          <w:sz w:val="24"/>
          <w:szCs w:val="24"/>
          <w:lang w:eastAsia="en-GB"/>
        </w:rPr>
        <w:t>Investment rates from deposits are currently very low and are likely to fall further if the Bank of England, as expected, cuts base rate to 0.25% at its next meeting. Higher returns are available on term deposits of 12 months or more</w:t>
      </w:r>
      <w:r w:rsidR="00D52641">
        <w:rPr>
          <w:rFonts w:ascii="Calibri" w:eastAsiaTheme="majorEastAsia" w:hAnsi="Calibri"/>
          <w:bCs/>
          <w:iCs/>
          <w:color w:val="000000"/>
          <w:sz w:val="24"/>
          <w:szCs w:val="24"/>
          <w:lang w:eastAsia="en-GB"/>
        </w:rPr>
        <w:t>,</w:t>
      </w:r>
      <w:r w:rsidRPr="00D52641">
        <w:rPr>
          <w:rFonts w:ascii="Calibri" w:eastAsiaTheme="majorEastAsia" w:hAnsi="Calibri"/>
          <w:bCs/>
          <w:iCs/>
          <w:color w:val="000000"/>
          <w:sz w:val="24"/>
          <w:szCs w:val="24"/>
          <w:lang w:eastAsia="en-GB"/>
        </w:rPr>
        <w:t xml:space="preserve"> but not form banks that satisfy Capita’s credit counterparty criteria. </w:t>
      </w:r>
    </w:p>
    <w:p w14:paraId="68F00952" w14:textId="77777777" w:rsidR="00FA08F1" w:rsidRPr="00D52641" w:rsidRDefault="00FA08F1" w:rsidP="00FA08F1">
      <w:pPr>
        <w:pStyle w:val="Normalnumbered"/>
        <w:numPr>
          <w:ilvl w:val="0"/>
          <w:numId w:val="0"/>
        </w:numPr>
        <w:spacing w:after="0" w:line="240" w:lineRule="auto"/>
        <w:ind w:left="738"/>
        <w:rPr>
          <w:rFonts w:ascii="Calibri" w:eastAsiaTheme="majorEastAsia" w:hAnsi="Calibri"/>
          <w:bCs/>
          <w:iCs/>
          <w:color w:val="000000"/>
          <w:sz w:val="24"/>
          <w:szCs w:val="24"/>
          <w:lang w:eastAsia="en-GB"/>
        </w:rPr>
      </w:pPr>
    </w:p>
    <w:p w14:paraId="1932A47F" w14:textId="568C8816" w:rsidR="005D18E9" w:rsidRDefault="00C655DF" w:rsidP="00FA08F1">
      <w:pPr>
        <w:pStyle w:val="Normalnumbered"/>
        <w:spacing w:after="0" w:line="240" w:lineRule="auto"/>
        <w:ind w:left="738" w:hanging="738"/>
        <w:rPr>
          <w:rFonts w:ascii="Calibri" w:eastAsiaTheme="majorEastAsia" w:hAnsi="Calibri"/>
          <w:bCs/>
          <w:iCs/>
          <w:color w:val="000000"/>
          <w:sz w:val="24"/>
          <w:szCs w:val="24"/>
          <w:lang w:eastAsia="en-GB"/>
        </w:rPr>
      </w:pPr>
      <w:r w:rsidRPr="00D52641">
        <w:rPr>
          <w:rFonts w:ascii="Calibri" w:eastAsiaTheme="majorEastAsia" w:hAnsi="Calibri"/>
          <w:bCs/>
          <w:iCs/>
          <w:color w:val="000000"/>
          <w:sz w:val="24"/>
          <w:szCs w:val="24"/>
          <w:lang w:eastAsia="en-GB"/>
        </w:rPr>
        <w:t>We therefore suggest that cash resources are used first to meet development expenditure and that drawdown of the £20 million available from S</w:t>
      </w:r>
      <w:r w:rsidR="00FA08F1" w:rsidRPr="00D52641">
        <w:rPr>
          <w:rFonts w:ascii="Calibri" w:eastAsiaTheme="majorEastAsia" w:hAnsi="Calibri"/>
          <w:bCs/>
          <w:iCs/>
          <w:color w:val="000000"/>
          <w:sz w:val="24"/>
          <w:szCs w:val="24"/>
          <w:lang w:eastAsia="en-GB"/>
        </w:rPr>
        <w:t>a</w:t>
      </w:r>
      <w:r w:rsidRPr="00D52641">
        <w:rPr>
          <w:rFonts w:ascii="Calibri" w:eastAsiaTheme="majorEastAsia" w:hAnsi="Calibri"/>
          <w:bCs/>
          <w:iCs/>
          <w:color w:val="000000"/>
          <w:sz w:val="24"/>
          <w:szCs w:val="24"/>
          <w:lang w:eastAsia="en-GB"/>
        </w:rPr>
        <w:t xml:space="preserve">ntander is </w:t>
      </w:r>
      <w:r w:rsidR="00FA08F1" w:rsidRPr="00D52641">
        <w:rPr>
          <w:rFonts w:ascii="Calibri" w:eastAsiaTheme="majorEastAsia" w:hAnsi="Calibri"/>
          <w:bCs/>
          <w:iCs/>
          <w:color w:val="000000"/>
          <w:sz w:val="24"/>
          <w:szCs w:val="24"/>
          <w:lang w:eastAsia="en-GB"/>
        </w:rPr>
        <w:t>deferred</w:t>
      </w:r>
      <w:r w:rsidRPr="00D52641">
        <w:rPr>
          <w:rFonts w:ascii="Calibri" w:eastAsiaTheme="majorEastAsia" w:hAnsi="Calibri"/>
          <w:bCs/>
          <w:iCs/>
          <w:color w:val="000000"/>
          <w:sz w:val="24"/>
          <w:szCs w:val="24"/>
          <w:lang w:eastAsia="en-GB"/>
        </w:rPr>
        <w:t xml:space="preserve"> until cash resources are depleted. </w:t>
      </w:r>
    </w:p>
    <w:p w14:paraId="04B30D2C" w14:textId="23F25C68" w:rsidR="00D03508" w:rsidRDefault="00BD47B0" w:rsidP="003F32C7">
      <w:pPr>
        <w:pStyle w:val="Normalnumbered"/>
        <w:numPr>
          <w:ilvl w:val="0"/>
          <w:numId w:val="0"/>
        </w:numPr>
        <w:spacing w:after="0" w:line="240" w:lineRule="auto"/>
        <w:ind w:left="720"/>
        <w:rPr>
          <w:color w:val="006792"/>
          <w:sz w:val="20"/>
          <w:szCs w:val="20"/>
        </w:rPr>
      </w:pPr>
      <w:r w:rsidRPr="00D52641">
        <w:rPr>
          <w:rFonts w:eastAsia="Calibri"/>
          <w:sz w:val="24"/>
          <w:szCs w:val="24"/>
        </w:rPr>
        <w:t xml:space="preserve"> </w:t>
      </w:r>
    </w:p>
    <w:p w14:paraId="122E60EA" w14:textId="77777777" w:rsidR="00BD47B0" w:rsidRPr="00D52641" w:rsidRDefault="00BD47B0" w:rsidP="00D242B4">
      <w:pPr>
        <w:rPr>
          <w:color w:val="006792"/>
          <w:sz w:val="24"/>
          <w:szCs w:val="24"/>
        </w:rPr>
      </w:pPr>
      <w:r w:rsidRPr="00D52641">
        <w:rPr>
          <w:color w:val="006792"/>
          <w:sz w:val="24"/>
          <w:szCs w:val="24"/>
        </w:rPr>
        <w:t>This report is intended for the use and assistance of customers of Capita Asset Services. It should not be regarded as a substitute for the exercise by the recipient of its own judgment. Capita Asset Services exists to provide its clients with advice primarily on borrowing and investment.  We are not legal experts and we have not obtained legal advice in giving our opinions and interpretations in this paper.  Clients are advised to seek expert legal advice before taking action as a result of any advice given in this paper. Whilst Capita Asset Services makes every effort to ensure that all information provided by it is accurate and complete, it does not guarantee the correctness or the due receipt of such information and will not be held responsible for any errors therein or omissions arising there from. Furthermore, Capita Asset Services shall not be held liable in contract, tort or otherwise for any loss or damage (whether direct, or indirect or consequential) resulting from negligence, delay or failure on the part of Capita Asset Services or its officers, employees or agents in procuring, presenting, communicating or otherwise providing information or advice whether sustained by Capita Asset Services customer or any third party directly or indirectly making use of such information or advice, including but not limited to any loss or damage resulting as a consequence of inaccuracy or errors in such information or advice. All information supplied by Capita Asset Services should only be used as a factor to assist in the making of a business decision and should not be used as a sole basis for any decision.</w:t>
      </w:r>
    </w:p>
    <w:p w14:paraId="1848BB0A" w14:textId="09337257" w:rsidR="00BD47B0" w:rsidRPr="00D52641" w:rsidRDefault="00BD47B0" w:rsidP="00D242B4">
      <w:pPr>
        <w:rPr>
          <w:color w:val="006792"/>
          <w:sz w:val="24"/>
          <w:szCs w:val="24"/>
        </w:rPr>
      </w:pPr>
      <w:r w:rsidRPr="00D52641">
        <w:rPr>
          <w:color w:val="006792"/>
          <w:sz w:val="24"/>
          <w:szCs w:val="24"/>
        </w:rPr>
        <w:t>Author: H.Webb</w:t>
      </w:r>
      <w:r w:rsidRPr="00D52641">
        <w:rPr>
          <w:color w:val="006792"/>
          <w:sz w:val="24"/>
          <w:szCs w:val="24"/>
        </w:rPr>
        <w:tab/>
      </w:r>
      <w:r w:rsidRPr="00D52641">
        <w:rPr>
          <w:color w:val="006792"/>
          <w:sz w:val="24"/>
          <w:szCs w:val="24"/>
        </w:rPr>
        <w:tab/>
      </w:r>
      <w:r w:rsidRPr="00D52641">
        <w:rPr>
          <w:color w:val="006792"/>
          <w:sz w:val="24"/>
          <w:szCs w:val="24"/>
        </w:rPr>
        <w:tab/>
      </w:r>
      <w:r w:rsidRPr="00D52641">
        <w:rPr>
          <w:color w:val="006792"/>
          <w:sz w:val="24"/>
          <w:szCs w:val="24"/>
        </w:rPr>
        <w:tab/>
      </w:r>
      <w:r w:rsidRPr="00D52641">
        <w:rPr>
          <w:color w:val="006792"/>
          <w:sz w:val="24"/>
          <w:szCs w:val="24"/>
        </w:rPr>
        <w:tab/>
        <w:t>Checked by:</w:t>
      </w:r>
      <w:r w:rsidRPr="00D52641">
        <w:rPr>
          <w:color w:val="006792"/>
          <w:sz w:val="24"/>
          <w:szCs w:val="24"/>
        </w:rPr>
        <w:tab/>
      </w:r>
      <w:r w:rsidRPr="00D52641">
        <w:rPr>
          <w:color w:val="006792"/>
          <w:sz w:val="24"/>
          <w:szCs w:val="24"/>
        </w:rPr>
        <w:tab/>
        <w:t>Date:</w:t>
      </w:r>
      <w:r w:rsidR="00D52641" w:rsidRPr="00D52641">
        <w:rPr>
          <w:color w:val="006792"/>
          <w:sz w:val="24"/>
          <w:szCs w:val="24"/>
        </w:rPr>
        <w:t xml:space="preserve"> July </w:t>
      </w:r>
      <w:r w:rsidRPr="00D52641">
        <w:rPr>
          <w:color w:val="006792"/>
          <w:sz w:val="24"/>
          <w:szCs w:val="24"/>
        </w:rPr>
        <w:t xml:space="preserve"> 2016</w:t>
      </w:r>
    </w:p>
    <w:p w14:paraId="2E411761" w14:textId="173430C7" w:rsidR="000B2B52" w:rsidRDefault="00BD47B0">
      <w:pPr>
        <w:rPr>
          <w:rFonts w:ascii="MS Serif" w:eastAsia="Times New Roman" w:hAnsi="MS Serif" w:cs="Times New Roman"/>
          <w:sz w:val="20"/>
          <w:szCs w:val="20"/>
          <w:lang w:eastAsia="en-GB"/>
        </w:rPr>
      </w:pPr>
      <w:r w:rsidRPr="00D52641">
        <w:rPr>
          <w:color w:val="005B82"/>
          <w:sz w:val="24"/>
          <w:szCs w:val="24"/>
        </w:rPr>
        <w:t xml:space="preserve">Capita Asset Services is the trading name of Sector Treasury Services Limited, which is authorized and regulated by the Financial Conduct Authority only for conducting advisory and arranging activities in the UK as part of its Treasury Management Service. Registered office: 71 Victoria Street, Westminster, London, SW1H 0XA. Registered in England No 2652033. </w:t>
      </w:r>
      <w:r w:rsidR="000B2B52">
        <w:rPr>
          <w:rFonts w:ascii="MS Serif" w:eastAsia="Times New Roman" w:hAnsi="MS Serif" w:cs="Times New Roman"/>
          <w:sz w:val="20"/>
          <w:szCs w:val="20"/>
          <w:lang w:eastAsia="en-GB"/>
        </w:rPr>
        <w:br w:type="page"/>
      </w:r>
    </w:p>
    <w:p w14:paraId="3E2C82BA" w14:textId="77777777" w:rsidR="00C655DF" w:rsidRDefault="00C655DF" w:rsidP="00D242B4">
      <w:pPr>
        <w:rPr>
          <w:rFonts w:ascii="MS Serif" w:eastAsia="Times New Roman" w:hAnsi="MS Serif" w:cs="Times New Roman"/>
          <w:sz w:val="20"/>
          <w:szCs w:val="20"/>
          <w:lang w:eastAsia="en-GB"/>
        </w:rPr>
      </w:pPr>
    </w:p>
    <w:p w14:paraId="7186FD8C" w14:textId="79CC9AB4" w:rsidR="00C31832" w:rsidRPr="00D03508" w:rsidRDefault="001F24A6" w:rsidP="00D03508">
      <w:pPr>
        <w:pStyle w:val="Heading1numbered"/>
        <w:ind w:left="720"/>
        <w:outlineLvl w:val="0"/>
        <w:rPr>
          <w:rFonts w:eastAsiaTheme="majorEastAsia"/>
          <w:lang w:eastAsia="en-GB"/>
        </w:rPr>
      </w:pPr>
      <w:bookmarkStart w:id="8" w:name="_Toc456265895"/>
      <w:r w:rsidRPr="00D03508">
        <w:rPr>
          <w:rFonts w:eastAsiaTheme="majorEastAsia"/>
          <w:lang w:eastAsia="en-GB"/>
        </w:rPr>
        <w:t xml:space="preserve">Appendix </w:t>
      </w:r>
      <w:r w:rsidR="00FA08F1" w:rsidRPr="00D03508">
        <w:rPr>
          <w:rFonts w:eastAsiaTheme="majorEastAsia"/>
          <w:lang w:eastAsia="en-GB"/>
        </w:rPr>
        <w:t>1</w:t>
      </w:r>
      <w:r w:rsidR="00D03508" w:rsidRPr="00D03508">
        <w:rPr>
          <w:rFonts w:eastAsiaTheme="majorEastAsia"/>
          <w:lang w:eastAsia="en-GB"/>
        </w:rPr>
        <w:t xml:space="preserve"> </w:t>
      </w:r>
      <w:r w:rsidR="00D03508" w:rsidRPr="00D03508">
        <w:rPr>
          <w:rFonts w:eastAsiaTheme="majorEastAsia"/>
          <w:lang w:eastAsia="en-GB"/>
        </w:rPr>
        <w:tab/>
        <w:t>Cash Flow Forecast</w:t>
      </w:r>
      <w:bookmarkEnd w:id="8"/>
      <w:r w:rsidR="00D03508" w:rsidRPr="00D03508">
        <w:rPr>
          <w:rFonts w:eastAsiaTheme="majorEastAsia"/>
          <w:lang w:eastAsia="en-GB"/>
        </w:rPr>
        <w:t xml:space="preserve"> </w:t>
      </w:r>
    </w:p>
    <w:tbl>
      <w:tblPr>
        <w:tblW w:w="8263" w:type="dxa"/>
        <w:tblInd w:w="540" w:type="dxa"/>
        <w:tblLook w:val="04A0" w:firstRow="1" w:lastRow="0" w:firstColumn="1" w:lastColumn="0" w:noHBand="0" w:noVBand="1"/>
      </w:tblPr>
      <w:tblGrid>
        <w:gridCol w:w="4183"/>
        <w:gridCol w:w="1360"/>
        <w:gridCol w:w="1360"/>
        <w:gridCol w:w="1360"/>
      </w:tblGrid>
      <w:tr w:rsidR="00C31832" w:rsidRPr="00C31832" w14:paraId="1F2CCE14" w14:textId="77777777" w:rsidTr="001F24A6">
        <w:trPr>
          <w:trHeight w:val="210"/>
        </w:trPr>
        <w:tc>
          <w:tcPr>
            <w:tcW w:w="4183" w:type="dxa"/>
            <w:tcBorders>
              <w:top w:val="nil"/>
              <w:left w:val="nil"/>
              <w:bottom w:val="nil"/>
              <w:right w:val="nil"/>
            </w:tcBorders>
            <w:shd w:val="clear" w:color="000000" w:fill="008000"/>
            <w:noWrap/>
            <w:vAlign w:val="bottom"/>
            <w:hideMark/>
          </w:tcPr>
          <w:p w14:paraId="122ABD7B"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 xml:space="preserve">Period: 01 April 2016 - 31 March 2046 </w:t>
            </w:r>
          </w:p>
        </w:tc>
        <w:tc>
          <w:tcPr>
            <w:tcW w:w="1360" w:type="dxa"/>
            <w:tcBorders>
              <w:top w:val="nil"/>
              <w:left w:val="nil"/>
              <w:bottom w:val="nil"/>
              <w:right w:val="nil"/>
            </w:tcBorders>
            <w:shd w:val="clear" w:color="000000" w:fill="008000"/>
            <w:noWrap/>
            <w:vAlign w:val="bottom"/>
            <w:hideMark/>
          </w:tcPr>
          <w:p w14:paraId="0CB3D7FA"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2017</w:t>
            </w:r>
          </w:p>
        </w:tc>
        <w:tc>
          <w:tcPr>
            <w:tcW w:w="1360" w:type="dxa"/>
            <w:tcBorders>
              <w:top w:val="nil"/>
              <w:left w:val="nil"/>
              <w:bottom w:val="nil"/>
              <w:right w:val="nil"/>
            </w:tcBorders>
            <w:shd w:val="clear" w:color="000000" w:fill="008000"/>
            <w:noWrap/>
            <w:vAlign w:val="bottom"/>
            <w:hideMark/>
          </w:tcPr>
          <w:p w14:paraId="6A713F73"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2018</w:t>
            </w:r>
          </w:p>
        </w:tc>
        <w:tc>
          <w:tcPr>
            <w:tcW w:w="1360" w:type="dxa"/>
            <w:tcBorders>
              <w:top w:val="nil"/>
              <w:left w:val="nil"/>
              <w:bottom w:val="nil"/>
              <w:right w:val="nil"/>
            </w:tcBorders>
            <w:shd w:val="clear" w:color="000000" w:fill="008000"/>
            <w:noWrap/>
            <w:vAlign w:val="bottom"/>
            <w:hideMark/>
          </w:tcPr>
          <w:p w14:paraId="159C105F" w14:textId="77777777" w:rsidR="00C31832" w:rsidRPr="00C31832" w:rsidRDefault="00C31832" w:rsidP="00D242B4">
            <w:pPr>
              <w:rPr>
                <w:rFonts w:ascii="Segoe UI" w:eastAsia="Times New Roman" w:hAnsi="Segoe UI" w:cs="Segoe UI"/>
                <w:b/>
                <w:bCs/>
                <w:color w:val="FFFFFF"/>
                <w:sz w:val="16"/>
                <w:szCs w:val="16"/>
                <w:lang w:eastAsia="en-GB"/>
              </w:rPr>
            </w:pPr>
            <w:r w:rsidRPr="00C31832">
              <w:rPr>
                <w:rFonts w:ascii="Segoe UI" w:eastAsia="Times New Roman" w:hAnsi="Segoe UI" w:cs="Segoe UI"/>
                <w:b/>
                <w:bCs/>
                <w:color w:val="FFFFFF"/>
                <w:sz w:val="16"/>
                <w:szCs w:val="16"/>
                <w:lang w:eastAsia="en-GB"/>
              </w:rPr>
              <w:t>2019</w:t>
            </w:r>
          </w:p>
        </w:tc>
      </w:tr>
      <w:tr w:rsidR="00C31832" w:rsidRPr="00C31832" w14:paraId="7CD6A0B6" w14:textId="77777777" w:rsidTr="001F24A6">
        <w:trPr>
          <w:trHeight w:val="210"/>
        </w:trPr>
        <w:tc>
          <w:tcPr>
            <w:tcW w:w="4183" w:type="dxa"/>
            <w:tcBorders>
              <w:top w:val="nil"/>
              <w:left w:val="nil"/>
              <w:bottom w:val="nil"/>
              <w:right w:val="nil"/>
            </w:tcBorders>
            <w:shd w:val="clear" w:color="000000" w:fill="9DF4C0"/>
            <w:noWrap/>
            <w:vAlign w:val="bottom"/>
            <w:hideMark/>
          </w:tcPr>
          <w:p w14:paraId="14EA864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w:t>
            </w:r>
          </w:p>
        </w:tc>
        <w:tc>
          <w:tcPr>
            <w:tcW w:w="1360" w:type="dxa"/>
            <w:tcBorders>
              <w:top w:val="nil"/>
              <w:left w:val="nil"/>
              <w:bottom w:val="nil"/>
              <w:right w:val="nil"/>
            </w:tcBorders>
            <w:shd w:val="clear" w:color="000000" w:fill="9DF4C0"/>
            <w:noWrap/>
            <w:vAlign w:val="bottom"/>
            <w:hideMark/>
          </w:tcPr>
          <w:p w14:paraId="042DD6F8"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xml:space="preserve">£000's </w:t>
            </w:r>
          </w:p>
        </w:tc>
        <w:tc>
          <w:tcPr>
            <w:tcW w:w="1360" w:type="dxa"/>
            <w:tcBorders>
              <w:top w:val="nil"/>
              <w:left w:val="nil"/>
              <w:bottom w:val="nil"/>
              <w:right w:val="nil"/>
            </w:tcBorders>
            <w:shd w:val="clear" w:color="000000" w:fill="9DF4C0"/>
            <w:noWrap/>
            <w:vAlign w:val="bottom"/>
            <w:hideMark/>
          </w:tcPr>
          <w:p w14:paraId="6D9C89A9"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xml:space="preserve">£000's </w:t>
            </w:r>
          </w:p>
        </w:tc>
        <w:tc>
          <w:tcPr>
            <w:tcW w:w="1360" w:type="dxa"/>
            <w:tcBorders>
              <w:top w:val="nil"/>
              <w:left w:val="nil"/>
              <w:bottom w:val="nil"/>
              <w:right w:val="nil"/>
            </w:tcBorders>
            <w:shd w:val="clear" w:color="000000" w:fill="9DF4C0"/>
            <w:noWrap/>
            <w:vAlign w:val="bottom"/>
            <w:hideMark/>
          </w:tcPr>
          <w:p w14:paraId="295A009F"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xml:space="preserve">£000's </w:t>
            </w:r>
          </w:p>
        </w:tc>
      </w:tr>
      <w:tr w:rsidR="00C31832" w:rsidRPr="00C31832" w14:paraId="12277113" w14:textId="77777777" w:rsidTr="001F24A6">
        <w:trPr>
          <w:trHeight w:val="210"/>
        </w:trPr>
        <w:tc>
          <w:tcPr>
            <w:tcW w:w="4183" w:type="dxa"/>
            <w:tcBorders>
              <w:top w:val="nil"/>
              <w:left w:val="nil"/>
              <w:bottom w:val="nil"/>
              <w:right w:val="nil"/>
            </w:tcBorders>
            <w:shd w:val="clear" w:color="000000" w:fill="E1E1E1"/>
            <w:noWrap/>
            <w:vAlign w:val="bottom"/>
            <w:hideMark/>
          </w:tcPr>
          <w:p w14:paraId="50E054DC"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OPERATING ACTIVITIES</w:t>
            </w:r>
          </w:p>
        </w:tc>
        <w:tc>
          <w:tcPr>
            <w:tcW w:w="1360" w:type="dxa"/>
            <w:tcBorders>
              <w:top w:val="nil"/>
              <w:left w:val="nil"/>
              <w:bottom w:val="nil"/>
              <w:right w:val="nil"/>
            </w:tcBorders>
            <w:shd w:val="clear" w:color="000000" w:fill="E1E1E1"/>
            <w:noWrap/>
            <w:vAlign w:val="bottom"/>
            <w:hideMark/>
          </w:tcPr>
          <w:p w14:paraId="492467BE"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14ACCC7A"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442D1FBD"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r>
      <w:tr w:rsidR="00C31832" w:rsidRPr="00C31832" w14:paraId="5B268B69" w14:textId="77777777" w:rsidTr="001F24A6">
        <w:trPr>
          <w:trHeight w:val="210"/>
        </w:trPr>
        <w:tc>
          <w:tcPr>
            <w:tcW w:w="4183" w:type="dxa"/>
            <w:tcBorders>
              <w:top w:val="nil"/>
              <w:left w:val="nil"/>
              <w:bottom w:val="nil"/>
              <w:right w:val="nil"/>
            </w:tcBorders>
            <w:shd w:val="clear" w:color="auto" w:fill="auto"/>
            <w:noWrap/>
            <w:vAlign w:val="bottom"/>
            <w:hideMark/>
          </w:tcPr>
          <w:p w14:paraId="0E29B07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xml:space="preserve">Cash Received From Customers </w:t>
            </w:r>
          </w:p>
        </w:tc>
        <w:tc>
          <w:tcPr>
            <w:tcW w:w="1360" w:type="dxa"/>
            <w:tcBorders>
              <w:top w:val="nil"/>
              <w:left w:val="nil"/>
              <w:bottom w:val="nil"/>
              <w:right w:val="nil"/>
            </w:tcBorders>
            <w:shd w:val="clear" w:color="auto" w:fill="auto"/>
            <w:noWrap/>
            <w:vAlign w:val="bottom"/>
            <w:hideMark/>
          </w:tcPr>
          <w:p w14:paraId="70634813"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30,719</w:t>
            </w:r>
          </w:p>
        </w:tc>
        <w:tc>
          <w:tcPr>
            <w:tcW w:w="1360" w:type="dxa"/>
            <w:tcBorders>
              <w:top w:val="nil"/>
              <w:left w:val="nil"/>
              <w:bottom w:val="nil"/>
              <w:right w:val="nil"/>
            </w:tcBorders>
            <w:shd w:val="clear" w:color="auto" w:fill="auto"/>
            <w:noWrap/>
            <w:vAlign w:val="bottom"/>
            <w:hideMark/>
          </w:tcPr>
          <w:p w14:paraId="2BD0FD5C"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39,356</w:t>
            </w:r>
          </w:p>
        </w:tc>
        <w:tc>
          <w:tcPr>
            <w:tcW w:w="1360" w:type="dxa"/>
            <w:tcBorders>
              <w:top w:val="nil"/>
              <w:left w:val="nil"/>
              <w:bottom w:val="nil"/>
              <w:right w:val="nil"/>
            </w:tcBorders>
            <w:shd w:val="clear" w:color="auto" w:fill="auto"/>
            <w:noWrap/>
            <w:vAlign w:val="bottom"/>
            <w:hideMark/>
          </w:tcPr>
          <w:p w14:paraId="0B948106"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38,941</w:t>
            </w:r>
          </w:p>
        </w:tc>
      </w:tr>
      <w:tr w:rsidR="00C31832" w:rsidRPr="00C31832" w14:paraId="00814747" w14:textId="77777777" w:rsidTr="001F24A6">
        <w:trPr>
          <w:trHeight w:val="210"/>
        </w:trPr>
        <w:tc>
          <w:tcPr>
            <w:tcW w:w="4183" w:type="dxa"/>
            <w:tcBorders>
              <w:top w:val="nil"/>
              <w:left w:val="nil"/>
              <w:bottom w:val="nil"/>
              <w:right w:val="nil"/>
            </w:tcBorders>
            <w:shd w:val="clear" w:color="auto" w:fill="auto"/>
            <w:noWrap/>
            <w:vAlign w:val="bottom"/>
            <w:hideMark/>
          </w:tcPr>
          <w:p w14:paraId="70BF18E1"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xml:space="preserve">Cash Paid To Suppliers </w:t>
            </w:r>
          </w:p>
        </w:tc>
        <w:tc>
          <w:tcPr>
            <w:tcW w:w="1360" w:type="dxa"/>
            <w:tcBorders>
              <w:top w:val="nil"/>
              <w:left w:val="nil"/>
              <w:bottom w:val="nil"/>
              <w:right w:val="nil"/>
            </w:tcBorders>
            <w:shd w:val="clear" w:color="auto" w:fill="auto"/>
            <w:noWrap/>
            <w:vAlign w:val="bottom"/>
            <w:hideMark/>
          </w:tcPr>
          <w:p w14:paraId="6E2A527E"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-16,511</w:t>
            </w:r>
          </w:p>
        </w:tc>
        <w:tc>
          <w:tcPr>
            <w:tcW w:w="1360" w:type="dxa"/>
            <w:tcBorders>
              <w:top w:val="nil"/>
              <w:left w:val="nil"/>
              <w:bottom w:val="nil"/>
              <w:right w:val="nil"/>
            </w:tcBorders>
            <w:shd w:val="clear" w:color="auto" w:fill="auto"/>
            <w:noWrap/>
            <w:vAlign w:val="bottom"/>
            <w:hideMark/>
          </w:tcPr>
          <w:p w14:paraId="68AB9532"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-19,179</w:t>
            </w:r>
          </w:p>
        </w:tc>
        <w:tc>
          <w:tcPr>
            <w:tcW w:w="1360" w:type="dxa"/>
            <w:tcBorders>
              <w:top w:val="nil"/>
              <w:left w:val="nil"/>
              <w:bottom w:val="nil"/>
              <w:right w:val="nil"/>
            </w:tcBorders>
            <w:shd w:val="clear" w:color="auto" w:fill="auto"/>
            <w:noWrap/>
            <w:vAlign w:val="bottom"/>
            <w:hideMark/>
          </w:tcPr>
          <w:p w14:paraId="19878EE3"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-26,967</w:t>
            </w:r>
          </w:p>
        </w:tc>
      </w:tr>
      <w:tr w:rsidR="00C31832" w:rsidRPr="00C31832" w14:paraId="1FEA899C" w14:textId="77777777" w:rsidTr="001F24A6">
        <w:trPr>
          <w:trHeight w:val="225"/>
        </w:trPr>
        <w:tc>
          <w:tcPr>
            <w:tcW w:w="4183" w:type="dxa"/>
            <w:tcBorders>
              <w:top w:val="nil"/>
              <w:left w:val="nil"/>
              <w:bottom w:val="nil"/>
              <w:right w:val="nil"/>
            </w:tcBorders>
            <w:shd w:val="clear" w:color="auto" w:fill="auto"/>
            <w:noWrap/>
            <w:vAlign w:val="bottom"/>
            <w:hideMark/>
          </w:tcPr>
          <w:p w14:paraId="7A9813BB" w14:textId="77777777" w:rsidR="00C31832" w:rsidRPr="00C31832" w:rsidRDefault="00C31832" w:rsidP="001F24A6">
            <w:pPr>
              <w:ind w:left="252" w:hanging="252"/>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Cash Paid To Employees</w:t>
            </w:r>
          </w:p>
        </w:tc>
        <w:tc>
          <w:tcPr>
            <w:tcW w:w="1360" w:type="dxa"/>
            <w:tcBorders>
              <w:top w:val="nil"/>
              <w:left w:val="nil"/>
              <w:bottom w:val="nil"/>
              <w:right w:val="nil"/>
            </w:tcBorders>
            <w:shd w:val="clear" w:color="auto" w:fill="auto"/>
            <w:noWrap/>
            <w:vAlign w:val="bottom"/>
            <w:hideMark/>
          </w:tcPr>
          <w:p w14:paraId="3739DBD4"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-3,770</w:t>
            </w:r>
          </w:p>
        </w:tc>
        <w:tc>
          <w:tcPr>
            <w:tcW w:w="1360" w:type="dxa"/>
            <w:tcBorders>
              <w:top w:val="nil"/>
              <w:left w:val="nil"/>
              <w:bottom w:val="nil"/>
              <w:right w:val="nil"/>
            </w:tcBorders>
            <w:shd w:val="clear" w:color="auto" w:fill="auto"/>
            <w:noWrap/>
            <w:vAlign w:val="bottom"/>
            <w:hideMark/>
          </w:tcPr>
          <w:p w14:paraId="41B332C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-3,872</w:t>
            </w:r>
          </w:p>
        </w:tc>
        <w:tc>
          <w:tcPr>
            <w:tcW w:w="1360" w:type="dxa"/>
            <w:tcBorders>
              <w:top w:val="nil"/>
              <w:left w:val="nil"/>
              <w:bottom w:val="nil"/>
              <w:right w:val="nil"/>
            </w:tcBorders>
            <w:shd w:val="clear" w:color="auto" w:fill="auto"/>
            <w:noWrap/>
            <w:vAlign w:val="bottom"/>
            <w:hideMark/>
          </w:tcPr>
          <w:p w14:paraId="12B0B3B3"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-4,033</w:t>
            </w:r>
          </w:p>
        </w:tc>
      </w:tr>
      <w:tr w:rsidR="00C31832" w:rsidRPr="00C31832" w14:paraId="63541A4B" w14:textId="77777777" w:rsidTr="001F24A6">
        <w:trPr>
          <w:trHeight w:val="210"/>
        </w:trPr>
        <w:tc>
          <w:tcPr>
            <w:tcW w:w="4183" w:type="dxa"/>
            <w:tcBorders>
              <w:top w:val="nil"/>
              <w:left w:val="nil"/>
              <w:bottom w:val="nil"/>
              <w:right w:val="nil"/>
            </w:tcBorders>
            <w:shd w:val="clear" w:color="auto" w:fill="auto"/>
            <w:noWrap/>
            <w:vAlign w:val="bottom"/>
            <w:hideMark/>
          </w:tcPr>
          <w:p w14:paraId="03ADE644"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Operating Activities</w:t>
            </w:r>
          </w:p>
        </w:tc>
        <w:tc>
          <w:tcPr>
            <w:tcW w:w="1360" w:type="dxa"/>
            <w:tcBorders>
              <w:top w:val="single" w:sz="8" w:space="0" w:color="000000"/>
              <w:left w:val="nil"/>
              <w:bottom w:val="nil"/>
              <w:right w:val="nil"/>
            </w:tcBorders>
            <w:shd w:val="clear" w:color="auto" w:fill="auto"/>
            <w:noWrap/>
            <w:vAlign w:val="bottom"/>
            <w:hideMark/>
          </w:tcPr>
          <w:p w14:paraId="416761D8"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10,438</w:t>
            </w:r>
          </w:p>
        </w:tc>
        <w:tc>
          <w:tcPr>
            <w:tcW w:w="1360" w:type="dxa"/>
            <w:tcBorders>
              <w:top w:val="single" w:sz="8" w:space="0" w:color="000000"/>
              <w:left w:val="nil"/>
              <w:bottom w:val="nil"/>
              <w:right w:val="nil"/>
            </w:tcBorders>
            <w:shd w:val="clear" w:color="auto" w:fill="auto"/>
            <w:noWrap/>
            <w:vAlign w:val="bottom"/>
            <w:hideMark/>
          </w:tcPr>
          <w:p w14:paraId="36217C94"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16,304</w:t>
            </w:r>
          </w:p>
        </w:tc>
        <w:tc>
          <w:tcPr>
            <w:tcW w:w="1360" w:type="dxa"/>
            <w:tcBorders>
              <w:top w:val="single" w:sz="8" w:space="0" w:color="000000"/>
              <w:left w:val="nil"/>
              <w:bottom w:val="nil"/>
              <w:right w:val="nil"/>
            </w:tcBorders>
            <w:shd w:val="clear" w:color="auto" w:fill="auto"/>
            <w:noWrap/>
            <w:vAlign w:val="bottom"/>
            <w:hideMark/>
          </w:tcPr>
          <w:p w14:paraId="3DB4FCD4"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7,940</w:t>
            </w:r>
          </w:p>
        </w:tc>
      </w:tr>
      <w:tr w:rsidR="00C31832" w:rsidRPr="00C31832" w14:paraId="268AE94E" w14:textId="77777777" w:rsidTr="001F24A6">
        <w:trPr>
          <w:trHeight w:val="210"/>
        </w:trPr>
        <w:tc>
          <w:tcPr>
            <w:tcW w:w="4183" w:type="dxa"/>
            <w:tcBorders>
              <w:top w:val="nil"/>
              <w:left w:val="nil"/>
              <w:bottom w:val="nil"/>
              <w:right w:val="nil"/>
            </w:tcBorders>
            <w:shd w:val="clear" w:color="auto" w:fill="auto"/>
            <w:noWrap/>
            <w:vAlign w:val="bottom"/>
            <w:hideMark/>
          </w:tcPr>
          <w:p w14:paraId="48BA457F"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 xml:space="preserve">Returns On Investments &amp; </w:t>
            </w:r>
          </w:p>
        </w:tc>
        <w:tc>
          <w:tcPr>
            <w:tcW w:w="1360" w:type="dxa"/>
            <w:tcBorders>
              <w:top w:val="nil"/>
              <w:left w:val="nil"/>
              <w:bottom w:val="nil"/>
              <w:right w:val="nil"/>
            </w:tcBorders>
            <w:shd w:val="clear" w:color="auto" w:fill="auto"/>
            <w:noWrap/>
            <w:vAlign w:val="bottom"/>
            <w:hideMark/>
          </w:tcPr>
          <w:p w14:paraId="2D08FE5E" w14:textId="77777777" w:rsidR="00C31832" w:rsidRPr="00C31832" w:rsidRDefault="00C31832" w:rsidP="00D242B4">
            <w:pPr>
              <w:rPr>
                <w:rFonts w:ascii="Segoe UI" w:eastAsia="Times New Roman" w:hAnsi="Segoe UI" w:cs="Segoe UI"/>
                <w:b/>
                <w:bCs/>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4D131ED6"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7192C48A"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03C0F4ED" w14:textId="77777777" w:rsidTr="001F24A6">
        <w:trPr>
          <w:trHeight w:val="210"/>
        </w:trPr>
        <w:tc>
          <w:tcPr>
            <w:tcW w:w="4183" w:type="dxa"/>
            <w:tcBorders>
              <w:top w:val="nil"/>
              <w:left w:val="nil"/>
              <w:bottom w:val="nil"/>
              <w:right w:val="nil"/>
            </w:tcBorders>
            <w:shd w:val="clear" w:color="auto" w:fill="auto"/>
            <w:noWrap/>
            <w:vAlign w:val="bottom"/>
            <w:hideMark/>
          </w:tcPr>
          <w:p w14:paraId="3A2522E3"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Servicing Of Finance</w:t>
            </w:r>
          </w:p>
        </w:tc>
        <w:tc>
          <w:tcPr>
            <w:tcW w:w="1360" w:type="dxa"/>
            <w:tcBorders>
              <w:top w:val="nil"/>
              <w:left w:val="nil"/>
              <w:bottom w:val="nil"/>
              <w:right w:val="nil"/>
            </w:tcBorders>
            <w:shd w:val="clear" w:color="auto" w:fill="auto"/>
            <w:noWrap/>
            <w:vAlign w:val="bottom"/>
            <w:hideMark/>
          </w:tcPr>
          <w:p w14:paraId="3DB8383B" w14:textId="77777777" w:rsidR="00C31832" w:rsidRPr="00C31832" w:rsidRDefault="00C31832" w:rsidP="00D242B4">
            <w:pPr>
              <w:rPr>
                <w:rFonts w:ascii="Segoe UI" w:eastAsia="Times New Roman" w:hAnsi="Segoe UI" w:cs="Segoe UI"/>
                <w:b/>
                <w:bCs/>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5F51FA23"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66F5EE39"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1B2917AF" w14:textId="77777777" w:rsidTr="001F24A6">
        <w:trPr>
          <w:trHeight w:val="210"/>
        </w:trPr>
        <w:tc>
          <w:tcPr>
            <w:tcW w:w="4183" w:type="dxa"/>
            <w:tcBorders>
              <w:top w:val="nil"/>
              <w:left w:val="nil"/>
              <w:bottom w:val="nil"/>
              <w:right w:val="nil"/>
            </w:tcBorders>
            <w:shd w:val="clear" w:color="auto" w:fill="auto"/>
            <w:noWrap/>
            <w:vAlign w:val="bottom"/>
            <w:hideMark/>
          </w:tcPr>
          <w:p w14:paraId="1C80D103"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Interest Collected</w:t>
            </w:r>
          </w:p>
        </w:tc>
        <w:tc>
          <w:tcPr>
            <w:tcW w:w="1360" w:type="dxa"/>
            <w:tcBorders>
              <w:top w:val="nil"/>
              <w:left w:val="nil"/>
              <w:bottom w:val="nil"/>
              <w:right w:val="nil"/>
            </w:tcBorders>
            <w:shd w:val="clear" w:color="auto" w:fill="auto"/>
            <w:noWrap/>
            <w:vAlign w:val="bottom"/>
            <w:hideMark/>
          </w:tcPr>
          <w:p w14:paraId="14DF1A50"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60</w:t>
            </w:r>
          </w:p>
        </w:tc>
        <w:tc>
          <w:tcPr>
            <w:tcW w:w="1360" w:type="dxa"/>
            <w:tcBorders>
              <w:top w:val="nil"/>
              <w:left w:val="nil"/>
              <w:bottom w:val="nil"/>
              <w:right w:val="nil"/>
            </w:tcBorders>
            <w:shd w:val="clear" w:color="auto" w:fill="auto"/>
            <w:noWrap/>
            <w:vAlign w:val="bottom"/>
            <w:hideMark/>
          </w:tcPr>
          <w:p w14:paraId="4E0127B5"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45</w:t>
            </w:r>
          </w:p>
        </w:tc>
        <w:tc>
          <w:tcPr>
            <w:tcW w:w="1360" w:type="dxa"/>
            <w:tcBorders>
              <w:top w:val="nil"/>
              <w:left w:val="nil"/>
              <w:bottom w:val="nil"/>
              <w:right w:val="nil"/>
            </w:tcBorders>
            <w:shd w:val="clear" w:color="auto" w:fill="auto"/>
            <w:noWrap/>
            <w:vAlign w:val="bottom"/>
            <w:hideMark/>
          </w:tcPr>
          <w:p w14:paraId="1D5D30E2"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106</w:t>
            </w:r>
          </w:p>
        </w:tc>
      </w:tr>
      <w:tr w:rsidR="00C31832" w:rsidRPr="00C31832" w14:paraId="33EA3492" w14:textId="77777777" w:rsidTr="001F24A6">
        <w:trPr>
          <w:trHeight w:val="225"/>
        </w:trPr>
        <w:tc>
          <w:tcPr>
            <w:tcW w:w="4183" w:type="dxa"/>
            <w:tcBorders>
              <w:top w:val="nil"/>
              <w:left w:val="nil"/>
              <w:bottom w:val="nil"/>
              <w:right w:val="nil"/>
            </w:tcBorders>
            <w:shd w:val="clear" w:color="auto" w:fill="auto"/>
            <w:noWrap/>
            <w:vAlign w:val="bottom"/>
            <w:hideMark/>
          </w:tcPr>
          <w:p w14:paraId="127E564A"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Interest Charges</w:t>
            </w:r>
          </w:p>
        </w:tc>
        <w:tc>
          <w:tcPr>
            <w:tcW w:w="1360" w:type="dxa"/>
            <w:tcBorders>
              <w:top w:val="nil"/>
              <w:left w:val="nil"/>
              <w:bottom w:val="nil"/>
              <w:right w:val="nil"/>
            </w:tcBorders>
            <w:shd w:val="clear" w:color="auto" w:fill="auto"/>
            <w:noWrap/>
            <w:vAlign w:val="bottom"/>
            <w:hideMark/>
          </w:tcPr>
          <w:p w14:paraId="13C113D3"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-5,794</w:t>
            </w:r>
          </w:p>
        </w:tc>
        <w:tc>
          <w:tcPr>
            <w:tcW w:w="1360" w:type="dxa"/>
            <w:tcBorders>
              <w:top w:val="nil"/>
              <w:left w:val="nil"/>
              <w:bottom w:val="nil"/>
              <w:right w:val="nil"/>
            </w:tcBorders>
            <w:shd w:val="clear" w:color="auto" w:fill="auto"/>
            <w:noWrap/>
            <w:vAlign w:val="bottom"/>
            <w:hideMark/>
          </w:tcPr>
          <w:p w14:paraId="71224F4E"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-6,304</w:t>
            </w:r>
          </w:p>
        </w:tc>
        <w:tc>
          <w:tcPr>
            <w:tcW w:w="1360" w:type="dxa"/>
            <w:tcBorders>
              <w:top w:val="nil"/>
              <w:left w:val="nil"/>
              <w:bottom w:val="nil"/>
              <w:right w:val="nil"/>
            </w:tcBorders>
            <w:shd w:val="clear" w:color="auto" w:fill="auto"/>
            <w:noWrap/>
            <w:vAlign w:val="bottom"/>
            <w:hideMark/>
          </w:tcPr>
          <w:p w14:paraId="4C495261"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-6,808</w:t>
            </w:r>
          </w:p>
        </w:tc>
      </w:tr>
      <w:tr w:rsidR="00C31832" w:rsidRPr="00C31832" w14:paraId="65CC832A" w14:textId="77777777" w:rsidTr="001F24A6">
        <w:trPr>
          <w:trHeight w:val="210"/>
        </w:trPr>
        <w:tc>
          <w:tcPr>
            <w:tcW w:w="4183" w:type="dxa"/>
            <w:tcBorders>
              <w:top w:val="nil"/>
              <w:left w:val="nil"/>
              <w:bottom w:val="nil"/>
              <w:right w:val="nil"/>
            </w:tcBorders>
            <w:shd w:val="clear" w:color="auto" w:fill="auto"/>
            <w:noWrap/>
            <w:vAlign w:val="bottom"/>
            <w:hideMark/>
          </w:tcPr>
          <w:p w14:paraId="3AEF9D01"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Investment Returns &amp; Finance Servicing</w:t>
            </w:r>
          </w:p>
        </w:tc>
        <w:tc>
          <w:tcPr>
            <w:tcW w:w="1360" w:type="dxa"/>
            <w:tcBorders>
              <w:top w:val="single" w:sz="8" w:space="0" w:color="000000"/>
              <w:left w:val="nil"/>
              <w:bottom w:val="nil"/>
              <w:right w:val="nil"/>
            </w:tcBorders>
            <w:shd w:val="clear" w:color="auto" w:fill="auto"/>
            <w:noWrap/>
            <w:vAlign w:val="bottom"/>
            <w:hideMark/>
          </w:tcPr>
          <w:p w14:paraId="156712A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-5,734</w:t>
            </w:r>
          </w:p>
        </w:tc>
        <w:tc>
          <w:tcPr>
            <w:tcW w:w="1360" w:type="dxa"/>
            <w:tcBorders>
              <w:top w:val="single" w:sz="8" w:space="0" w:color="000000"/>
              <w:left w:val="nil"/>
              <w:bottom w:val="nil"/>
              <w:right w:val="nil"/>
            </w:tcBorders>
            <w:shd w:val="clear" w:color="auto" w:fill="auto"/>
            <w:noWrap/>
            <w:vAlign w:val="bottom"/>
            <w:hideMark/>
          </w:tcPr>
          <w:p w14:paraId="2E43114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-6,259</w:t>
            </w:r>
          </w:p>
        </w:tc>
        <w:tc>
          <w:tcPr>
            <w:tcW w:w="1360" w:type="dxa"/>
            <w:tcBorders>
              <w:top w:val="single" w:sz="8" w:space="0" w:color="000000"/>
              <w:left w:val="nil"/>
              <w:bottom w:val="nil"/>
              <w:right w:val="nil"/>
            </w:tcBorders>
            <w:shd w:val="clear" w:color="auto" w:fill="auto"/>
            <w:noWrap/>
            <w:vAlign w:val="bottom"/>
            <w:hideMark/>
          </w:tcPr>
          <w:p w14:paraId="5DFA48E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-6,702</w:t>
            </w:r>
          </w:p>
        </w:tc>
      </w:tr>
      <w:tr w:rsidR="00C31832" w:rsidRPr="00C31832" w14:paraId="27D1ED34" w14:textId="77777777" w:rsidTr="001F24A6">
        <w:trPr>
          <w:trHeight w:val="210"/>
        </w:trPr>
        <w:tc>
          <w:tcPr>
            <w:tcW w:w="4183" w:type="dxa"/>
            <w:tcBorders>
              <w:top w:val="nil"/>
              <w:left w:val="nil"/>
              <w:bottom w:val="nil"/>
              <w:right w:val="nil"/>
            </w:tcBorders>
            <w:shd w:val="clear" w:color="000000" w:fill="E1E1E1"/>
            <w:noWrap/>
            <w:vAlign w:val="bottom"/>
            <w:hideMark/>
          </w:tcPr>
          <w:p w14:paraId="4395C0DC"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INVESTING ACTIVITIES</w:t>
            </w:r>
          </w:p>
        </w:tc>
        <w:tc>
          <w:tcPr>
            <w:tcW w:w="1360" w:type="dxa"/>
            <w:tcBorders>
              <w:top w:val="nil"/>
              <w:left w:val="nil"/>
              <w:bottom w:val="nil"/>
              <w:right w:val="nil"/>
            </w:tcBorders>
            <w:shd w:val="clear" w:color="000000" w:fill="E1E1E1"/>
            <w:noWrap/>
            <w:vAlign w:val="bottom"/>
            <w:hideMark/>
          </w:tcPr>
          <w:p w14:paraId="63148C24"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26512137"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1173F02F"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r>
      <w:tr w:rsidR="00C31832" w:rsidRPr="00C31832" w14:paraId="3F8AA539" w14:textId="77777777" w:rsidTr="001F24A6">
        <w:trPr>
          <w:trHeight w:val="210"/>
        </w:trPr>
        <w:tc>
          <w:tcPr>
            <w:tcW w:w="4183" w:type="dxa"/>
            <w:tcBorders>
              <w:top w:val="nil"/>
              <w:left w:val="nil"/>
              <w:bottom w:val="nil"/>
              <w:right w:val="nil"/>
            </w:tcBorders>
            <w:shd w:val="clear" w:color="auto" w:fill="auto"/>
            <w:noWrap/>
            <w:vAlign w:val="bottom"/>
            <w:hideMark/>
          </w:tcPr>
          <w:p w14:paraId="3B85AB39"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Acquisition And Construction Of Properties</w:t>
            </w:r>
          </w:p>
        </w:tc>
        <w:tc>
          <w:tcPr>
            <w:tcW w:w="1360" w:type="dxa"/>
            <w:tcBorders>
              <w:top w:val="nil"/>
              <w:left w:val="nil"/>
              <w:bottom w:val="nil"/>
              <w:right w:val="nil"/>
            </w:tcBorders>
            <w:shd w:val="clear" w:color="auto" w:fill="auto"/>
            <w:noWrap/>
            <w:vAlign w:val="bottom"/>
            <w:hideMark/>
          </w:tcPr>
          <w:p w14:paraId="1206808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-38,139</w:t>
            </w:r>
          </w:p>
        </w:tc>
        <w:tc>
          <w:tcPr>
            <w:tcW w:w="1360" w:type="dxa"/>
            <w:tcBorders>
              <w:top w:val="nil"/>
              <w:left w:val="nil"/>
              <w:bottom w:val="nil"/>
              <w:right w:val="nil"/>
            </w:tcBorders>
            <w:shd w:val="clear" w:color="auto" w:fill="auto"/>
            <w:noWrap/>
            <w:vAlign w:val="bottom"/>
            <w:hideMark/>
          </w:tcPr>
          <w:p w14:paraId="1E7E68B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-21,861</w:t>
            </w:r>
          </w:p>
        </w:tc>
        <w:tc>
          <w:tcPr>
            <w:tcW w:w="1360" w:type="dxa"/>
            <w:tcBorders>
              <w:top w:val="nil"/>
              <w:left w:val="nil"/>
              <w:bottom w:val="nil"/>
              <w:right w:val="nil"/>
            </w:tcBorders>
            <w:shd w:val="clear" w:color="auto" w:fill="auto"/>
            <w:noWrap/>
            <w:vAlign w:val="bottom"/>
            <w:hideMark/>
          </w:tcPr>
          <w:p w14:paraId="7283A62B"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-28,332</w:t>
            </w:r>
          </w:p>
        </w:tc>
      </w:tr>
      <w:tr w:rsidR="00C31832" w:rsidRPr="00C31832" w14:paraId="244C976E" w14:textId="77777777" w:rsidTr="001F24A6">
        <w:trPr>
          <w:trHeight w:val="210"/>
        </w:trPr>
        <w:tc>
          <w:tcPr>
            <w:tcW w:w="4183" w:type="dxa"/>
            <w:tcBorders>
              <w:top w:val="nil"/>
              <w:left w:val="nil"/>
              <w:bottom w:val="nil"/>
              <w:right w:val="nil"/>
            </w:tcBorders>
            <w:shd w:val="clear" w:color="auto" w:fill="auto"/>
            <w:noWrap/>
            <w:vAlign w:val="bottom"/>
            <w:hideMark/>
          </w:tcPr>
          <w:p w14:paraId="44F1613C"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Purchase Of Other Fixed Assets</w:t>
            </w:r>
          </w:p>
        </w:tc>
        <w:tc>
          <w:tcPr>
            <w:tcW w:w="1360" w:type="dxa"/>
            <w:tcBorders>
              <w:top w:val="nil"/>
              <w:left w:val="nil"/>
              <w:bottom w:val="nil"/>
              <w:right w:val="nil"/>
            </w:tcBorders>
            <w:shd w:val="clear" w:color="auto" w:fill="auto"/>
            <w:noWrap/>
            <w:vAlign w:val="bottom"/>
            <w:hideMark/>
          </w:tcPr>
          <w:p w14:paraId="7B2C195A"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-240</w:t>
            </w:r>
          </w:p>
        </w:tc>
        <w:tc>
          <w:tcPr>
            <w:tcW w:w="1360" w:type="dxa"/>
            <w:tcBorders>
              <w:top w:val="nil"/>
              <w:left w:val="nil"/>
              <w:bottom w:val="nil"/>
              <w:right w:val="nil"/>
            </w:tcBorders>
            <w:shd w:val="clear" w:color="auto" w:fill="auto"/>
            <w:noWrap/>
            <w:vAlign w:val="bottom"/>
            <w:hideMark/>
          </w:tcPr>
          <w:p w14:paraId="65D59AB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-246</w:t>
            </w:r>
          </w:p>
        </w:tc>
        <w:tc>
          <w:tcPr>
            <w:tcW w:w="1360" w:type="dxa"/>
            <w:tcBorders>
              <w:top w:val="nil"/>
              <w:left w:val="nil"/>
              <w:bottom w:val="nil"/>
              <w:right w:val="nil"/>
            </w:tcBorders>
            <w:shd w:val="clear" w:color="auto" w:fill="auto"/>
            <w:noWrap/>
            <w:vAlign w:val="bottom"/>
            <w:hideMark/>
          </w:tcPr>
          <w:p w14:paraId="4E9E270A"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-251</w:t>
            </w:r>
          </w:p>
        </w:tc>
      </w:tr>
      <w:tr w:rsidR="00C31832" w:rsidRPr="00C31832" w14:paraId="79C9AB6E" w14:textId="77777777" w:rsidTr="001F24A6">
        <w:trPr>
          <w:trHeight w:val="210"/>
        </w:trPr>
        <w:tc>
          <w:tcPr>
            <w:tcW w:w="4183" w:type="dxa"/>
            <w:tcBorders>
              <w:top w:val="nil"/>
              <w:left w:val="nil"/>
              <w:bottom w:val="nil"/>
              <w:right w:val="nil"/>
            </w:tcBorders>
            <w:shd w:val="clear" w:color="auto" w:fill="auto"/>
            <w:noWrap/>
            <w:vAlign w:val="bottom"/>
            <w:hideMark/>
          </w:tcPr>
          <w:p w14:paraId="295A26E9"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Grants</w:t>
            </w:r>
          </w:p>
        </w:tc>
        <w:tc>
          <w:tcPr>
            <w:tcW w:w="1360" w:type="dxa"/>
            <w:tcBorders>
              <w:top w:val="nil"/>
              <w:left w:val="nil"/>
              <w:bottom w:val="nil"/>
              <w:right w:val="nil"/>
            </w:tcBorders>
            <w:shd w:val="clear" w:color="auto" w:fill="auto"/>
            <w:noWrap/>
            <w:vAlign w:val="bottom"/>
            <w:hideMark/>
          </w:tcPr>
          <w:p w14:paraId="02938B38"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3,819</w:t>
            </w:r>
          </w:p>
        </w:tc>
        <w:tc>
          <w:tcPr>
            <w:tcW w:w="1360" w:type="dxa"/>
            <w:tcBorders>
              <w:top w:val="nil"/>
              <w:left w:val="nil"/>
              <w:bottom w:val="nil"/>
              <w:right w:val="nil"/>
            </w:tcBorders>
            <w:shd w:val="clear" w:color="auto" w:fill="auto"/>
            <w:noWrap/>
            <w:vAlign w:val="bottom"/>
            <w:hideMark/>
          </w:tcPr>
          <w:p w14:paraId="71509D43"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2,162</w:t>
            </w:r>
          </w:p>
        </w:tc>
        <w:tc>
          <w:tcPr>
            <w:tcW w:w="1360" w:type="dxa"/>
            <w:tcBorders>
              <w:top w:val="nil"/>
              <w:left w:val="nil"/>
              <w:bottom w:val="nil"/>
              <w:right w:val="nil"/>
            </w:tcBorders>
            <w:shd w:val="clear" w:color="auto" w:fill="auto"/>
            <w:noWrap/>
            <w:vAlign w:val="bottom"/>
            <w:hideMark/>
          </w:tcPr>
          <w:p w14:paraId="3CADFCD7"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2,411</w:t>
            </w:r>
          </w:p>
        </w:tc>
      </w:tr>
      <w:tr w:rsidR="00C31832" w:rsidRPr="00C31832" w14:paraId="67FC919B" w14:textId="77777777" w:rsidTr="001F24A6">
        <w:trPr>
          <w:trHeight w:val="225"/>
        </w:trPr>
        <w:tc>
          <w:tcPr>
            <w:tcW w:w="4183" w:type="dxa"/>
            <w:tcBorders>
              <w:top w:val="nil"/>
              <w:left w:val="nil"/>
              <w:bottom w:val="nil"/>
              <w:right w:val="nil"/>
            </w:tcBorders>
            <w:shd w:val="clear" w:color="auto" w:fill="auto"/>
            <w:noWrap/>
            <w:vAlign w:val="bottom"/>
            <w:hideMark/>
          </w:tcPr>
          <w:p w14:paraId="48C2874F"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Sales Of Properties</w:t>
            </w:r>
          </w:p>
        </w:tc>
        <w:tc>
          <w:tcPr>
            <w:tcW w:w="1360" w:type="dxa"/>
            <w:tcBorders>
              <w:top w:val="nil"/>
              <w:left w:val="nil"/>
              <w:bottom w:val="nil"/>
              <w:right w:val="nil"/>
            </w:tcBorders>
            <w:shd w:val="clear" w:color="auto" w:fill="auto"/>
            <w:noWrap/>
            <w:vAlign w:val="bottom"/>
            <w:hideMark/>
          </w:tcPr>
          <w:p w14:paraId="69CDAE59"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2,351</w:t>
            </w:r>
          </w:p>
        </w:tc>
        <w:tc>
          <w:tcPr>
            <w:tcW w:w="1360" w:type="dxa"/>
            <w:tcBorders>
              <w:top w:val="nil"/>
              <w:left w:val="nil"/>
              <w:bottom w:val="nil"/>
              <w:right w:val="nil"/>
            </w:tcBorders>
            <w:shd w:val="clear" w:color="auto" w:fill="auto"/>
            <w:noWrap/>
            <w:vAlign w:val="bottom"/>
            <w:hideMark/>
          </w:tcPr>
          <w:p w14:paraId="12A68592"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7,715</w:t>
            </w:r>
          </w:p>
        </w:tc>
        <w:tc>
          <w:tcPr>
            <w:tcW w:w="1360" w:type="dxa"/>
            <w:tcBorders>
              <w:top w:val="nil"/>
              <w:left w:val="nil"/>
              <w:bottom w:val="nil"/>
              <w:right w:val="nil"/>
            </w:tcBorders>
            <w:shd w:val="clear" w:color="auto" w:fill="auto"/>
            <w:noWrap/>
            <w:vAlign w:val="bottom"/>
            <w:hideMark/>
          </w:tcPr>
          <w:p w14:paraId="195EE179"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8,782</w:t>
            </w:r>
          </w:p>
        </w:tc>
      </w:tr>
      <w:tr w:rsidR="00C31832" w:rsidRPr="00C31832" w14:paraId="37C629CC" w14:textId="77777777" w:rsidTr="001F24A6">
        <w:trPr>
          <w:trHeight w:val="210"/>
        </w:trPr>
        <w:tc>
          <w:tcPr>
            <w:tcW w:w="4183" w:type="dxa"/>
            <w:tcBorders>
              <w:top w:val="nil"/>
              <w:left w:val="nil"/>
              <w:bottom w:val="nil"/>
              <w:right w:val="nil"/>
            </w:tcBorders>
            <w:shd w:val="clear" w:color="auto" w:fill="auto"/>
            <w:noWrap/>
            <w:vAlign w:val="bottom"/>
            <w:hideMark/>
          </w:tcPr>
          <w:p w14:paraId="5F6ADF6B"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Investment Activities</w:t>
            </w:r>
          </w:p>
        </w:tc>
        <w:tc>
          <w:tcPr>
            <w:tcW w:w="1360" w:type="dxa"/>
            <w:tcBorders>
              <w:top w:val="single" w:sz="8" w:space="0" w:color="000000"/>
              <w:left w:val="nil"/>
              <w:bottom w:val="nil"/>
              <w:right w:val="nil"/>
            </w:tcBorders>
            <w:shd w:val="clear" w:color="auto" w:fill="auto"/>
            <w:noWrap/>
            <w:vAlign w:val="bottom"/>
            <w:hideMark/>
          </w:tcPr>
          <w:p w14:paraId="2209EC3B"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-32,209</w:t>
            </w:r>
          </w:p>
        </w:tc>
        <w:tc>
          <w:tcPr>
            <w:tcW w:w="1360" w:type="dxa"/>
            <w:tcBorders>
              <w:top w:val="single" w:sz="8" w:space="0" w:color="000000"/>
              <w:left w:val="nil"/>
              <w:bottom w:val="nil"/>
              <w:right w:val="nil"/>
            </w:tcBorders>
            <w:shd w:val="clear" w:color="auto" w:fill="auto"/>
            <w:noWrap/>
            <w:vAlign w:val="bottom"/>
            <w:hideMark/>
          </w:tcPr>
          <w:p w14:paraId="71B85D89"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-12,231</w:t>
            </w:r>
          </w:p>
        </w:tc>
        <w:tc>
          <w:tcPr>
            <w:tcW w:w="1360" w:type="dxa"/>
            <w:tcBorders>
              <w:top w:val="single" w:sz="8" w:space="0" w:color="000000"/>
              <w:left w:val="nil"/>
              <w:bottom w:val="nil"/>
              <w:right w:val="nil"/>
            </w:tcBorders>
            <w:shd w:val="clear" w:color="auto" w:fill="auto"/>
            <w:noWrap/>
            <w:vAlign w:val="bottom"/>
            <w:hideMark/>
          </w:tcPr>
          <w:p w14:paraId="48E94342"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-17,391</w:t>
            </w:r>
          </w:p>
        </w:tc>
      </w:tr>
      <w:tr w:rsidR="00C31832" w:rsidRPr="00C31832" w14:paraId="5DEDE44B" w14:textId="77777777" w:rsidTr="001F24A6">
        <w:trPr>
          <w:trHeight w:val="225"/>
        </w:trPr>
        <w:tc>
          <w:tcPr>
            <w:tcW w:w="4183" w:type="dxa"/>
            <w:tcBorders>
              <w:top w:val="nil"/>
              <w:left w:val="nil"/>
              <w:bottom w:val="nil"/>
              <w:right w:val="nil"/>
            </w:tcBorders>
            <w:shd w:val="clear" w:color="auto" w:fill="auto"/>
            <w:noWrap/>
            <w:vAlign w:val="bottom"/>
            <w:hideMark/>
          </w:tcPr>
          <w:p w14:paraId="483E4363" w14:textId="77777777" w:rsidR="00C31832" w:rsidRPr="00C31832" w:rsidRDefault="00C31832" w:rsidP="00D242B4">
            <w:pPr>
              <w:rPr>
                <w:rFonts w:ascii="Segoe UI" w:eastAsia="Times New Roman" w:hAnsi="Segoe UI" w:cs="Segoe UI"/>
                <w:color w:val="FF0000"/>
                <w:sz w:val="16"/>
                <w:szCs w:val="16"/>
                <w:lang w:eastAsia="en-GB"/>
              </w:rPr>
            </w:pPr>
          </w:p>
        </w:tc>
        <w:tc>
          <w:tcPr>
            <w:tcW w:w="1360" w:type="dxa"/>
            <w:tcBorders>
              <w:top w:val="nil"/>
              <w:left w:val="nil"/>
              <w:bottom w:val="nil"/>
              <w:right w:val="nil"/>
            </w:tcBorders>
            <w:shd w:val="clear" w:color="auto" w:fill="auto"/>
            <w:noWrap/>
            <w:vAlign w:val="bottom"/>
            <w:hideMark/>
          </w:tcPr>
          <w:p w14:paraId="17AC035C"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3D09A475"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35F6F3A5"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65E59147" w14:textId="77777777" w:rsidTr="001F24A6">
        <w:trPr>
          <w:trHeight w:val="210"/>
        </w:trPr>
        <w:tc>
          <w:tcPr>
            <w:tcW w:w="4183" w:type="dxa"/>
            <w:tcBorders>
              <w:top w:val="nil"/>
              <w:left w:val="nil"/>
              <w:bottom w:val="nil"/>
              <w:right w:val="nil"/>
            </w:tcBorders>
            <w:shd w:val="clear" w:color="auto" w:fill="auto"/>
            <w:noWrap/>
            <w:vAlign w:val="bottom"/>
            <w:hideMark/>
          </w:tcPr>
          <w:p w14:paraId="0A5C0BE8"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Before Financing</w:t>
            </w:r>
          </w:p>
        </w:tc>
        <w:tc>
          <w:tcPr>
            <w:tcW w:w="1360" w:type="dxa"/>
            <w:tcBorders>
              <w:top w:val="single" w:sz="8" w:space="0" w:color="000000"/>
              <w:left w:val="nil"/>
              <w:bottom w:val="nil"/>
              <w:right w:val="nil"/>
            </w:tcBorders>
            <w:shd w:val="clear" w:color="auto" w:fill="auto"/>
            <w:noWrap/>
            <w:vAlign w:val="bottom"/>
            <w:hideMark/>
          </w:tcPr>
          <w:p w14:paraId="08418406"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-27,505</w:t>
            </w:r>
          </w:p>
        </w:tc>
        <w:tc>
          <w:tcPr>
            <w:tcW w:w="1360" w:type="dxa"/>
            <w:tcBorders>
              <w:top w:val="single" w:sz="8" w:space="0" w:color="000000"/>
              <w:left w:val="nil"/>
              <w:bottom w:val="nil"/>
              <w:right w:val="nil"/>
            </w:tcBorders>
            <w:shd w:val="clear" w:color="auto" w:fill="auto"/>
            <w:noWrap/>
            <w:vAlign w:val="bottom"/>
            <w:hideMark/>
          </w:tcPr>
          <w:p w14:paraId="54728B42"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-2,186</w:t>
            </w:r>
          </w:p>
        </w:tc>
        <w:tc>
          <w:tcPr>
            <w:tcW w:w="1360" w:type="dxa"/>
            <w:tcBorders>
              <w:top w:val="single" w:sz="8" w:space="0" w:color="000000"/>
              <w:left w:val="nil"/>
              <w:bottom w:val="nil"/>
              <w:right w:val="nil"/>
            </w:tcBorders>
            <w:shd w:val="clear" w:color="auto" w:fill="auto"/>
            <w:noWrap/>
            <w:vAlign w:val="bottom"/>
            <w:hideMark/>
          </w:tcPr>
          <w:p w14:paraId="49553BD7"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-16,152</w:t>
            </w:r>
          </w:p>
        </w:tc>
      </w:tr>
      <w:tr w:rsidR="00C31832" w:rsidRPr="00C31832" w14:paraId="73E0FFA2" w14:textId="77777777" w:rsidTr="001F24A6">
        <w:trPr>
          <w:trHeight w:val="210"/>
        </w:trPr>
        <w:tc>
          <w:tcPr>
            <w:tcW w:w="4183" w:type="dxa"/>
            <w:tcBorders>
              <w:top w:val="nil"/>
              <w:left w:val="nil"/>
              <w:bottom w:val="nil"/>
              <w:right w:val="nil"/>
            </w:tcBorders>
            <w:shd w:val="clear" w:color="000000" w:fill="E1E1E1"/>
            <w:noWrap/>
            <w:vAlign w:val="bottom"/>
            <w:hideMark/>
          </w:tcPr>
          <w:p w14:paraId="3D66E18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FINANCING</w:t>
            </w:r>
          </w:p>
        </w:tc>
        <w:tc>
          <w:tcPr>
            <w:tcW w:w="1360" w:type="dxa"/>
            <w:tcBorders>
              <w:top w:val="nil"/>
              <w:left w:val="nil"/>
              <w:bottom w:val="nil"/>
              <w:right w:val="nil"/>
            </w:tcBorders>
            <w:shd w:val="clear" w:color="000000" w:fill="E1E1E1"/>
            <w:noWrap/>
            <w:vAlign w:val="bottom"/>
            <w:hideMark/>
          </w:tcPr>
          <w:p w14:paraId="2EE7B092"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096D9C6C"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c>
          <w:tcPr>
            <w:tcW w:w="1360" w:type="dxa"/>
            <w:tcBorders>
              <w:top w:val="nil"/>
              <w:left w:val="nil"/>
              <w:bottom w:val="nil"/>
              <w:right w:val="nil"/>
            </w:tcBorders>
            <w:shd w:val="clear" w:color="000000" w:fill="E1E1E1"/>
            <w:noWrap/>
            <w:vAlign w:val="bottom"/>
            <w:hideMark/>
          </w:tcPr>
          <w:p w14:paraId="4D16845F"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 </w:t>
            </w:r>
          </w:p>
        </w:tc>
      </w:tr>
      <w:tr w:rsidR="00C31832" w:rsidRPr="00C31832" w14:paraId="5DA592E8" w14:textId="77777777" w:rsidTr="001F24A6">
        <w:trPr>
          <w:trHeight w:val="210"/>
        </w:trPr>
        <w:tc>
          <w:tcPr>
            <w:tcW w:w="4183" w:type="dxa"/>
            <w:tcBorders>
              <w:top w:val="nil"/>
              <w:left w:val="nil"/>
              <w:bottom w:val="nil"/>
              <w:right w:val="nil"/>
            </w:tcBorders>
            <w:shd w:val="clear" w:color="auto" w:fill="auto"/>
            <w:noWrap/>
            <w:vAlign w:val="bottom"/>
            <w:hideMark/>
          </w:tcPr>
          <w:p w14:paraId="19BBE2D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Equity Drawdown</w:t>
            </w:r>
          </w:p>
        </w:tc>
        <w:tc>
          <w:tcPr>
            <w:tcW w:w="1360" w:type="dxa"/>
            <w:tcBorders>
              <w:top w:val="nil"/>
              <w:left w:val="nil"/>
              <w:bottom w:val="nil"/>
              <w:right w:val="nil"/>
            </w:tcBorders>
            <w:shd w:val="clear" w:color="auto" w:fill="auto"/>
            <w:noWrap/>
            <w:vAlign w:val="bottom"/>
            <w:hideMark/>
          </w:tcPr>
          <w:p w14:paraId="57FAF93F" w14:textId="77777777" w:rsidR="00C31832" w:rsidRPr="00C31832" w:rsidRDefault="00C31832" w:rsidP="00D242B4">
            <w:pPr>
              <w:rPr>
                <w:rFonts w:ascii="Segoe UI" w:eastAsia="Times New Roman" w:hAnsi="Segoe UI" w:cs="Segoe UI"/>
                <w:b/>
                <w:bCs/>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5238D23B"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68E6144C"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2EE225AC" w14:textId="77777777" w:rsidTr="001F24A6">
        <w:trPr>
          <w:trHeight w:val="210"/>
        </w:trPr>
        <w:tc>
          <w:tcPr>
            <w:tcW w:w="4183" w:type="dxa"/>
            <w:tcBorders>
              <w:top w:val="nil"/>
              <w:left w:val="nil"/>
              <w:bottom w:val="nil"/>
              <w:right w:val="nil"/>
            </w:tcBorders>
            <w:shd w:val="clear" w:color="auto" w:fill="auto"/>
            <w:noWrap/>
            <w:vAlign w:val="bottom"/>
            <w:hideMark/>
          </w:tcPr>
          <w:p w14:paraId="3401AC51"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Loan Draw downs</w:t>
            </w:r>
          </w:p>
        </w:tc>
        <w:tc>
          <w:tcPr>
            <w:tcW w:w="1360" w:type="dxa"/>
            <w:tcBorders>
              <w:top w:val="nil"/>
              <w:left w:val="nil"/>
              <w:bottom w:val="nil"/>
              <w:right w:val="nil"/>
            </w:tcBorders>
            <w:shd w:val="clear" w:color="auto" w:fill="auto"/>
            <w:noWrap/>
            <w:vAlign w:val="bottom"/>
            <w:hideMark/>
          </w:tcPr>
          <w:p w14:paraId="3F3C77B1"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23,116</w:t>
            </w:r>
          </w:p>
        </w:tc>
        <w:tc>
          <w:tcPr>
            <w:tcW w:w="1360" w:type="dxa"/>
            <w:tcBorders>
              <w:top w:val="nil"/>
              <w:left w:val="nil"/>
              <w:bottom w:val="nil"/>
              <w:right w:val="nil"/>
            </w:tcBorders>
            <w:shd w:val="clear" w:color="auto" w:fill="auto"/>
            <w:noWrap/>
            <w:vAlign w:val="bottom"/>
            <w:hideMark/>
          </w:tcPr>
          <w:p w14:paraId="0DC89A18"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13,884</w:t>
            </w:r>
          </w:p>
        </w:tc>
        <w:tc>
          <w:tcPr>
            <w:tcW w:w="1360" w:type="dxa"/>
            <w:tcBorders>
              <w:top w:val="nil"/>
              <w:left w:val="nil"/>
              <w:bottom w:val="nil"/>
              <w:right w:val="nil"/>
            </w:tcBorders>
            <w:shd w:val="clear" w:color="auto" w:fill="auto"/>
            <w:noWrap/>
            <w:vAlign w:val="bottom"/>
            <w:hideMark/>
          </w:tcPr>
          <w:p w14:paraId="63CC478F" w14:textId="77777777" w:rsidR="00C31832" w:rsidRPr="00C31832" w:rsidRDefault="00C31832" w:rsidP="00D242B4">
            <w:pPr>
              <w:rPr>
                <w:rFonts w:ascii="Segoe UI" w:eastAsia="Times New Roman" w:hAnsi="Segoe UI" w:cs="Segoe UI"/>
                <w:color w:val="000000"/>
                <w:sz w:val="16"/>
                <w:szCs w:val="16"/>
                <w:lang w:eastAsia="en-GB"/>
              </w:rPr>
            </w:pPr>
          </w:p>
        </w:tc>
      </w:tr>
      <w:tr w:rsidR="00C31832" w:rsidRPr="00C31832" w14:paraId="1E698E70" w14:textId="77777777" w:rsidTr="001F24A6">
        <w:trPr>
          <w:trHeight w:val="210"/>
        </w:trPr>
        <w:tc>
          <w:tcPr>
            <w:tcW w:w="4183" w:type="dxa"/>
            <w:tcBorders>
              <w:top w:val="nil"/>
              <w:left w:val="nil"/>
              <w:bottom w:val="nil"/>
              <w:right w:val="nil"/>
            </w:tcBorders>
            <w:shd w:val="clear" w:color="auto" w:fill="auto"/>
            <w:noWrap/>
            <w:vAlign w:val="bottom"/>
            <w:hideMark/>
          </w:tcPr>
          <w:p w14:paraId="34CC0077"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Capital Repayments</w:t>
            </w:r>
          </w:p>
        </w:tc>
        <w:tc>
          <w:tcPr>
            <w:tcW w:w="1360" w:type="dxa"/>
            <w:tcBorders>
              <w:top w:val="nil"/>
              <w:left w:val="nil"/>
              <w:bottom w:val="nil"/>
              <w:right w:val="nil"/>
            </w:tcBorders>
            <w:shd w:val="clear" w:color="auto" w:fill="auto"/>
            <w:noWrap/>
            <w:vAlign w:val="bottom"/>
            <w:hideMark/>
          </w:tcPr>
          <w:p w14:paraId="113AABED"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-2,577</w:t>
            </w:r>
          </w:p>
        </w:tc>
        <w:tc>
          <w:tcPr>
            <w:tcW w:w="1360" w:type="dxa"/>
            <w:tcBorders>
              <w:top w:val="nil"/>
              <w:left w:val="nil"/>
              <w:bottom w:val="nil"/>
              <w:right w:val="nil"/>
            </w:tcBorders>
            <w:shd w:val="clear" w:color="auto" w:fill="auto"/>
            <w:noWrap/>
            <w:vAlign w:val="bottom"/>
            <w:hideMark/>
          </w:tcPr>
          <w:p w14:paraId="12E25CA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-1,183</w:t>
            </w:r>
          </w:p>
        </w:tc>
        <w:tc>
          <w:tcPr>
            <w:tcW w:w="1360" w:type="dxa"/>
            <w:tcBorders>
              <w:top w:val="nil"/>
              <w:left w:val="nil"/>
              <w:bottom w:val="nil"/>
              <w:right w:val="nil"/>
            </w:tcBorders>
            <w:shd w:val="clear" w:color="auto" w:fill="auto"/>
            <w:noWrap/>
            <w:vAlign w:val="bottom"/>
            <w:hideMark/>
          </w:tcPr>
          <w:p w14:paraId="1108EC9A"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-9,699</w:t>
            </w:r>
          </w:p>
        </w:tc>
      </w:tr>
      <w:tr w:rsidR="00C31832" w:rsidRPr="00C31832" w14:paraId="53AE5B3C" w14:textId="77777777" w:rsidTr="001F24A6">
        <w:trPr>
          <w:trHeight w:val="210"/>
        </w:trPr>
        <w:tc>
          <w:tcPr>
            <w:tcW w:w="4183" w:type="dxa"/>
            <w:tcBorders>
              <w:top w:val="nil"/>
              <w:left w:val="nil"/>
              <w:bottom w:val="nil"/>
              <w:right w:val="nil"/>
            </w:tcBorders>
            <w:shd w:val="clear" w:color="auto" w:fill="auto"/>
            <w:noWrap/>
            <w:vAlign w:val="bottom"/>
            <w:hideMark/>
          </w:tcPr>
          <w:p w14:paraId="528A24E5" w14:textId="77777777" w:rsidR="00C31832" w:rsidRPr="00C31832" w:rsidRDefault="00C31832" w:rsidP="00D242B4">
            <w:pPr>
              <w:rPr>
                <w:rFonts w:ascii="Segoe UI" w:eastAsia="Times New Roman" w:hAnsi="Segoe UI" w:cs="Segoe UI"/>
                <w:b/>
                <w:bCs/>
                <w:color w:val="E67F00"/>
                <w:sz w:val="16"/>
                <w:szCs w:val="16"/>
                <w:lang w:eastAsia="en-GB"/>
              </w:rPr>
            </w:pPr>
            <w:r w:rsidRPr="00C31832">
              <w:rPr>
                <w:rFonts w:ascii="Segoe UI" w:eastAsia="Times New Roman" w:hAnsi="Segoe UI" w:cs="Segoe UI"/>
                <w:b/>
                <w:bCs/>
                <w:color w:val="E67F00"/>
                <w:sz w:val="16"/>
                <w:szCs w:val="16"/>
                <w:lang w:eastAsia="en-GB"/>
              </w:rPr>
              <w:t>Loan Working Capital Movements</w:t>
            </w:r>
          </w:p>
        </w:tc>
        <w:tc>
          <w:tcPr>
            <w:tcW w:w="1360" w:type="dxa"/>
            <w:tcBorders>
              <w:top w:val="nil"/>
              <w:left w:val="nil"/>
              <w:bottom w:val="nil"/>
              <w:right w:val="nil"/>
            </w:tcBorders>
            <w:shd w:val="clear" w:color="auto" w:fill="auto"/>
            <w:noWrap/>
            <w:vAlign w:val="bottom"/>
            <w:hideMark/>
          </w:tcPr>
          <w:p w14:paraId="18B6469A" w14:textId="77777777" w:rsidR="00C31832" w:rsidRPr="00C31832" w:rsidRDefault="00C31832" w:rsidP="00D242B4">
            <w:pPr>
              <w:rPr>
                <w:rFonts w:ascii="Segoe UI" w:eastAsia="Times New Roman" w:hAnsi="Segoe UI" w:cs="Segoe UI"/>
                <w:b/>
                <w:bCs/>
                <w:color w:val="E67F00"/>
                <w:sz w:val="16"/>
                <w:szCs w:val="16"/>
                <w:lang w:eastAsia="en-GB"/>
              </w:rPr>
            </w:pPr>
          </w:p>
        </w:tc>
        <w:tc>
          <w:tcPr>
            <w:tcW w:w="1360" w:type="dxa"/>
            <w:tcBorders>
              <w:top w:val="nil"/>
              <w:left w:val="nil"/>
              <w:bottom w:val="nil"/>
              <w:right w:val="nil"/>
            </w:tcBorders>
            <w:shd w:val="clear" w:color="auto" w:fill="auto"/>
            <w:noWrap/>
            <w:vAlign w:val="bottom"/>
            <w:hideMark/>
          </w:tcPr>
          <w:p w14:paraId="23BF3A85" w14:textId="77777777" w:rsidR="00C31832" w:rsidRPr="00C31832" w:rsidRDefault="00C31832" w:rsidP="00D242B4">
            <w:pPr>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7A34B91C"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42E6A968" w14:textId="77777777" w:rsidTr="001F24A6">
        <w:trPr>
          <w:trHeight w:val="210"/>
        </w:trPr>
        <w:tc>
          <w:tcPr>
            <w:tcW w:w="4183" w:type="dxa"/>
            <w:tcBorders>
              <w:top w:val="nil"/>
              <w:left w:val="nil"/>
              <w:bottom w:val="nil"/>
              <w:right w:val="nil"/>
            </w:tcBorders>
            <w:shd w:val="clear" w:color="auto" w:fill="auto"/>
            <w:noWrap/>
            <w:vAlign w:val="bottom"/>
            <w:hideMark/>
          </w:tcPr>
          <w:p w14:paraId="62EEF492"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Working Capital Loan Drawdown</w:t>
            </w:r>
          </w:p>
        </w:tc>
        <w:tc>
          <w:tcPr>
            <w:tcW w:w="1360" w:type="dxa"/>
            <w:tcBorders>
              <w:top w:val="nil"/>
              <w:left w:val="nil"/>
              <w:bottom w:val="nil"/>
              <w:right w:val="nil"/>
            </w:tcBorders>
            <w:shd w:val="clear" w:color="auto" w:fill="auto"/>
            <w:noWrap/>
            <w:vAlign w:val="bottom"/>
            <w:hideMark/>
          </w:tcPr>
          <w:p w14:paraId="042974D6"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w:t>
            </w:r>
          </w:p>
        </w:tc>
        <w:tc>
          <w:tcPr>
            <w:tcW w:w="1360" w:type="dxa"/>
            <w:tcBorders>
              <w:top w:val="nil"/>
              <w:left w:val="nil"/>
              <w:bottom w:val="nil"/>
              <w:right w:val="nil"/>
            </w:tcBorders>
            <w:shd w:val="clear" w:color="auto" w:fill="auto"/>
            <w:noWrap/>
            <w:vAlign w:val="bottom"/>
            <w:hideMark/>
          </w:tcPr>
          <w:p w14:paraId="4573E985" w14:textId="77777777" w:rsidR="00C31832" w:rsidRPr="00C31832" w:rsidRDefault="00C31832" w:rsidP="00D242B4">
            <w:pPr>
              <w:rPr>
                <w:rFonts w:ascii="Segoe UI" w:eastAsia="Times New Roman" w:hAnsi="Segoe UI" w:cs="Segoe UI"/>
                <w:color w:val="000000"/>
                <w:sz w:val="16"/>
                <w:szCs w:val="16"/>
                <w:lang w:eastAsia="en-GB"/>
              </w:rPr>
            </w:pPr>
          </w:p>
        </w:tc>
        <w:tc>
          <w:tcPr>
            <w:tcW w:w="1360" w:type="dxa"/>
            <w:tcBorders>
              <w:top w:val="nil"/>
              <w:left w:val="nil"/>
              <w:bottom w:val="nil"/>
              <w:right w:val="nil"/>
            </w:tcBorders>
            <w:shd w:val="clear" w:color="auto" w:fill="auto"/>
            <w:noWrap/>
            <w:vAlign w:val="bottom"/>
            <w:hideMark/>
          </w:tcPr>
          <w:p w14:paraId="0AD25A80"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15,325</w:t>
            </w:r>
          </w:p>
        </w:tc>
      </w:tr>
      <w:tr w:rsidR="00C31832" w:rsidRPr="00C31832" w14:paraId="11A94AB2" w14:textId="77777777" w:rsidTr="001F24A6">
        <w:trPr>
          <w:trHeight w:val="225"/>
        </w:trPr>
        <w:tc>
          <w:tcPr>
            <w:tcW w:w="4183" w:type="dxa"/>
            <w:tcBorders>
              <w:top w:val="nil"/>
              <w:left w:val="nil"/>
              <w:bottom w:val="nil"/>
              <w:right w:val="nil"/>
            </w:tcBorders>
            <w:shd w:val="clear" w:color="auto" w:fill="auto"/>
            <w:noWrap/>
            <w:vAlign w:val="bottom"/>
            <w:hideMark/>
          </w:tcPr>
          <w:p w14:paraId="25FDCA82"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Working Capital Loan Repayment</w:t>
            </w:r>
          </w:p>
        </w:tc>
        <w:tc>
          <w:tcPr>
            <w:tcW w:w="1360" w:type="dxa"/>
            <w:tcBorders>
              <w:top w:val="nil"/>
              <w:left w:val="nil"/>
              <w:bottom w:val="nil"/>
              <w:right w:val="nil"/>
            </w:tcBorders>
            <w:shd w:val="clear" w:color="auto" w:fill="auto"/>
            <w:noWrap/>
            <w:vAlign w:val="bottom"/>
            <w:hideMark/>
          </w:tcPr>
          <w:p w14:paraId="144E9AE5" w14:textId="77777777" w:rsidR="00C31832" w:rsidRPr="00C31832" w:rsidRDefault="00C31832" w:rsidP="00D242B4">
            <w:pPr>
              <w:rPr>
                <w:rFonts w:ascii="Segoe UI" w:eastAsia="Times New Roman" w:hAnsi="Segoe UI" w:cs="Segoe UI"/>
                <w:color w:val="FF0000"/>
                <w:sz w:val="16"/>
                <w:szCs w:val="16"/>
                <w:lang w:eastAsia="en-GB"/>
              </w:rPr>
            </w:pPr>
            <w:r w:rsidRPr="00C31832">
              <w:rPr>
                <w:rFonts w:ascii="Segoe UI" w:eastAsia="Times New Roman" w:hAnsi="Segoe UI" w:cs="Segoe UI"/>
                <w:color w:val="FF0000"/>
                <w:sz w:val="16"/>
                <w:szCs w:val="16"/>
                <w:lang w:eastAsia="en-GB"/>
              </w:rPr>
              <w:t>-2</w:t>
            </w:r>
          </w:p>
        </w:tc>
        <w:tc>
          <w:tcPr>
            <w:tcW w:w="1360" w:type="dxa"/>
            <w:tcBorders>
              <w:top w:val="nil"/>
              <w:left w:val="nil"/>
              <w:bottom w:val="nil"/>
              <w:right w:val="nil"/>
            </w:tcBorders>
            <w:shd w:val="clear" w:color="auto" w:fill="auto"/>
            <w:noWrap/>
            <w:vAlign w:val="bottom"/>
            <w:hideMark/>
          </w:tcPr>
          <w:p w14:paraId="2699097A" w14:textId="77777777" w:rsidR="00C31832" w:rsidRPr="00C31832" w:rsidRDefault="00C31832" w:rsidP="00D242B4">
            <w:pPr>
              <w:rPr>
                <w:rFonts w:ascii="Segoe UI" w:eastAsia="Times New Roman" w:hAnsi="Segoe UI" w:cs="Segoe UI"/>
                <w:color w:val="FF0000"/>
                <w:sz w:val="16"/>
                <w:szCs w:val="16"/>
                <w:lang w:eastAsia="en-GB"/>
              </w:rPr>
            </w:pPr>
          </w:p>
        </w:tc>
        <w:tc>
          <w:tcPr>
            <w:tcW w:w="1360" w:type="dxa"/>
            <w:tcBorders>
              <w:top w:val="nil"/>
              <w:left w:val="nil"/>
              <w:bottom w:val="nil"/>
              <w:right w:val="nil"/>
            </w:tcBorders>
            <w:shd w:val="clear" w:color="auto" w:fill="auto"/>
            <w:noWrap/>
            <w:vAlign w:val="bottom"/>
            <w:hideMark/>
          </w:tcPr>
          <w:p w14:paraId="580D4F55" w14:textId="77777777" w:rsidR="00C31832" w:rsidRPr="00C31832" w:rsidRDefault="00C31832" w:rsidP="00D242B4">
            <w:pPr>
              <w:rPr>
                <w:rFonts w:ascii="Times New Roman" w:eastAsia="Times New Roman" w:hAnsi="Times New Roman" w:cs="Times New Roman"/>
                <w:sz w:val="20"/>
                <w:szCs w:val="20"/>
                <w:lang w:eastAsia="en-GB"/>
              </w:rPr>
            </w:pPr>
          </w:p>
        </w:tc>
      </w:tr>
      <w:tr w:rsidR="00C31832" w:rsidRPr="00C31832" w14:paraId="0979BA23" w14:textId="77777777" w:rsidTr="001F24A6">
        <w:trPr>
          <w:trHeight w:val="210"/>
        </w:trPr>
        <w:tc>
          <w:tcPr>
            <w:tcW w:w="4183" w:type="dxa"/>
            <w:tcBorders>
              <w:top w:val="nil"/>
              <w:left w:val="nil"/>
              <w:bottom w:val="nil"/>
              <w:right w:val="nil"/>
            </w:tcBorders>
            <w:shd w:val="clear" w:color="auto" w:fill="auto"/>
            <w:noWrap/>
            <w:vAlign w:val="bottom"/>
            <w:hideMark/>
          </w:tcPr>
          <w:p w14:paraId="26A347D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Net Cash From Financing</w:t>
            </w:r>
          </w:p>
        </w:tc>
        <w:tc>
          <w:tcPr>
            <w:tcW w:w="1360" w:type="dxa"/>
            <w:tcBorders>
              <w:top w:val="single" w:sz="8" w:space="0" w:color="000000"/>
              <w:left w:val="nil"/>
              <w:bottom w:val="nil"/>
              <w:right w:val="nil"/>
            </w:tcBorders>
            <w:shd w:val="clear" w:color="auto" w:fill="auto"/>
            <w:noWrap/>
            <w:vAlign w:val="bottom"/>
            <w:hideMark/>
          </w:tcPr>
          <w:p w14:paraId="6107A6EB"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20,539</w:t>
            </w:r>
          </w:p>
        </w:tc>
        <w:tc>
          <w:tcPr>
            <w:tcW w:w="1360" w:type="dxa"/>
            <w:tcBorders>
              <w:top w:val="single" w:sz="8" w:space="0" w:color="000000"/>
              <w:left w:val="nil"/>
              <w:bottom w:val="nil"/>
              <w:right w:val="nil"/>
            </w:tcBorders>
            <w:shd w:val="clear" w:color="auto" w:fill="auto"/>
            <w:noWrap/>
            <w:vAlign w:val="bottom"/>
            <w:hideMark/>
          </w:tcPr>
          <w:p w14:paraId="7D9B7ED4"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12,701</w:t>
            </w:r>
          </w:p>
        </w:tc>
        <w:tc>
          <w:tcPr>
            <w:tcW w:w="1360" w:type="dxa"/>
            <w:tcBorders>
              <w:top w:val="single" w:sz="8" w:space="0" w:color="000000"/>
              <w:left w:val="nil"/>
              <w:bottom w:val="nil"/>
              <w:right w:val="nil"/>
            </w:tcBorders>
            <w:shd w:val="clear" w:color="auto" w:fill="auto"/>
            <w:noWrap/>
            <w:vAlign w:val="bottom"/>
            <w:hideMark/>
          </w:tcPr>
          <w:p w14:paraId="515D75B6" w14:textId="77777777" w:rsidR="00C31832" w:rsidRPr="00C31832" w:rsidRDefault="00C31832" w:rsidP="00D242B4">
            <w:pPr>
              <w:rPr>
                <w:rFonts w:ascii="Segoe UI" w:eastAsia="Times New Roman" w:hAnsi="Segoe UI" w:cs="Segoe UI"/>
                <w:color w:val="000000"/>
                <w:sz w:val="16"/>
                <w:szCs w:val="16"/>
                <w:lang w:eastAsia="en-GB"/>
              </w:rPr>
            </w:pPr>
            <w:r w:rsidRPr="00C31832">
              <w:rPr>
                <w:rFonts w:ascii="Segoe UI" w:eastAsia="Times New Roman" w:hAnsi="Segoe UI" w:cs="Segoe UI"/>
                <w:color w:val="000000"/>
                <w:sz w:val="16"/>
                <w:szCs w:val="16"/>
                <w:lang w:eastAsia="en-GB"/>
              </w:rPr>
              <w:t>5,627</w:t>
            </w:r>
          </w:p>
        </w:tc>
      </w:tr>
      <w:tr w:rsidR="00C31832" w:rsidRPr="00C31832" w14:paraId="6BF69480" w14:textId="77777777" w:rsidTr="001F24A6">
        <w:trPr>
          <w:trHeight w:val="210"/>
        </w:trPr>
        <w:tc>
          <w:tcPr>
            <w:tcW w:w="4183" w:type="dxa"/>
            <w:tcBorders>
              <w:top w:val="nil"/>
              <w:left w:val="nil"/>
              <w:bottom w:val="nil"/>
              <w:right w:val="nil"/>
            </w:tcBorders>
            <w:shd w:val="clear" w:color="000000" w:fill="E1E1E1"/>
            <w:noWrap/>
            <w:vAlign w:val="bottom"/>
            <w:hideMark/>
          </w:tcPr>
          <w:p w14:paraId="361AB05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BALANCE BROUGHT FORWARD</w:t>
            </w:r>
          </w:p>
        </w:tc>
        <w:tc>
          <w:tcPr>
            <w:tcW w:w="1360" w:type="dxa"/>
            <w:tcBorders>
              <w:top w:val="nil"/>
              <w:left w:val="nil"/>
              <w:bottom w:val="nil"/>
              <w:right w:val="nil"/>
            </w:tcBorders>
            <w:shd w:val="clear" w:color="000000" w:fill="E1E1E1"/>
            <w:noWrap/>
            <w:vAlign w:val="bottom"/>
            <w:hideMark/>
          </w:tcPr>
          <w:p w14:paraId="38ECB6ED"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7,976</w:t>
            </w:r>
          </w:p>
        </w:tc>
        <w:tc>
          <w:tcPr>
            <w:tcW w:w="1360" w:type="dxa"/>
            <w:tcBorders>
              <w:top w:val="nil"/>
              <w:left w:val="nil"/>
              <w:bottom w:val="nil"/>
              <w:right w:val="nil"/>
            </w:tcBorders>
            <w:shd w:val="clear" w:color="000000" w:fill="E1E1E1"/>
            <w:noWrap/>
            <w:vAlign w:val="bottom"/>
            <w:hideMark/>
          </w:tcPr>
          <w:p w14:paraId="6C328573"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1,010</w:t>
            </w:r>
          </w:p>
        </w:tc>
        <w:tc>
          <w:tcPr>
            <w:tcW w:w="1360" w:type="dxa"/>
            <w:tcBorders>
              <w:top w:val="nil"/>
              <w:left w:val="nil"/>
              <w:bottom w:val="nil"/>
              <w:right w:val="nil"/>
            </w:tcBorders>
            <w:shd w:val="clear" w:color="000000" w:fill="E1E1E1"/>
            <w:noWrap/>
            <w:vAlign w:val="bottom"/>
            <w:hideMark/>
          </w:tcPr>
          <w:p w14:paraId="6936876F"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11,526</w:t>
            </w:r>
          </w:p>
        </w:tc>
      </w:tr>
      <w:tr w:rsidR="00C31832" w:rsidRPr="00C31832" w14:paraId="29C9BDFF" w14:textId="77777777" w:rsidTr="001F24A6">
        <w:trPr>
          <w:trHeight w:val="225"/>
        </w:trPr>
        <w:tc>
          <w:tcPr>
            <w:tcW w:w="4183" w:type="dxa"/>
            <w:tcBorders>
              <w:top w:val="nil"/>
              <w:left w:val="nil"/>
              <w:bottom w:val="nil"/>
              <w:right w:val="nil"/>
            </w:tcBorders>
            <w:shd w:val="clear" w:color="auto" w:fill="auto"/>
            <w:noWrap/>
            <w:vAlign w:val="bottom"/>
            <w:hideMark/>
          </w:tcPr>
          <w:p w14:paraId="6DABD0E8"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INCOME LESS PAYMENTS</w:t>
            </w:r>
          </w:p>
        </w:tc>
        <w:tc>
          <w:tcPr>
            <w:tcW w:w="1360" w:type="dxa"/>
            <w:tcBorders>
              <w:top w:val="nil"/>
              <w:left w:val="nil"/>
              <w:bottom w:val="nil"/>
              <w:right w:val="nil"/>
            </w:tcBorders>
            <w:shd w:val="clear" w:color="auto" w:fill="auto"/>
            <w:noWrap/>
            <w:vAlign w:val="bottom"/>
            <w:hideMark/>
          </w:tcPr>
          <w:p w14:paraId="737A4F63"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-6,966</w:t>
            </w:r>
          </w:p>
        </w:tc>
        <w:tc>
          <w:tcPr>
            <w:tcW w:w="1360" w:type="dxa"/>
            <w:tcBorders>
              <w:top w:val="nil"/>
              <w:left w:val="nil"/>
              <w:bottom w:val="nil"/>
              <w:right w:val="nil"/>
            </w:tcBorders>
            <w:shd w:val="clear" w:color="auto" w:fill="auto"/>
            <w:noWrap/>
            <w:vAlign w:val="bottom"/>
            <w:hideMark/>
          </w:tcPr>
          <w:p w14:paraId="36447397"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10,515</w:t>
            </w:r>
          </w:p>
        </w:tc>
        <w:tc>
          <w:tcPr>
            <w:tcW w:w="1360" w:type="dxa"/>
            <w:tcBorders>
              <w:top w:val="nil"/>
              <w:left w:val="nil"/>
              <w:bottom w:val="nil"/>
              <w:right w:val="nil"/>
            </w:tcBorders>
            <w:shd w:val="clear" w:color="auto" w:fill="auto"/>
            <w:noWrap/>
            <w:vAlign w:val="bottom"/>
            <w:hideMark/>
          </w:tcPr>
          <w:p w14:paraId="7B132D9C" w14:textId="77777777" w:rsidR="00C31832" w:rsidRPr="00C31832" w:rsidRDefault="00C31832" w:rsidP="00D242B4">
            <w:pPr>
              <w:rPr>
                <w:rFonts w:ascii="Segoe UI" w:eastAsia="Times New Roman" w:hAnsi="Segoe UI" w:cs="Segoe UI"/>
                <w:b/>
                <w:bCs/>
                <w:color w:val="FF0000"/>
                <w:sz w:val="16"/>
                <w:szCs w:val="16"/>
                <w:lang w:eastAsia="en-GB"/>
              </w:rPr>
            </w:pPr>
            <w:r w:rsidRPr="00C31832">
              <w:rPr>
                <w:rFonts w:ascii="Segoe UI" w:eastAsia="Times New Roman" w:hAnsi="Segoe UI" w:cs="Segoe UI"/>
                <w:b/>
                <w:bCs/>
                <w:color w:val="FF0000"/>
                <w:sz w:val="16"/>
                <w:szCs w:val="16"/>
                <w:lang w:eastAsia="en-GB"/>
              </w:rPr>
              <w:t>-10,526</w:t>
            </w:r>
          </w:p>
        </w:tc>
      </w:tr>
      <w:tr w:rsidR="00C31832" w:rsidRPr="00C31832" w14:paraId="031797FA" w14:textId="77777777" w:rsidTr="001F24A6">
        <w:trPr>
          <w:trHeight w:val="225"/>
        </w:trPr>
        <w:tc>
          <w:tcPr>
            <w:tcW w:w="4183" w:type="dxa"/>
            <w:tcBorders>
              <w:top w:val="nil"/>
              <w:left w:val="nil"/>
              <w:bottom w:val="nil"/>
              <w:right w:val="nil"/>
            </w:tcBorders>
            <w:shd w:val="clear" w:color="000000" w:fill="E1E1E1"/>
            <w:noWrap/>
            <w:vAlign w:val="bottom"/>
            <w:hideMark/>
          </w:tcPr>
          <w:p w14:paraId="3B8AB116"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CLOSING BANK POSITION</w:t>
            </w:r>
          </w:p>
        </w:tc>
        <w:tc>
          <w:tcPr>
            <w:tcW w:w="1360" w:type="dxa"/>
            <w:tcBorders>
              <w:top w:val="single" w:sz="8" w:space="0" w:color="000000"/>
              <w:left w:val="nil"/>
              <w:bottom w:val="single" w:sz="8" w:space="0" w:color="000000"/>
              <w:right w:val="nil"/>
            </w:tcBorders>
            <w:shd w:val="clear" w:color="000000" w:fill="E1E1E1"/>
            <w:noWrap/>
            <w:vAlign w:val="bottom"/>
            <w:hideMark/>
          </w:tcPr>
          <w:p w14:paraId="52B85D7A"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1,010</w:t>
            </w:r>
          </w:p>
        </w:tc>
        <w:tc>
          <w:tcPr>
            <w:tcW w:w="1360" w:type="dxa"/>
            <w:tcBorders>
              <w:top w:val="single" w:sz="8" w:space="0" w:color="000000"/>
              <w:left w:val="nil"/>
              <w:bottom w:val="single" w:sz="8" w:space="0" w:color="000000"/>
              <w:right w:val="nil"/>
            </w:tcBorders>
            <w:shd w:val="clear" w:color="000000" w:fill="E1E1E1"/>
            <w:noWrap/>
            <w:vAlign w:val="bottom"/>
            <w:hideMark/>
          </w:tcPr>
          <w:p w14:paraId="05E6EBEA"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11,526</w:t>
            </w:r>
          </w:p>
        </w:tc>
        <w:tc>
          <w:tcPr>
            <w:tcW w:w="1360" w:type="dxa"/>
            <w:tcBorders>
              <w:top w:val="single" w:sz="8" w:space="0" w:color="000000"/>
              <w:left w:val="nil"/>
              <w:bottom w:val="single" w:sz="8" w:space="0" w:color="000000"/>
              <w:right w:val="nil"/>
            </w:tcBorders>
            <w:shd w:val="clear" w:color="000000" w:fill="E1E1E1"/>
            <w:noWrap/>
            <w:vAlign w:val="bottom"/>
            <w:hideMark/>
          </w:tcPr>
          <w:p w14:paraId="06F51447" w14:textId="77777777" w:rsidR="00C31832" w:rsidRPr="00C31832" w:rsidRDefault="00C31832" w:rsidP="00D242B4">
            <w:pPr>
              <w:rPr>
                <w:rFonts w:ascii="Segoe UI" w:eastAsia="Times New Roman" w:hAnsi="Segoe UI" w:cs="Segoe UI"/>
                <w:b/>
                <w:bCs/>
                <w:color w:val="000000"/>
                <w:sz w:val="16"/>
                <w:szCs w:val="16"/>
                <w:lang w:eastAsia="en-GB"/>
              </w:rPr>
            </w:pPr>
            <w:r w:rsidRPr="00C31832">
              <w:rPr>
                <w:rFonts w:ascii="Segoe UI" w:eastAsia="Times New Roman" w:hAnsi="Segoe UI" w:cs="Segoe UI"/>
                <w:b/>
                <w:bCs/>
                <w:color w:val="000000"/>
                <w:sz w:val="16"/>
                <w:szCs w:val="16"/>
                <w:lang w:eastAsia="en-GB"/>
              </w:rPr>
              <w:t>1,000</w:t>
            </w:r>
          </w:p>
        </w:tc>
      </w:tr>
    </w:tbl>
    <w:p w14:paraId="3B2DFD6E" w14:textId="77777777" w:rsidR="00C31832" w:rsidRPr="00C31832" w:rsidRDefault="00C31832" w:rsidP="00D242B4">
      <w:pPr>
        <w:rPr>
          <w:rFonts w:ascii="MS Serif" w:eastAsia="Times New Roman" w:hAnsi="MS Serif" w:cs="Times New Roman"/>
          <w:sz w:val="20"/>
          <w:szCs w:val="20"/>
          <w:lang w:eastAsia="en-GB"/>
        </w:rPr>
      </w:pPr>
    </w:p>
    <w:p w14:paraId="720FE8AA" w14:textId="483FEE20" w:rsidR="001F24A6" w:rsidRDefault="001F24A6">
      <w:pPr>
        <w:rPr>
          <w:rFonts w:ascii="MS Serif" w:eastAsia="Times New Roman" w:hAnsi="MS Serif" w:cs="Times New Roman"/>
          <w:sz w:val="20"/>
          <w:szCs w:val="20"/>
          <w:lang w:eastAsia="en-GB"/>
        </w:rPr>
      </w:pPr>
    </w:p>
    <w:p w14:paraId="017EAE01" w14:textId="3957D6D7" w:rsidR="00D03508" w:rsidRPr="001F24A6" w:rsidRDefault="001F24A6" w:rsidP="00D03508">
      <w:pPr>
        <w:pStyle w:val="Heading1numbered"/>
        <w:ind w:left="720"/>
        <w:outlineLvl w:val="0"/>
        <w:rPr>
          <w:rFonts w:eastAsiaTheme="majorEastAsia"/>
          <w:lang w:eastAsia="en-GB"/>
        </w:rPr>
      </w:pPr>
      <w:bookmarkStart w:id="9" w:name="_Toc456265896"/>
      <w:r w:rsidRPr="00D03508">
        <w:rPr>
          <w:rFonts w:eastAsiaTheme="majorEastAsia"/>
          <w:lang w:eastAsia="en-GB"/>
        </w:rPr>
        <w:t xml:space="preserve">Appendix </w:t>
      </w:r>
      <w:r w:rsidR="00FA08F1" w:rsidRPr="00D03508">
        <w:rPr>
          <w:rFonts w:eastAsiaTheme="majorEastAsia"/>
          <w:lang w:eastAsia="en-GB"/>
        </w:rPr>
        <w:t>2</w:t>
      </w:r>
      <w:r w:rsidR="00D03508" w:rsidRPr="00D03508">
        <w:rPr>
          <w:rFonts w:eastAsiaTheme="majorEastAsia"/>
          <w:lang w:eastAsia="en-GB"/>
        </w:rPr>
        <w:t xml:space="preserve"> </w:t>
      </w:r>
      <w:r w:rsidR="00D03508" w:rsidRPr="00D03508">
        <w:rPr>
          <w:rFonts w:eastAsiaTheme="majorEastAsia"/>
          <w:lang w:eastAsia="en-GB"/>
        </w:rPr>
        <w:tab/>
      </w:r>
      <w:r w:rsidR="00D03508" w:rsidRPr="001F24A6">
        <w:rPr>
          <w:rFonts w:eastAsiaTheme="majorEastAsia"/>
          <w:lang w:eastAsia="en-GB"/>
        </w:rPr>
        <w:t>Updated Interest Rate Forecast</w:t>
      </w:r>
      <w:bookmarkEnd w:id="9"/>
      <w:r w:rsidR="00D03508" w:rsidRPr="001F24A6">
        <w:rPr>
          <w:rFonts w:eastAsiaTheme="majorEastAsia"/>
          <w:lang w:eastAsia="en-GB"/>
        </w:rPr>
        <w:t xml:space="preserve"> </w:t>
      </w:r>
    </w:p>
    <w:p w14:paraId="4966CE63" w14:textId="77777777" w:rsidR="001F24A6" w:rsidRPr="00D52641" w:rsidRDefault="001F24A6" w:rsidP="008F557D">
      <w:pPr>
        <w:keepNext/>
        <w:keepLines/>
        <w:spacing w:after="233"/>
        <w:ind w:left="630" w:firstLine="90"/>
        <w:outlineLvl w:val="0"/>
        <w:rPr>
          <w:rFonts w:ascii="Arial" w:eastAsia="Arial" w:hAnsi="Arial" w:cs="Arial"/>
          <w:b/>
          <w:color w:val="3A3B3C"/>
          <w:sz w:val="24"/>
          <w:szCs w:val="24"/>
          <w:lang w:eastAsia="en-GB"/>
        </w:rPr>
      </w:pPr>
      <w:bookmarkStart w:id="10" w:name="_Toc455760568"/>
      <w:bookmarkStart w:id="11" w:name="_Toc455994014"/>
      <w:bookmarkStart w:id="12" w:name="_Toc456265897"/>
      <w:r w:rsidRPr="00D52641">
        <w:rPr>
          <w:rFonts w:ascii="Arial" w:eastAsia="Arial" w:hAnsi="Arial" w:cs="Arial"/>
          <w:b/>
          <w:color w:val="3A3B3C"/>
          <w:sz w:val="24"/>
          <w:szCs w:val="24"/>
          <w:lang w:eastAsia="en-GB"/>
        </w:rPr>
        <w:t>Post EU referendum interest rate review</w:t>
      </w:r>
      <w:bookmarkEnd w:id="10"/>
      <w:bookmarkEnd w:id="11"/>
      <w:bookmarkEnd w:id="12"/>
      <w:r w:rsidRPr="00D52641">
        <w:rPr>
          <w:rFonts w:ascii="Arial" w:eastAsia="Arial" w:hAnsi="Arial" w:cs="Arial"/>
          <w:b/>
          <w:color w:val="3A3B3C"/>
          <w:sz w:val="24"/>
          <w:szCs w:val="24"/>
          <w:lang w:eastAsia="en-GB"/>
        </w:rPr>
        <w:t xml:space="preserve"> </w:t>
      </w:r>
    </w:p>
    <w:p w14:paraId="08089205" w14:textId="77777777" w:rsidR="001F24A6" w:rsidRPr="00D52641" w:rsidRDefault="001F24A6" w:rsidP="008F557D">
      <w:pPr>
        <w:numPr>
          <w:ilvl w:val="0"/>
          <w:numId w:val="21"/>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The outcome of the EU referendum has necessitated a review of our interest rate forecasts.  The UK now faces a very different situation from that faced ten days ago - both politically and economically.  This mix of both political and economic uncertainty makes this the most difficult interest rate review we have done in recent years owing to the sheer number of unknowns.  However, the impact on financial markets in the last ten days has not been as great as some had feared.  </w:t>
      </w:r>
    </w:p>
    <w:p w14:paraId="4BD68C6D" w14:textId="77777777" w:rsidR="001F24A6" w:rsidRPr="00D52641" w:rsidRDefault="001F24A6" w:rsidP="008F557D">
      <w:pPr>
        <w:numPr>
          <w:ilvl w:val="0"/>
          <w:numId w:val="21"/>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This also puts the Monetary Policy Committee (MPC), in a very difficult position in terms of knowing how much the vote for Brexit will impact the real economy.  What most forecasters expect is that the first two quarters growth in 2016 of around +0.4% is likely to fall to zero in the second half of the year.  However, after the initial shock, the economy may recover some momentum so Capital Economics is forecasting growth of 1.5% for 2017, (after average overall growth for 2016 of 1.5%), and then recovery back to 2.5% in 2018.  In his speech last Friday, the Governor of the Bank of England, Mark Carney, made clear that the MPC will consider cutting Bank Rate in the very near future, and will also consider using further quantitative easing (QE – the purchasing of gilts) as a means of providing further stimulus to economic growth by lowering borrowing rates.</w:t>
      </w:r>
    </w:p>
    <w:p w14:paraId="00D61DCC" w14:textId="77777777" w:rsidR="001F24A6" w:rsidRPr="00D52641" w:rsidRDefault="001F24A6" w:rsidP="008F557D">
      <w:pPr>
        <w:numPr>
          <w:ilvl w:val="0"/>
          <w:numId w:val="21"/>
        </w:numPr>
        <w:spacing w:after="222" w:line="275" w:lineRule="auto"/>
        <w:ind w:left="630" w:right="-8" w:hanging="630"/>
        <w:jc w:val="both"/>
        <w:rPr>
          <w:rFonts w:ascii="Calibri" w:eastAsia="Calibri" w:hAnsi="Calibri" w:cs="Calibri"/>
          <w:sz w:val="24"/>
          <w:szCs w:val="24"/>
          <w:lang w:eastAsia="en-GB"/>
        </w:rPr>
      </w:pPr>
      <w:r w:rsidRPr="00D52641">
        <w:rPr>
          <w:rFonts w:ascii="Arial" w:eastAsia="Arial" w:hAnsi="Arial" w:cs="Arial"/>
          <w:b/>
          <w:i/>
          <w:sz w:val="24"/>
          <w:szCs w:val="24"/>
          <w:lang w:eastAsia="en-GB"/>
        </w:rPr>
        <w:t xml:space="preserve">Our own interest rate forecast is based on a cut of Bank Rate of 0.25% in the current quarter; this could come at the next MPC meeting of July 14 or at the next quarterly Inflation Report meeting on August 4.  However, we would certainly not rule out a further cut to zero or possibly 0.10%. The first increase in Bank Rate does not then occur until quarter 2 2018 and the pace of increases thereafter has also been slowed down from that in our previous forecast. However, we have to emphasise that there are so many variables over this time period that it is very likely that these forecasts will be subject to significant updating as events evolve on both the political and economic fronts. </w:t>
      </w:r>
    </w:p>
    <w:p w14:paraId="3141D9AD" w14:textId="77777777" w:rsidR="001F24A6" w:rsidRPr="00D52641" w:rsidRDefault="001F24A6" w:rsidP="008F557D">
      <w:pPr>
        <w:numPr>
          <w:ilvl w:val="0"/>
          <w:numId w:val="21"/>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Carney’s comments last Friday on the possibility of further quantitative easing caused an immediate fall in gilt yields of around 25 – 37 basis points (bps) in gilts with a tenor of between 10 and 50 years, so it could be said that just the threat of further QE has already achieved a significant drop in gilt yields and so borrowing costs.  This, arguably, means that the benefits of actually implementing further QE are reduced.  We have, revised down our forecasts to take account of these movements in gilt yields since the referendum.  During this period, yields have fallen to all-time lows with 2 year gilt yields even briefly turning negative. </w:t>
      </w:r>
    </w:p>
    <w:p w14:paraId="46488F06" w14:textId="4DAF3A42" w:rsidR="002D0B9A" w:rsidRDefault="001F24A6" w:rsidP="008F557D">
      <w:pPr>
        <w:numPr>
          <w:ilvl w:val="0"/>
          <w:numId w:val="21"/>
        </w:numPr>
        <w:spacing w:after="206" w:line="285" w:lineRule="auto"/>
        <w:ind w:left="630" w:right="-8" w:hanging="630"/>
        <w:jc w:val="both"/>
        <w:rPr>
          <w:rFonts w:ascii="Arial" w:eastAsia="Arial" w:hAnsi="Arial" w:cs="Arial"/>
          <w:i/>
          <w:sz w:val="24"/>
          <w:szCs w:val="24"/>
          <w:lang w:eastAsia="en-GB"/>
        </w:rPr>
      </w:pPr>
      <w:r w:rsidRPr="00D52641">
        <w:rPr>
          <w:rFonts w:ascii="Arial" w:eastAsia="Arial" w:hAnsi="Arial" w:cs="Arial"/>
          <w:i/>
          <w:sz w:val="24"/>
          <w:szCs w:val="24"/>
          <w:lang w:eastAsia="en-GB"/>
        </w:rPr>
        <w:t xml:space="preserve">However, Carney did make a strong point that it is not the role of the Bank of England to be the sole participant in helping to stimulate growth of the UK economy and employment by using the monetary policy measures at its disposal.  The Government has fiscal policy as a powerful tool to promote growth, and it has various policy measures it could employ.  </w:t>
      </w:r>
    </w:p>
    <w:p w14:paraId="37A4F09B" w14:textId="1A988955" w:rsidR="008F557D" w:rsidRDefault="008F557D">
      <w:pPr>
        <w:rPr>
          <w:rFonts w:ascii="Calibri" w:eastAsia="Calibri" w:hAnsi="Calibri" w:cs="Calibri"/>
          <w:sz w:val="24"/>
          <w:szCs w:val="24"/>
          <w:lang w:eastAsia="en-GB"/>
        </w:rPr>
      </w:pPr>
      <w:r>
        <w:rPr>
          <w:rFonts w:ascii="Calibri" w:eastAsia="Calibri" w:hAnsi="Calibri" w:cs="Calibri"/>
          <w:sz w:val="24"/>
          <w:szCs w:val="24"/>
          <w:lang w:eastAsia="en-GB"/>
        </w:rPr>
        <w:br w:type="page"/>
      </w:r>
    </w:p>
    <w:p w14:paraId="2EC5A952" w14:textId="6941DEC2" w:rsidR="008F557D" w:rsidRDefault="008F557D">
      <w:pPr>
        <w:rPr>
          <w:rFonts w:ascii="Arial" w:eastAsia="Arial" w:hAnsi="Arial" w:cs="Arial"/>
          <w:sz w:val="24"/>
          <w:szCs w:val="24"/>
          <w:lang w:eastAsia="en-GB"/>
        </w:rPr>
      </w:pPr>
    </w:p>
    <w:p w14:paraId="68A3C1F7" w14:textId="4094FD49" w:rsidR="001F24A6" w:rsidRPr="00D52641" w:rsidRDefault="001F24A6" w:rsidP="001F24A6">
      <w:pPr>
        <w:keepNext/>
        <w:keepLines/>
        <w:tabs>
          <w:tab w:val="center" w:pos="1652"/>
        </w:tabs>
        <w:spacing w:after="0"/>
        <w:ind w:left="630"/>
        <w:outlineLvl w:val="1"/>
        <w:rPr>
          <w:rFonts w:ascii="Arial" w:eastAsia="Arial" w:hAnsi="Arial" w:cs="Arial"/>
          <w:b/>
          <w:sz w:val="24"/>
          <w:szCs w:val="24"/>
          <w:lang w:eastAsia="en-GB"/>
        </w:rPr>
      </w:pPr>
      <w:r w:rsidRPr="00D52641">
        <w:rPr>
          <w:rFonts w:ascii="Arial" w:eastAsia="Arial" w:hAnsi="Arial" w:cs="Arial"/>
          <w:sz w:val="24"/>
          <w:szCs w:val="24"/>
          <w:lang w:eastAsia="en-GB"/>
        </w:rPr>
        <w:t xml:space="preserve"> </w:t>
      </w:r>
      <w:bookmarkStart w:id="13" w:name="_Toc455760569"/>
      <w:bookmarkStart w:id="14" w:name="_Toc455994015"/>
      <w:bookmarkStart w:id="15" w:name="_Toc456265898"/>
      <w:r w:rsidRPr="00D52641">
        <w:rPr>
          <w:rFonts w:ascii="Arial" w:eastAsia="Arial" w:hAnsi="Arial" w:cs="Arial"/>
          <w:b/>
          <w:sz w:val="24"/>
          <w:szCs w:val="24"/>
          <w:lang w:eastAsia="en-GB"/>
        </w:rPr>
        <w:t>NEWSFLASH</w:t>
      </w:r>
      <w:bookmarkEnd w:id="13"/>
      <w:bookmarkEnd w:id="14"/>
      <w:bookmarkEnd w:id="15"/>
      <w:r w:rsidRPr="00D52641">
        <w:rPr>
          <w:rFonts w:ascii="Arial" w:eastAsia="Arial" w:hAnsi="Arial" w:cs="Arial"/>
          <w:sz w:val="24"/>
          <w:szCs w:val="24"/>
          <w:lang w:eastAsia="en-GB"/>
        </w:rPr>
        <w:t xml:space="preserve"> </w:t>
      </w:r>
      <w:r w:rsidRPr="00D52641">
        <w:rPr>
          <w:rFonts w:ascii="Arial" w:eastAsia="Arial" w:hAnsi="Arial" w:cs="Arial"/>
          <w:sz w:val="24"/>
          <w:szCs w:val="24"/>
          <w:lang w:eastAsia="en-GB"/>
        </w:rPr>
        <w:tab/>
        <w:t xml:space="preserve"> </w:t>
      </w:r>
    </w:p>
    <w:p w14:paraId="6D550EB9" w14:textId="71DA713E" w:rsidR="001F24A6" w:rsidRPr="00D52641" w:rsidRDefault="001F24A6" w:rsidP="001F24A6">
      <w:pPr>
        <w:spacing w:after="920"/>
        <w:ind w:right="-28"/>
        <w:rPr>
          <w:rFonts w:ascii="Calibri" w:eastAsia="Calibri" w:hAnsi="Calibri" w:cs="Calibri"/>
          <w:sz w:val="24"/>
          <w:szCs w:val="24"/>
          <w:lang w:eastAsia="en-GB"/>
        </w:rPr>
      </w:pPr>
      <w:r w:rsidRPr="00D52641">
        <w:rPr>
          <w:rFonts w:ascii="Calibri" w:eastAsia="Calibri" w:hAnsi="Calibri" w:cs="Calibri"/>
          <w:noProof/>
          <w:sz w:val="24"/>
          <w:szCs w:val="24"/>
          <w:lang w:eastAsia="en-GB"/>
        </w:rPr>
        <mc:AlternateContent>
          <mc:Choice Requires="wpg">
            <w:drawing>
              <wp:inline distT="0" distB="0" distL="0" distR="0" wp14:anchorId="4C41914C" wp14:editId="64374597">
                <wp:extent cx="6877050" cy="9525"/>
                <wp:effectExtent l="0" t="0" r="0" b="0"/>
                <wp:docPr id="6183" name="Group 6183"/>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194" name="Shape 194"/>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inline>
            </w:drawing>
          </mc:Choice>
          <mc:Fallback xmlns:w15="http://schemas.microsoft.com/office/word/2012/wordml">
            <w:pict>
              <v:group w14:anchorId="1792E24A" id="Group 6183" o:spid="_x0000_s1026" style="width:541.5pt;height:.75pt;mso-position-horizontal-relative:char;mso-position-vertical-relative:lin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">
                <v:shape id="Shape 194"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HTsEA&#10;AADcAAAADwAAAGRycy9kb3ducmV2LnhtbERP20oDMRB9L/gPYYS+tbNKkbo2LSKIFoXS6gcMybi7&#10;uJmsSfbSv28Ewbc5nOtsdpNr1cAhNl403CwLUCzG20YqDZ8fz4s1qJhILLVeWMOZI+y2V7MNldaP&#10;cuThlCqVQySWpKFOqSsRo6nZUVz6jiVzXz44ShmGCm2gMYe7Fm+L4g4dNZIbaur4qWbzfeqdht70&#10;b/twfGkNnoef7pAwvo+o9fx6enwAlXhK/+I/96vN8+9X8PtMvg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Lx07BAAAA3AAAAA8AAAAAAAAAAAAAAAAAmAIAAGRycy9kb3du&#10;cmV2LnhtbFBLBQYAAAAABAAEAPUAAACGAwAAAAA=&#10;" path="m,l6877050,e" filled="f" strokecolor="#a1c6cf">
                  <v:path arrowok="t" textboxrect="0,0,6877050,0"/>
                </v:shape>
                <w10:anchorlock/>
              </v:group>
            </w:pict>
          </mc:Fallback>
        </mc:AlternateContent>
      </w:r>
    </w:p>
    <w:p w14:paraId="7322C1EB" w14:textId="77BCA3F7" w:rsidR="001F24A6" w:rsidRPr="00D52641" w:rsidRDefault="00D03508" w:rsidP="008F557D">
      <w:pPr>
        <w:spacing w:after="206" w:line="285" w:lineRule="auto"/>
        <w:ind w:right="-8"/>
        <w:jc w:val="both"/>
        <w:rPr>
          <w:rFonts w:ascii="Calibri" w:eastAsia="Calibri" w:hAnsi="Calibri" w:cs="Calibri"/>
          <w:sz w:val="24"/>
          <w:szCs w:val="24"/>
          <w:lang w:eastAsia="en-GB"/>
        </w:rPr>
      </w:pPr>
      <w:r w:rsidRPr="00D52641">
        <w:rPr>
          <w:rFonts w:ascii="Arial" w:eastAsia="Arial" w:hAnsi="Arial" w:cs="Arial"/>
          <w:i/>
          <w:sz w:val="24"/>
          <w:szCs w:val="24"/>
          <w:lang w:eastAsia="en-GB"/>
        </w:rPr>
        <w:t>Already</w:t>
      </w:r>
      <w:r w:rsidR="001F24A6" w:rsidRPr="00D52641">
        <w:rPr>
          <w:rFonts w:ascii="Arial" w:eastAsia="Arial" w:hAnsi="Arial" w:cs="Arial"/>
          <w:i/>
          <w:sz w:val="24"/>
          <w:szCs w:val="24"/>
          <w:lang w:eastAsia="en-GB"/>
        </w:rPr>
        <w:t xml:space="preserve"> the Chancellor of the Exchequer has said that the target of achieving a budget surplus in 2020 will need to be put back to avoid austerity measures creating an unwelcome headwind for growth during the near future.  In addition, the Chancellor has announced that corporation tax will be lowered to 15% from 20% by 2020 rather than the 17% rate previously planned.  Fiscal policy could also include cuts to income tax, national insurance, and VAT to stimulate consumer demand in the economy.  However, such cuts will impact the budget deficit. </w:t>
      </w:r>
    </w:p>
    <w:p w14:paraId="1776582C" w14:textId="77777777" w:rsidR="001F24A6" w:rsidRPr="00D52641" w:rsidRDefault="001F24A6" w:rsidP="008F557D">
      <w:pPr>
        <w:numPr>
          <w:ilvl w:val="0"/>
          <w:numId w:val="22"/>
        </w:numPr>
        <w:spacing w:after="206" w:line="285" w:lineRule="auto"/>
        <w:ind w:left="630" w:right="-8" w:hanging="63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In addition, the Government could take advantage of the plunge in gilt yields to borrow extra money to invest in infrastructure to improve the productivity of the UK economy.  </w:t>
      </w:r>
    </w:p>
    <w:p w14:paraId="322156F1" w14:textId="77777777" w:rsidR="001F24A6" w:rsidRPr="00D52641" w:rsidRDefault="001F24A6" w:rsidP="008F557D">
      <w:pPr>
        <w:numPr>
          <w:ilvl w:val="0"/>
          <w:numId w:val="22"/>
        </w:numPr>
        <w:spacing w:after="206" w:line="285" w:lineRule="auto"/>
        <w:ind w:left="720" w:right="-8" w:hanging="720"/>
        <w:jc w:val="both"/>
        <w:rPr>
          <w:rFonts w:ascii="Calibri" w:eastAsia="Calibri" w:hAnsi="Calibri" w:cs="Calibri"/>
          <w:sz w:val="24"/>
          <w:szCs w:val="24"/>
          <w:lang w:eastAsia="en-GB"/>
        </w:rPr>
      </w:pPr>
      <w:r w:rsidRPr="00D52641">
        <w:rPr>
          <w:rFonts w:ascii="Calibri" w:eastAsia="Calibri" w:hAnsi="Calibri" w:cs="Calibri"/>
          <w:noProof/>
          <w:sz w:val="24"/>
          <w:szCs w:val="24"/>
          <w:lang w:eastAsia="en-GB"/>
        </w:rPr>
        <mc:AlternateContent>
          <mc:Choice Requires="wpg">
            <w:drawing>
              <wp:anchor distT="0" distB="0" distL="114300" distR="114300" simplePos="0" relativeHeight="251663360" behindDoc="0" locked="0" layoutInCell="1" allowOverlap="1" wp14:anchorId="0353E603" wp14:editId="44ABBA2F">
                <wp:simplePos x="0" y="0"/>
                <wp:positionH relativeFrom="page">
                  <wp:posOffset>343535</wp:posOffset>
                </wp:positionH>
                <wp:positionV relativeFrom="page">
                  <wp:posOffset>10116832</wp:posOffset>
                </wp:positionV>
                <wp:extent cx="6877050" cy="9525"/>
                <wp:effectExtent l="0" t="0" r="0" b="0"/>
                <wp:wrapTopAndBottom/>
                <wp:docPr id="6181" name="Group 6181"/>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192" name="Shape 192"/>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5F029254" id="Group 6181" o:spid="_x0000_s1026" style="position:absolute;margin-left:27.05pt;margin-top:796.6pt;width:541.5pt;height:.75pt;z-index:251663360;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">
                <v:shape id="Shape 192"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6ocEA&#10;AADcAAAADwAAAGRycy9kb3ducmV2LnhtbERP20oDMRB9L/gPYQTf2ln7IHZtWkQQFYXSywcMybi7&#10;uJmsSfbSvzdCoW9zONdZbyfXqoFDbLxouF8UoFiMt41UGk7H1/kjqJhILLVeWMOZI2w3N7M1ldaP&#10;sufhkCqVQySWpKFOqSsRo6nZUVz4jiVz3z44ShmGCm2gMYe7FpdF8YCOGskNNXX8UrP5OfROQ2/6&#10;z4+wf2sNnoffbpcwfo2o9d3t9PwEKvGUruKL+93m+asl/D+TL8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u+qHBAAAA3AAAAA8AAAAAAAAAAAAAAAAAmAIAAGRycy9kb3du&#10;cmV2LnhtbFBLBQYAAAAABAAEAPUAAACGAwAAAAA=&#10;" path="m,l6877050,e" filled="f" strokecolor="#a1c6cf">
                  <v:path arrowok="t" textboxrect="0,0,6877050,0"/>
                </v:shape>
                <w10:wrap type="topAndBottom" anchorx="page" anchory="page"/>
              </v:group>
            </w:pict>
          </mc:Fallback>
        </mc:AlternateContent>
      </w:r>
      <w:r w:rsidRPr="00D52641">
        <w:rPr>
          <w:rFonts w:ascii="Calibri" w:eastAsia="Calibri" w:hAnsi="Calibri" w:cs="Calibri"/>
          <w:noProof/>
          <w:sz w:val="24"/>
          <w:szCs w:val="24"/>
          <w:lang w:eastAsia="en-GB"/>
        </w:rPr>
        <mc:AlternateContent>
          <mc:Choice Requires="wpg">
            <w:drawing>
              <wp:anchor distT="0" distB="0" distL="114300" distR="114300" simplePos="0" relativeHeight="251664384" behindDoc="0" locked="0" layoutInCell="1" allowOverlap="1" wp14:anchorId="0B1286A7" wp14:editId="60C47C86">
                <wp:simplePos x="0" y="0"/>
                <wp:positionH relativeFrom="page">
                  <wp:posOffset>343535</wp:posOffset>
                </wp:positionH>
                <wp:positionV relativeFrom="page">
                  <wp:posOffset>360680</wp:posOffset>
                </wp:positionV>
                <wp:extent cx="6877050" cy="9525"/>
                <wp:effectExtent l="0" t="0" r="0" b="0"/>
                <wp:wrapTopAndBottom/>
                <wp:docPr id="6182" name="Group 6182"/>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193" name="Shape 193"/>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79308BBD" id="Group 6182" o:spid="_x0000_s1026" style="position:absolute;margin-left:27.05pt;margin-top:28.4pt;width:541.5pt;height:.75pt;z-index:251664384;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">
                <v:shape id="Shape 193"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fOsEA&#10;AADcAAAADwAAAGRycy9kb3ducmV2LnhtbERP20oDMRB9L/gPYYS+tbNakLo2LSKIFoXS6gcMybi7&#10;uJmsSfbSv28Ewbc5nOtsdpNr1cAhNl403CwLUCzG20YqDZ8fz4s1qJhILLVeWMOZI+y2V7MNldaP&#10;cuThlCqVQySWpKFOqSsRo6nZUVz6jiVzXz44ShmGCm2gMYe7Fm+L4g4dNZIbaur4qWbzfeqdht70&#10;b/twfGkNnoef7pAwvo+o9fx6enwAlXhK/+I/96vN8+9X8PtMvg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XzrBAAAA3AAAAA8AAAAAAAAAAAAAAAAAmAIAAGRycy9kb3du&#10;cmV2LnhtbFBLBQYAAAAABAAEAPUAAACGAwAAAAA=&#10;" path="m,l6877050,e" filled="f" strokecolor="#a1c6cf">
                  <v:path arrowok="t" textboxrect="0,0,6877050,0"/>
                </v:shape>
                <w10:wrap type="topAndBottom" anchorx="page" anchory="page"/>
              </v:group>
            </w:pict>
          </mc:Fallback>
        </mc:AlternateContent>
      </w:r>
      <w:r w:rsidRPr="00D52641">
        <w:rPr>
          <w:rFonts w:ascii="Arial" w:eastAsia="Arial" w:hAnsi="Arial" w:cs="Arial"/>
          <w:i/>
          <w:sz w:val="24"/>
          <w:szCs w:val="24"/>
          <w:lang w:eastAsia="en-GB"/>
        </w:rPr>
        <w:t xml:space="preserve">However, what will be vital will be to ensure that the UK retains the trust of international investors, both because about 30% of all gilts are owned by overseas investors (who will want to be assured that the Government is not borrowing beyond the means of the economy to sustain the ability to pay interest and to repay the debt) and because of the need to maintain the value of sterling against other currencies.  The current size of the balance of payments deficit of 6.9% of GDP is a major concern.  The fall of 14% in the value of sterling since November 2015 will feed through eventually to stimulate demand for UK exports and to choke off imports into the UK by making home made goods and services more competitive.  However, this will take time to feed through into reducing the size of this deficit. </w:t>
      </w:r>
    </w:p>
    <w:p w14:paraId="441135EA" w14:textId="77777777" w:rsidR="001F24A6" w:rsidRPr="00D52641" w:rsidRDefault="001F24A6" w:rsidP="008F557D">
      <w:pPr>
        <w:numPr>
          <w:ilvl w:val="0"/>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What will make the decision making of the MPC more difficult is that the fall in the value of sterling will feed through over the next 3-4 years into the economy and cause an increase in inflation.  But manufacturers and service providers could absorb some of the extra costs from the increased cost of imported inputs, or could increase productivity to offset extra costs, so there is considerable uncertainty about the timing and size of this feedthrough into consumer prices.  Capital Economics has revised its interest rate forecast for inflation as follows: 2016 0.6%; 2017 2.2% (was 1.5%); 2018 2.8% (was 2.1%). The MPC’s target for CPI inflation is 2%, but in the past it has looked through temporary spikes of imported inflation on the basis that they will drop out of the calculation of CPI after 12 months.  So it is by no means certain that the MPC will take action to counter an increase in inflation arising from currency depreciation.  </w:t>
      </w:r>
    </w:p>
    <w:p w14:paraId="634E2E18" w14:textId="77777777" w:rsidR="001F24A6" w:rsidRPr="00D52641" w:rsidRDefault="001F24A6" w:rsidP="003F32C7">
      <w:pPr>
        <w:spacing w:after="206" w:line="285" w:lineRule="auto"/>
        <w:ind w:right="-8"/>
        <w:jc w:val="both"/>
        <w:rPr>
          <w:rFonts w:ascii="Calibri" w:eastAsia="Calibri" w:hAnsi="Calibri" w:cs="Calibri"/>
          <w:sz w:val="24"/>
          <w:szCs w:val="24"/>
          <w:lang w:eastAsia="en-GB"/>
        </w:rPr>
      </w:pPr>
      <w:r w:rsidRPr="00D52641">
        <w:rPr>
          <w:rFonts w:ascii="Arial" w:eastAsia="Arial" w:hAnsi="Arial" w:cs="Arial"/>
          <w:i/>
          <w:sz w:val="24"/>
          <w:szCs w:val="24"/>
          <w:lang w:eastAsia="en-GB"/>
        </w:rPr>
        <w:t>We emphasise that there are several variables that could have a major impact on the UK economy and interest rates over the next four to five years in particular:</w:t>
      </w:r>
    </w:p>
    <w:p w14:paraId="494B31A0"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Political uncertainty: the Conservative party is currently facing a leadership election, while there is also uncertainty about the leadership of the Labour party.  There is a general election due in May 2020. </w:t>
      </w:r>
    </w:p>
    <w:p w14:paraId="64BB97F9"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Political uncertainty in the EU if other countries hold referendums or there is a strong growth in anti-EU political parties. </w:t>
      </w:r>
    </w:p>
    <w:p w14:paraId="0BC204ED"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Uncertainty about when Article 50 will be triggered to start the UK withdrawal from the EU, and what form any final agreement with the EU will take over access to the single market and requirements to conform to EU rules and to contribute to the EU budget.  This in turn, could have a major influence on corporates deciding whether to move jobs away from the UK into the EU. </w:t>
      </w:r>
    </w:p>
    <w:p w14:paraId="2D43A6EE"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Whether the potential impact of all of the above could bring to the fore the question of Scottish independence </w:t>
      </w:r>
    </w:p>
    <w:p w14:paraId="1767C018" w14:textId="77777777" w:rsidR="001F24A6" w:rsidRPr="00D52641" w:rsidRDefault="001F24A6" w:rsidP="008F557D">
      <w:pPr>
        <w:numPr>
          <w:ilvl w:val="1"/>
          <w:numId w:val="22"/>
        </w:numPr>
        <w:spacing w:after="206" w:line="285" w:lineRule="auto"/>
        <w:ind w:left="720" w:right="-8" w:hanging="720"/>
        <w:jc w:val="both"/>
        <w:rPr>
          <w:rFonts w:ascii="Calibri" w:eastAsia="Calibri" w:hAnsi="Calibri" w:cs="Calibri"/>
          <w:sz w:val="24"/>
          <w:szCs w:val="24"/>
          <w:lang w:eastAsia="en-GB"/>
        </w:rPr>
      </w:pPr>
      <w:r w:rsidRPr="00D52641">
        <w:rPr>
          <w:rFonts w:ascii="Arial" w:eastAsia="Arial" w:hAnsi="Arial" w:cs="Arial"/>
          <w:i/>
          <w:sz w:val="24"/>
          <w:szCs w:val="24"/>
          <w:lang w:eastAsia="en-GB"/>
        </w:rPr>
        <w:t xml:space="preserve">Consumer confidence in the UK will have a major impact on consumer expenditure and so on GDP growth; many factors could affect confidence e.g. house prices, inflation rising to outweigh pay inflation and so depressing disposable income, and the outcome of Brexit negotiations.   </w:t>
      </w:r>
    </w:p>
    <w:p w14:paraId="02412513" w14:textId="77777777" w:rsidR="001F24A6" w:rsidRPr="00D52641" w:rsidRDefault="001F24A6" w:rsidP="008F557D">
      <w:pPr>
        <w:spacing w:after="296" w:line="283" w:lineRule="auto"/>
        <w:ind w:right="5"/>
        <w:jc w:val="both"/>
        <w:rPr>
          <w:rFonts w:ascii="Calibri" w:eastAsia="Calibri" w:hAnsi="Calibri" w:cs="Calibri"/>
          <w:sz w:val="24"/>
          <w:szCs w:val="24"/>
          <w:lang w:eastAsia="en-GB"/>
        </w:rPr>
      </w:pPr>
      <w:r w:rsidRPr="00D52641">
        <w:rPr>
          <w:rFonts w:ascii="Arial" w:eastAsia="Arial" w:hAnsi="Arial" w:cs="Arial"/>
          <w:sz w:val="24"/>
          <w:szCs w:val="24"/>
          <w:lang w:eastAsia="en-GB"/>
        </w:rPr>
        <w:t>We will be undertaking a further review of our interest rate forecast following the release of the Bank of England Quarterly Inflation Report on 4</w:t>
      </w:r>
      <w:r w:rsidRPr="00D52641">
        <w:rPr>
          <w:rFonts w:ascii="Arial" w:eastAsia="Arial" w:hAnsi="Arial" w:cs="Arial"/>
          <w:sz w:val="24"/>
          <w:szCs w:val="24"/>
          <w:vertAlign w:val="superscript"/>
          <w:lang w:eastAsia="en-GB"/>
        </w:rPr>
        <w:t>th</w:t>
      </w:r>
      <w:r w:rsidRPr="00D52641">
        <w:rPr>
          <w:rFonts w:ascii="Arial" w:eastAsia="Arial" w:hAnsi="Arial" w:cs="Arial"/>
          <w:sz w:val="24"/>
          <w:szCs w:val="24"/>
          <w:lang w:eastAsia="en-GB"/>
        </w:rPr>
        <w:t xml:space="preserve"> August where the Bank of England will update all its forecasts for growth, and inflation and will explain its thinking around Bank Rate and QE.  </w:t>
      </w:r>
    </w:p>
    <w:p w14:paraId="183800E7" w14:textId="77777777" w:rsidR="001F24A6" w:rsidRPr="00D52641" w:rsidRDefault="001F24A6" w:rsidP="008F557D">
      <w:pPr>
        <w:keepNext/>
        <w:keepLines/>
        <w:spacing w:after="199"/>
        <w:outlineLvl w:val="0"/>
        <w:rPr>
          <w:rFonts w:ascii="Arial" w:eastAsia="Arial" w:hAnsi="Arial" w:cs="Arial"/>
          <w:b/>
          <w:sz w:val="24"/>
          <w:szCs w:val="24"/>
          <w:lang w:eastAsia="en-GB"/>
        </w:rPr>
      </w:pPr>
      <w:bookmarkStart w:id="16" w:name="_Toc455760570"/>
      <w:bookmarkStart w:id="17" w:name="_Toc455994016"/>
      <w:bookmarkStart w:id="18" w:name="_Toc456265899"/>
      <w:r w:rsidRPr="00D52641">
        <w:rPr>
          <w:rFonts w:ascii="Arial" w:eastAsia="Arial" w:hAnsi="Arial" w:cs="Arial"/>
          <w:b/>
          <w:sz w:val="24"/>
          <w:szCs w:val="24"/>
          <w:lang w:eastAsia="en-GB"/>
        </w:rPr>
        <w:t>CAPITA ASSET SERVICES’ FORWARD VIEW</w:t>
      </w:r>
      <w:bookmarkEnd w:id="16"/>
      <w:bookmarkEnd w:id="17"/>
      <w:bookmarkEnd w:id="18"/>
      <w:r w:rsidRPr="00D52641">
        <w:rPr>
          <w:rFonts w:ascii="Arial" w:eastAsia="Arial" w:hAnsi="Arial" w:cs="Arial"/>
          <w:b/>
          <w:sz w:val="24"/>
          <w:szCs w:val="24"/>
          <w:lang w:eastAsia="en-GB"/>
        </w:rPr>
        <w:t xml:space="preserve">  </w:t>
      </w:r>
    </w:p>
    <w:p w14:paraId="6A218899" w14:textId="54303F44" w:rsidR="008F557D" w:rsidRDefault="001F24A6" w:rsidP="003F32C7">
      <w:pPr>
        <w:spacing w:after="244" w:line="270" w:lineRule="auto"/>
        <w:jc w:val="both"/>
        <w:rPr>
          <w:rFonts w:ascii="Arial" w:eastAsia="Arial" w:hAnsi="Arial" w:cs="Arial"/>
          <w:sz w:val="24"/>
          <w:szCs w:val="24"/>
          <w:lang w:eastAsia="en-GB"/>
        </w:rPr>
      </w:pPr>
      <w:r w:rsidRPr="00D52641">
        <w:rPr>
          <w:rFonts w:ascii="Arial" w:eastAsia="Arial" w:hAnsi="Arial" w:cs="Arial"/>
          <w:sz w:val="24"/>
          <w:szCs w:val="24"/>
          <w:lang w:eastAsia="en-GB"/>
        </w:rPr>
        <w:t xml:space="preserve">Economic forecasting remains difficult with so many external influences weighing on the UK. Our Bank Rate forecasts will be liable to further amendment depending on how economic data and developments in the economy and financial markets transpire over the next year. Forecasts for average earnings beyond the three year time horizon will be heavily dependent on economic and political developments. Major volatility in bond yields is likely to endure as investor fears and confidence ebb and flow. </w:t>
      </w:r>
    </w:p>
    <w:p w14:paraId="5F27A2E6" w14:textId="59F7F14A" w:rsidR="001F24A6" w:rsidRPr="00D52641" w:rsidRDefault="001F24A6" w:rsidP="003F32C7">
      <w:pPr>
        <w:spacing w:after="244"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The overall longer-run trend is for gilt yields to rise, albeit gently.  An eventual world economic recovery may also see investors switching from the safe haven of bonds to equities.</w:t>
      </w:r>
    </w:p>
    <w:p w14:paraId="0EA12853" w14:textId="77777777" w:rsidR="001F24A6" w:rsidRPr="00D52641" w:rsidRDefault="001F24A6" w:rsidP="008F557D">
      <w:pPr>
        <w:spacing w:after="244"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We have pointed out consistently that the Fed Funds Rate is likely to go up more quickly and more strongly than Bank Rate in the UK, and recent events have not changed that view, although that the timing of increases may be deferred.  While there is normally a high degree of correlation between US and UK government bond yields, we expect to see a decoupling, with US yield rising faster than those in the UK.</w:t>
      </w:r>
    </w:p>
    <w:p w14:paraId="5794B8AA" w14:textId="77777777" w:rsidR="001F24A6" w:rsidRPr="00D52641" w:rsidRDefault="001F24A6" w:rsidP="008F557D">
      <w:pPr>
        <w:spacing w:after="138"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The overall balance of risks to economic recovery in the UK remains to the downside.  Although economic growth remains relatively steady, only time will tell whether some of the global headwinds sap some of the strength from the UK’s future growth. </w:t>
      </w:r>
    </w:p>
    <w:p w14:paraId="0F56712E" w14:textId="1E9A3AC8" w:rsidR="008F557D" w:rsidRDefault="001F24A6" w:rsidP="001F24A6">
      <w:pPr>
        <w:spacing w:after="138" w:line="270" w:lineRule="auto"/>
        <w:jc w:val="both"/>
        <w:rPr>
          <w:rFonts w:ascii="Arial" w:eastAsia="Arial" w:hAnsi="Arial" w:cs="Arial"/>
          <w:sz w:val="24"/>
          <w:szCs w:val="24"/>
          <w:lang w:eastAsia="en-GB"/>
        </w:rPr>
      </w:pPr>
      <w:r w:rsidRPr="00D52641">
        <w:rPr>
          <w:rFonts w:ascii="Arial" w:eastAsia="Arial" w:hAnsi="Arial" w:cs="Arial"/>
          <w:sz w:val="24"/>
          <w:szCs w:val="24"/>
          <w:lang w:eastAsia="en-GB"/>
        </w:rPr>
        <w:t>We would, as always, remind clients of the view that we have expressed in our previous interest rate revision newsflashes of just how volatile bond yields are at present.  We are experiencing exceptional levels of volatility which are highly correlated to emerging market, geopolitical and sovereign debt crisis developments.</w:t>
      </w:r>
    </w:p>
    <w:p w14:paraId="71BBE119" w14:textId="77777777" w:rsidR="001F24A6" w:rsidRPr="00D52641" w:rsidRDefault="001F24A6" w:rsidP="001F24A6">
      <w:pPr>
        <w:spacing w:after="138" w:line="270" w:lineRule="auto"/>
        <w:jc w:val="both"/>
        <w:rPr>
          <w:rFonts w:ascii="Arial" w:eastAsia="Arial" w:hAnsi="Arial" w:cs="Arial"/>
          <w:sz w:val="24"/>
          <w:szCs w:val="24"/>
          <w:lang w:eastAsia="en-GB"/>
        </w:rPr>
      </w:pPr>
      <w:r w:rsidRPr="00D52641">
        <w:rPr>
          <w:rFonts w:ascii="Arial" w:eastAsia="Arial" w:hAnsi="Arial" w:cs="Arial"/>
          <w:sz w:val="24"/>
          <w:szCs w:val="24"/>
          <w:lang w:eastAsia="en-GB"/>
        </w:rPr>
        <w:t xml:space="preserve">Apart from the uncertainties already explained above, downside risks to current forecasts for UK gilt yields currently include:  </w:t>
      </w:r>
    </w:p>
    <w:p w14:paraId="4FB77638" w14:textId="77777777" w:rsidR="001F24A6" w:rsidRPr="00D52641" w:rsidRDefault="001F24A6" w:rsidP="008F557D">
      <w:pPr>
        <w:numPr>
          <w:ilvl w:val="0"/>
          <w:numId w:val="23"/>
        </w:numPr>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Emerging country economies, currencies and corporates destabilised by falling commodity prices and / or Fed Funds Rate increases, causing a further flight to safe havens (bonds). </w:t>
      </w:r>
    </w:p>
    <w:p w14:paraId="4C3F0FBF" w14:textId="77777777" w:rsidR="001F24A6" w:rsidRPr="00D52641" w:rsidRDefault="001F24A6" w:rsidP="008F557D">
      <w:pPr>
        <w:numPr>
          <w:ilvl w:val="0"/>
          <w:numId w:val="23"/>
        </w:numPr>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Geopolitical risks in Europe, the Middle East and Asia, increasing safe haven flows.  </w:t>
      </w:r>
    </w:p>
    <w:p w14:paraId="2A4BDE37" w14:textId="77777777" w:rsidR="001F24A6" w:rsidRPr="00D52641" w:rsidRDefault="001F24A6" w:rsidP="008F557D">
      <w:pPr>
        <w:numPr>
          <w:ilvl w:val="0"/>
          <w:numId w:val="23"/>
        </w:numPr>
        <w:spacing w:after="166"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UK economic growth and increases in inflation are weaker than we currently anticipate.  </w:t>
      </w:r>
    </w:p>
    <w:p w14:paraId="3B98B6ED" w14:textId="77777777" w:rsidR="001F24A6" w:rsidRPr="00D52641" w:rsidRDefault="001F24A6" w:rsidP="008F557D">
      <w:pPr>
        <w:numPr>
          <w:ilvl w:val="0"/>
          <w:numId w:val="23"/>
        </w:numPr>
        <w:spacing w:after="105"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Weak growth or recession in the UK’s main trading partners - the EU and US.  </w:t>
      </w:r>
    </w:p>
    <w:p w14:paraId="6CAE7EDB" w14:textId="77777777" w:rsidR="001F24A6" w:rsidRPr="00D52641" w:rsidRDefault="001F24A6" w:rsidP="008F557D">
      <w:pPr>
        <w:numPr>
          <w:ilvl w:val="0"/>
          <w:numId w:val="23"/>
        </w:numPr>
        <w:spacing w:after="10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A resurgence of the eurozone sovereign debt crisis. </w:t>
      </w:r>
    </w:p>
    <w:p w14:paraId="7D4592D0" w14:textId="77777777" w:rsidR="001F24A6" w:rsidRPr="00D52641" w:rsidRDefault="001F24A6" w:rsidP="008F557D">
      <w:pPr>
        <w:numPr>
          <w:ilvl w:val="0"/>
          <w:numId w:val="23"/>
        </w:numPr>
        <w:spacing w:after="105"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Recapitalisation of European banks requiring more government financial support. </w:t>
      </w:r>
    </w:p>
    <w:p w14:paraId="711E2E1F" w14:textId="77777777" w:rsidR="001F24A6" w:rsidRPr="00D52641" w:rsidRDefault="001F24A6" w:rsidP="008F557D">
      <w:pPr>
        <w:numPr>
          <w:ilvl w:val="0"/>
          <w:numId w:val="23"/>
        </w:numPr>
        <w:spacing w:after="243"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Monetary policy action failing to stimulate sustainable growth and combat the threat of deflation in western economies, especially the eurozone and Japan. </w:t>
      </w:r>
    </w:p>
    <w:p w14:paraId="2DDC3F24" w14:textId="77777777" w:rsidR="001F24A6" w:rsidRPr="00D52641" w:rsidRDefault="001F24A6" w:rsidP="001F24A6">
      <w:pPr>
        <w:spacing w:after="138" w:line="270" w:lineRule="auto"/>
        <w:jc w:val="both"/>
        <w:rPr>
          <w:rFonts w:ascii="Calibri" w:eastAsia="Calibri" w:hAnsi="Calibri" w:cs="Calibri"/>
          <w:sz w:val="24"/>
          <w:szCs w:val="24"/>
          <w:lang w:eastAsia="en-GB"/>
        </w:rPr>
      </w:pPr>
      <w:r w:rsidRPr="00D52641">
        <w:rPr>
          <w:rFonts w:ascii="Arial" w:eastAsia="Arial" w:hAnsi="Arial" w:cs="Arial"/>
          <w:sz w:val="24"/>
          <w:szCs w:val="24"/>
          <w:lang w:eastAsia="en-GB"/>
        </w:rPr>
        <w:t>The potential for upside risks to current forecasts for UK gilt yields, especially for longer term yields include:</w:t>
      </w:r>
    </w:p>
    <w:p w14:paraId="756F26DC" w14:textId="77777777" w:rsidR="001F24A6" w:rsidRPr="00D52641" w:rsidRDefault="001F24A6" w:rsidP="008F557D">
      <w:pPr>
        <w:numPr>
          <w:ilvl w:val="0"/>
          <w:numId w:val="23"/>
        </w:numPr>
        <w:tabs>
          <w:tab w:val="left" w:pos="540"/>
        </w:tabs>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The pace and timing of increases in the Fed Funds Rate causing a fundamental reassessment by investors of the relative risks of holding bonds as opposed to equities and leading to a major flight from bonds to equities. </w:t>
      </w:r>
    </w:p>
    <w:p w14:paraId="4432BD82" w14:textId="77777777" w:rsidR="001F24A6" w:rsidRPr="00D52641" w:rsidRDefault="001F24A6" w:rsidP="008F557D">
      <w:pPr>
        <w:numPr>
          <w:ilvl w:val="0"/>
          <w:numId w:val="23"/>
        </w:numPr>
        <w:tabs>
          <w:tab w:val="left" w:pos="540"/>
        </w:tabs>
        <w:spacing w:after="138" w:line="270" w:lineRule="auto"/>
        <w:ind w:left="540" w:hanging="540"/>
        <w:jc w:val="both"/>
        <w:rPr>
          <w:rFonts w:ascii="Calibri" w:eastAsia="Calibri" w:hAnsi="Calibri" w:cs="Calibri"/>
          <w:sz w:val="24"/>
          <w:szCs w:val="24"/>
          <w:lang w:eastAsia="en-GB"/>
        </w:rPr>
      </w:pPr>
      <w:r w:rsidRPr="00D52641">
        <w:rPr>
          <w:rFonts w:ascii="Arial" w:eastAsia="Arial" w:hAnsi="Arial" w:cs="Arial"/>
          <w:sz w:val="24"/>
          <w:szCs w:val="24"/>
          <w:lang w:eastAsia="en-GB"/>
        </w:rPr>
        <w:t xml:space="preserve">UK inflation returning to significantly higher levels than in the wider EU and US, causing an increase in the inflation premium inherent to gilt yields.  </w:t>
      </w:r>
    </w:p>
    <w:p w14:paraId="699CFA2B" w14:textId="77777777" w:rsidR="001F24A6" w:rsidRPr="00D52641" w:rsidRDefault="001F24A6" w:rsidP="001F24A6">
      <w:pPr>
        <w:spacing w:after="9" w:line="270" w:lineRule="auto"/>
        <w:ind w:right="221"/>
        <w:jc w:val="both"/>
        <w:rPr>
          <w:rFonts w:ascii="Arial" w:eastAsia="Arial" w:hAnsi="Arial" w:cs="Arial"/>
          <w:sz w:val="24"/>
          <w:szCs w:val="24"/>
          <w:lang w:eastAsia="en-GB"/>
        </w:rPr>
      </w:pPr>
      <w:r w:rsidRPr="00D52641">
        <w:rPr>
          <w:rFonts w:ascii="Calibri" w:eastAsia="Calibri" w:hAnsi="Calibri" w:cs="Calibri"/>
          <w:noProof/>
          <w:color w:val="000000"/>
          <w:sz w:val="24"/>
          <w:szCs w:val="24"/>
          <w:lang w:eastAsia="en-GB"/>
        </w:rPr>
        <w:drawing>
          <wp:inline distT="0" distB="0" distL="0" distR="0" wp14:anchorId="6CEA01EF" wp14:editId="6859252F">
            <wp:extent cx="5807033" cy="6858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9863" cy="686134"/>
                    </a:xfrm>
                    <a:prstGeom prst="rect">
                      <a:avLst/>
                    </a:prstGeom>
                    <a:noFill/>
                    <a:ln>
                      <a:noFill/>
                    </a:ln>
                  </pic:spPr>
                </pic:pic>
              </a:graphicData>
            </a:graphic>
          </wp:inline>
        </w:drawing>
      </w:r>
    </w:p>
    <w:p w14:paraId="46362A93" w14:textId="77777777" w:rsidR="001F24A6" w:rsidRPr="00D52641" w:rsidRDefault="001F24A6" w:rsidP="001F24A6">
      <w:pPr>
        <w:spacing w:after="9" w:line="270" w:lineRule="auto"/>
        <w:ind w:right="221"/>
        <w:jc w:val="both"/>
        <w:rPr>
          <w:rFonts w:ascii="Arial" w:eastAsia="Arial" w:hAnsi="Arial" w:cs="Arial"/>
          <w:sz w:val="24"/>
          <w:szCs w:val="24"/>
          <w:lang w:eastAsia="en-GB"/>
        </w:rPr>
      </w:pPr>
    </w:p>
    <w:p w14:paraId="270C12E9" w14:textId="77777777" w:rsidR="001F24A6" w:rsidRPr="00D52641" w:rsidRDefault="001F24A6" w:rsidP="001F24A6">
      <w:pPr>
        <w:spacing w:after="9" w:line="270" w:lineRule="auto"/>
        <w:ind w:right="221"/>
        <w:jc w:val="both"/>
        <w:rPr>
          <w:rFonts w:ascii="Calibri" w:eastAsia="Calibri" w:hAnsi="Calibri" w:cs="Calibri"/>
          <w:sz w:val="24"/>
          <w:szCs w:val="24"/>
          <w:lang w:eastAsia="en-GB"/>
        </w:rPr>
      </w:pPr>
    </w:p>
    <w:p w14:paraId="153E2F64" w14:textId="77777777" w:rsidR="001F24A6" w:rsidRPr="00D52641" w:rsidRDefault="001F24A6" w:rsidP="001F24A6">
      <w:pPr>
        <w:spacing w:after="199"/>
        <w:rPr>
          <w:rFonts w:ascii="Calibri" w:eastAsia="Calibri" w:hAnsi="Calibri" w:cs="Calibri"/>
          <w:color w:val="000000"/>
          <w:sz w:val="24"/>
          <w:szCs w:val="24"/>
          <w:lang w:eastAsia="en-GB"/>
        </w:rPr>
      </w:pPr>
      <w:r w:rsidRPr="00D52641">
        <w:rPr>
          <w:rFonts w:ascii="Arial" w:eastAsia="Arial" w:hAnsi="Arial" w:cs="Arial"/>
          <w:b/>
          <w:color w:val="005B82"/>
          <w:sz w:val="24"/>
          <w:szCs w:val="24"/>
          <w:lang w:eastAsia="en-GB"/>
        </w:rPr>
        <w:t xml:space="preserve">Interest Rate Strategy Group </w:t>
      </w:r>
    </w:p>
    <w:p w14:paraId="0DACD264" w14:textId="77777777" w:rsidR="001F24A6" w:rsidRPr="00D52641" w:rsidRDefault="001F24A6" w:rsidP="001F24A6">
      <w:pPr>
        <w:spacing w:after="0" w:line="465" w:lineRule="auto"/>
        <w:ind w:right="4663"/>
        <w:rPr>
          <w:rFonts w:ascii="Calibri" w:eastAsia="Calibri" w:hAnsi="Calibri" w:cs="Calibri"/>
          <w:color w:val="000000"/>
          <w:sz w:val="24"/>
          <w:szCs w:val="24"/>
          <w:lang w:eastAsia="en-GB"/>
        </w:rPr>
      </w:pPr>
      <w:r w:rsidRPr="00D52641">
        <w:rPr>
          <w:rFonts w:ascii="Arial" w:eastAsia="Arial" w:hAnsi="Arial" w:cs="Arial"/>
          <w:b/>
          <w:color w:val="005B82"/>
          <w:sz w:val="24"/>
          <w:szCs w:val="24"/>
          <w:lang w:eastAsia="en-GB"/>
        </w:rPr>
        <w:t xml:space="preserve">020 7611 0513 www.capitaassetservices.com </w:t>
      </w:r>
    </w:p>
    <w:p w14:paraId="3A100F9C" w14:textId="77777777" w:rsidR="001F24A6" w:rsidRPr="00D52641" w:rsidRDefault="001F24A6" w:rsidP="001F24A6">
      <w:pPr>
        <w:spacing w:after="125"/>
        <w:ind w:left="113"/>
        <w:rPr>
          <w:rFonts w:ascii="Calibri" w:eastAsia="Calibri" w:hAnsi="Calibri" w:cs="Calibri"/>
          <w:color w:val="000000"/>
          <w:sz w:val="24"/>
          <w:szCs w:val="24"/>
          <w:lang w:eastAsia="en-GB"/>
        </w:rPr>
      </w:pPr>
      <w:r w:rsidRPr="00D52641">
        <w:rPr>
          <w:rFonts w:ascii="Calibri" w:eastAsia="Calibri" w:hAnsi="Calibri" w:cs="Calibri"/>
          <w:noProof/>
          <w:color w:val="000000"/>
          <w:sz w:val="24"/>
          <w:szCs w:val="24"/>
          <w:lang w:eastAsia="en-GB"/>
        </w:rPr>
        <mc:AlternateContent>
          <mc:Choice Requires="wpg">
            <w:drawing>
              <wp:inline distT="0" distB="0" distL="0" distR="0" wp14:anchorId="3EF4638D" wp14:editId="409BEC25">
                <wp:extent cx="5796661" cy="6096"/>
                <wp:effectExtent l="0" t="0" r="0" b="0"/>
                <wp:docPr id="6551" name="Group 6551"/>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8338" name="Shape 833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solidFill>
                            <a:srgbClr val="C7C2BA"/>
                          </a:solidFill>
                          <a:ln w="0" cap="flat">
                            <a:noFill/>
                            <a:round/>
                          </a:ln>
                          <a:effectLst/>
                        </wps:spPr>
                        <wps:bodyPr/>
                      </wps:wsp>
                    </wpg:wgp>
                  </a:graphicData>
                </a:graphic>
              </wp:inline>
            </w:drawing>
          </mc:Choice>
          <mc:Fallback xmlns:w15="http://schemas.microsoft.com/office/word/2012/wordml">
            <w:pict>
              <v:group w14:anchorId="04B9E67E" id="Group 6551" o:spid="_x0000_s1026" style="width:456.45pt;height:.5pt;mso-position-horizontal-relative:char;mso-position-vertical-relative:lin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">
                <v:shape id="Shape 8338"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rD8EA&#10;AADdAAAADwAAAGRycy9kb3ducmV2LnhtbERPy4rCMBTdD/gP4QpuBk21IFKNIj7QhQg6g+tLc22r&#10;zU1pYq1/bxaCy8N5zxatKUVDtSssKxgOIhDEqdUFZwr+/7b9CQjnkTWWlknBixws5p2fGSbaPvlE&#10;zdlnIoSwS1BB7n2VSOnSnAy6ga2IA3e1tUEfYJ1JXeMzhJtSjqJoLA0WHBpyrGiVU3o/P4yCat1c&#10;muy2erltcTw4/I1vp81OqV63XU5BeGr9V/xx77WCS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Q6w/BAAAA3QAAAA8AAAAAAAAAAAAAAAAAmAIAAGRycy9kb3du&#10;cmV2LnhtbFBLBQYAAAAABAAEAPUAAACGAwAAAAA=&#10;" path="m,l5796661,r,9144l,9144,,e" fillcolor="#c7c2ba" stroked="f" strokeweight="0">
                  <v:path arrowok="t" textboxrect="0,0,5796661,9144"/>
                </v:shape>
                <w10:anchorlock/>
              </v:group>
            </w:pict>
          </mc:Fallback>
        </mc:AlternateContent>
      </w:r>
    </w:p>
    <w:p w14:paraId="15339FE0" w14:textId="77777777" w:rsidR="001F24A6" w:rsidRPr="00D52641" w:rsidRDefault="001F24A6" w:rsidP="001F24A6">
      <w:pPr>
        <w:spacing w:after="3" w:line="276" w:lineRule="auto"/>
        <w:ind w:left="137" w:right="338" w:hanging="10"/>
        <w:rPr>
          <w:rFonts w:ascii="Calibri" w:eastAsia="Calibri" w:hAnsi="Calibri" w:cs="Calibri"/>
          <w:color w:val="000000"/>
          <w:sz w:val="24"/>
          <w:szCs w:val="24"/>
          <w:lang w:eastAsia="en-GB"/>
        </w:rPr>
      </w:pPr>
      <w:r w:rsidRPr="00D52641">
        <w:rPr>
          <w:rFonts w:ascii="Arial" w:eastAsia="Arial" w:hAnsi="Arial" w:cs="Arial"/>
          <w:color w:val="747678"/>
          <w:sz w:val="24"/>
          <w:szCs w:val="24"/>
          <w:lang w:eastAsia="en-GB"/>
        </w:rPr>
        <w:t xml:space="preserve">Whilst Capita Asset Services makes every effort to ensure that all the information it provides is accurate and complete, it does not guarantee the correctness or the due receipt of such information and will not be held responsible for any errors therein or omissions arising there from.  All information supplied by Capita Asset Services should only be used as a factor to assist in the making of a business decision and should not be used as a sole basis for any decision.  The Client should not regard the advice or information as a substitute for the exercise by the Client of its own judgement. </w:t>
      </w:r>
    </w:p>
    <w:p w14:paraId="788923CC" w14:textId="77777777" w:rsidR="001F24A6" w:rsidRPr="00D52641" w:rsidRDefault="001F24A6" w:rsidP="001F24A6">
      <w:pPr>
        <w:spacing w:after="14"/>
        <w:ind w:left="142"/>
        <w:rPr>
          <w:rFonts w:ascii="Calibri" w:eastAsia="Calibri" w:hAnsi="Calibri" w:cs="Calibri"/>
          <w:color w:val="000000"/>
          <w:sz w:val="24"/>
          <w:szCs w:val="24"/>
          <w:lang w:eastAsia="en-GB"/>
        </w:rPr>
      </w:pPr>
      <w:r w:rsidRPr="00D52641">
        <w:rPr>
          <w:rFonts w:ascii="Arial" w:eastAsia="Arial" w:hAnsi="Arial" w:cs="Arial"/>
          <w:color w:val="747678"/>
          <w:sz w:val="24"/>
          <w:szCs w:val="24"/>
          <w:lang w:eastAsia="en-GB"/>
        </w:rPr>
        <w:t xml:space="preserve"> </w:t>
      </w:r>
    </w:p>
    <w:p w14:paraId="402F37A1" w14:textId="77777777" w:rsidR="001F24A6" w:rsidRPr="00D52641" w:rsidRDefault="001F24A6" w:rsidP="001F24A6">
      <w:pPr>
        <w:spacing w:after="3" w:line="276" w:lineRule="auto"/>
        <w:ind w:left="137" w:right="338" w:hanging="10"/>
        <w:rPr>
          <w:rFonts w:ascii="Calibri" w:eastAsia="Calibri" w:hAnsi="Calibri" w:cs="Calibri"/>
          <w:color w:val="000000"/>
          <w:sz w:val="24"/>
          <w:szCs w:val="24"/>
          <w:lang w:eastAsia="en-GB"/>
        </w:rPr>
      </w:pPr>
      <w:r w:rsidRPr="00D52641">
        <w:rPr>
          <w:rFonts w:ascii="Arial" w:eastAsia="Arial" w:hAnsi="Arial" w:cs="Arial"/>
          <w:color w:val="747678"/>
          <w:sz w:val="24"/>
          <w:szCs w:val="24"/>
          <w:lang w:eastAsia="en-GB"/>
        </w:rPr>
        <w:t xml:space="preserve">Capita Asset Services is a trading name of Capita Treasury solutions Limited which is authorised and regulated by the Financial Conduct Authority only for conducting advisory and arranging activities in the UK as part of its Treasury Management Service. Registered office: 71 Victoria Street, Westminster, London SW1H 0XA. Registered in England No. 2652033. </w:t>
      </w:r>
    </w:p>
    <w:p w14:paraId="7CFF83E1" w14:textId="77777777" w:rsidR="00D52641" w:rsidRDefault="00D52641" w:rsidP="00D52641"/>
    <w:sectPr w:rsidR="00D52641" w:rsidSect="00A069C9">
      <w:headerReference w:type="even" r:id="rId23"/>
      <w:footerReference w:type="even" r:id="rId24"/>
      <w:footerReference w:type="default" r:id="rId25"/>
      <w:pgSz w:w="11906" w:h="16838"/>
      <w:pgMar w:top="990" w:right="144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4E820" w14:textId="77777777" w:rsidR="002D0B9A" w:rsidRDefault="002D0B9A" w:rsidP="001F24A6">
      <w:pPr>
        <w:spacing w:after="0" w:line="240" w:lineRule="auto"/>
      </w:pPr>
      <w:r>
        <w:separator/>
      </w:r>
    </w:p>
  </w:endnote>
  <w:endnote w:type="continuationSeparator" w:id="0">
    <w:p w14:paraId="33235BDE" w14:textId="77777777" w:rsidR="002D0B9A" w:rsidRDefault="002D0B9A" w:rsidP="001F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Serif">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A8767" w14:textId="77777777" w:rsidR="002D0B9A" w:rsidRDefault="002D0B9A">
    <w:pPr>
      <w:pStyle w:val="Footer"/>
    </w:pPr>
    <w:r>
      <w:rPr>
        <w:rFonts w:ascii="Calibri,Bold" w:hAnsi="Calibri,Bold" w:cs="Calibri,Bold"/>
        <w:b/>
        <w:bCs/>
        <w:color w:val="005A83"/>
      </w:rPr>
      <w:t>Treasury solutions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C93E" w14:textId="77777777" w:rsidR="002D0B9A" w:rsidRDefault="002D0B9A" w:rsidP="00D52641">
    <w:pPr>
      <w:pStyle w:val="Footer"/>
    </w:pPr>
    <w:r>
      <w:rPr>
        <w:rFonts w:ascii="Calibri,Bold" w:hAnsi="Calibri,Bold" w:cs="Calibri,Bold"/>
        <w:b/>
        <w:bCs/>
        <w:color w:val="005A83"/>
      </w:rPr>
      <w:t>Treasury solutions</w:t>
    </w:r>
    <w:r>
      <w:rPr>
        <w:rFonts w:ascii="Calibri,Bold" w:hAnsi="Calibri,Bold" w:cs="Calibri,Bold"/>
        <w:b/>
        <w:bCs/>
        <w:color w:val="005A83"/>
      </w:rPr>
      <w:tab/>
    </w:r>
    <w:r>
      <w:rPr>
        <w:rFonts w:ascii="Calibri,Bold" w:hAnsi="Calibri,Bold" w:cs="Calibri,Bold"/>
        <w:b/>
        <w:bCs/>
        <w:color w:val="005A83"/>
      </w:rPr>
      <w:tab/>
    </w:r>
  </w:p>
  <w:p w14:paraId="1EC01117" w14:textId="77777777" w:rsidR="002D0B9A" w:rsidRDefault="002D0B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8B5E5" w14:textId="77777777" w:rsidR="002D0B9A" w:rsidRDefault="002D0B9A">
    <w:pPr>
      <w:spacing w:after="0"/>
      <w:ind w:right="1"/>
      <w:jc w:val="right"/>
    </w:pPr>
    <w:r>
      <w:rPr>
        <w:noProof/>
        <w:lang w:eastAsia="en-GB"/>
      </w:rPr>
      <mc:AlternateContent>
        <mc:Choice Requires="wpg">
          <w:drawing>
            <wp:anchor distT="0" distB="0" distL="114300" distR="114300" simplePos="0" relativeHeight="251666432" behindDoc="0" locked="0" layoutInCell="1" allowOverlap="1" wp14:anchorId="3DDCD656" wp14:editId="5C178545">
              <wp:simplePos x="0" y="0"/>
              <wp:positionH relativeFrom="page">
                <wp:posOffset>343535</wp:posOffset>
              </wp:positionH>
              <wp:positionV relativeFrom="page">
                <wp:posOffset>10116832</wp:posOffset>
              </wp:positionV>
              <wp:extent cx="6877050" cy="9525"/>
              <wp:effectExtent l="0" t="0" r="0" b="0"/>
              <wp:wrapSquare wrapText="bothSides"/>
              <wp:docPr id="7976" name="Group 7976"/>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7977" name="Shape 7977"/>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20E18CFF" id="Group 7976" o:spid="_x0000_s1026" style="position:absolute;margin-left:27.05pt;margin-top:796.6pt;width:541.5pt;height:.75pt;z-index:251666432;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">
              <v:shape id="Shape 7977"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1McQA&#10;AADdAAAADwAAAGRycy9kb3ducmV2LnhtbESPzUoEMRCE74LvEHrBm9uzHhx33OwigqgoyP48QJO0&#10;M4OTzphkfvbtjSB4LKrqK2qzm12nRg6x9aJhtSxAsRhvW6k1nI5P13egYiKx1HlhDWeOsNteXmyo&#10;sn6SPY+HVKsMkViRhialvkKMpmFHcel7lux9+uAoZRlqtIGmDHcd3hTFLTpqJS801PNjw+brMDgN&#10;gxneXsP+uTN4Hr/7j4TxfUKtrxbzwz2oxHP6D/+1X6yGcl2W8PsmPw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tTHEAAAA3QAAAA8AAAAAAAAAAAAAAAAAmAIAAGRycy9k&#10;b3ducmV2LnhtbFBLBQYAAAAABAAEAPUAAACJAwAAAAA=&#10;" path="m,l6877050,e" filled="f" strokecolor="#a1c6cf">
                <v:path arrowok="t" textboxrect="0,0,6877050,0"/>
              </v:shape>
              <w10:wrap type="square" anchorx="page" anchory="page"/>
            </v:group>
          </w:pict>
        </mc:Fallback>
      </mc:AlternateContent>
    </w:r>
    <w:r>
      <w:rPr>
        <w:rFonts w:ascii="Arial" w:eastAsia="Arial" w:hAnsi="Arial" w:cs="Arial"/>
        <w:color w:val="3A3B3C"/>
      </w:rPr>
      <w:t xml:space="preserve">Capita Asset Services      </w:t>
    </w:r>
    <w:r>
      <w:rPr>
        <w:rFonts w:ascii="Calibri" w:eastAsia="Calibri" w:hAnsi="Calibri" w:cs="Calibri"/>
        <w:color w:val="000000"/>
      </w:rPr>
      <w:fldChar w:fldCharType="begin"/>
    </w:r>
    <w:r>
      <w:instrText xml:space="preserve"> PAGE   \* MERGEFORMAT </w:instrText>
    </w:r>
    <w:r>
      <w:rPr>
        <w:rFonts w:ascii="Calibri" w:eastAsia="Calibri" w:hAnsi="Calibri" w:cs="Calibri"/>
        <w:color w:val="000000"/>
      </w:rPr>
      <w:fldChar w:fldCharType="separate"/>
    </w:r>
    <w:r w:rsidRPr="005621D3">
      <w:rPr>
        <w:rFonts w:ascii="Arial" w:eastAsia="Arial" w:hAnsi="Arial" w:cs="Arial"/>
        <w:noProof/>
        <w:color w:val="3A3B3C"/>
      </w:rPr>
      <w:t>4</w:t>
    </w:r>
    <w:r>
      <w:rPr>
        <w:rFonts w:ascii="Arial" w:eastAsia="Arial" w:hAnsi="Arial" w:cs="Arial"/>
        <w:color w:val="3A3B3C"/>
      </w:rPr>
      <w:fldChar w:fldCharType="end"/>
    </w:r>
    <w:r>
      <w:rPr>
        <w:rFonts w:ascii="Arial" w:eastAsia="Arial" w:hAnsi="Arial" w:cs="Arial"/>
        <w:color w:val="3A3B3C"/>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02835" w14:textId="2FFA3C1D" w:rsidR="002D0B9A" w:rsidRDefault="002D0B9A">
    <w:pPr>
      <w:spacing w:after="0"/>
      <w:ind w:right="1"/>
      <w:jc w:val="right"/>
    </w:pPr>
    <w:r>
      <w:rPr>
        <w:rFonts w:ascii="Arial" w:eastAsia="Arial" w:hAnsi="Arial" w:cs="Arial"/>
        <w:color w:val="3A3B3C"/>
      </w:rPr>
      <w:t xml:space="preserve">Capita Asset Services      </w:t>
    </w:r>
    <w:r>
      <w:rPr>
        <w:rFonts w:ascii="Calibri" w:eastAsia="Calibri" w:hAnsi="Calibri" w:cs="Calibri"/>
        <w:color w:val="000000"/>
      </w:rPr>
      <w:fldChar w:fldCharType="begin"/>
    </w:r>
    <w:r>
      <w:instrText xml:space="preserve"> PAGE   \* MERGEFORMAT </w:instrText>
    </w:r>
    <w:r>
      <w:rPr>
        <w:rFonts w:ascii="Calibri" w:eastAsia="Calibri" w:hAnsi="Calibri" w:cs="Calibri"/>
        <w:color w:val="000000"/>
      </w:rPr>
      <w:fldChar w:fldCharType="separate"/>
    </w:r>
    <w:r w:rsidR="0017396A" w:rsidRPr="0017396A">
      <w:rPr>
        <w:rFonts w:ascii="Arial" w:eastAsia="Arial" w:hAnsi="Arial" w:cs="Arial"/>
        <w:noProof/>
        <w:color w:val="3A3B3C"/>
      </w:rPr>
      <w:t>2</w:t>
    </w:r>
    <w:r>
      <w:rPr>
        <w:rFonts w:ascii="Arial" w:eastAsia="Arial" w:hAnsi="Arial" w:cs="Arial"/>
        <w:color w:val="3A3B3C"/>
      </w:rPr>
      <w:fldChar w:fldCharType="end"/>
    </w:r>
    <w:r>
      <w:rPr>
        <w:rFonts w:ascii="Arial" w:eastAsia="Arial" w:hAnsi="Arial" w:cs="Arial"/>
        <w:color w:val="3A3B3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998B8" w14:textId="77777777" w:rsidR="002D0B9A" w:rsidRDefault="002D0B9A" w:rsidP="001F24A6">
      <w:pPr>
        <w:spacing w:after="0" w:line="240" w:lineRule="auto"/>
      </w:pPr>
      <w:r>
        <w:separator/>
      </w:r>
    </w:p>
  </w:footnote>
  <w:footnote w:type="continuationSeparator" w:id="0">
    <w:p w14:paraId="33B8BE4D" w14:textId="77777777" w:rsidR="002D0B9A" w:rsidRDefault="002D0B9A" w:rsidP="001F2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77B4E" w14:textId="477CD1A4" w:rsidR="002D0B9A" w:rsidRDefault="002D0B9A">
    <w:pPr>
      <w:pStyle w:val="Header"/>
    </w:pPr>
    <w:r w:rsidRPr="002B32C6">
      <w:rPr>
        <w:noProof/>
        <w:lang w:eastAsia="en-GB"/>
      </w:rPr>
      <w:drawing>
        <wp:anchor distT="0" distB="0" distL="114300" distR="114300" simplePos="0" relativeHeight="251660288" behindDoc="1" locked="0" layoutInCell="1" allowOverlap="1" wp14:anchorId="7583AB51" wp14:editId="4E778334">
          <wp:simplePos x="0" y="0"/>
          <wp:positionH relativeFrom="page">
            <wp:posOffset>5507107</wp:posOffset>
          </wp:positionH>
          <wp:positionV relativeFrom="page">
            <wp:posOffset>179070</wp:posOffset>
          </wp:positionV>
          <wp:extent cx="1562100" cy="361950"/>
          <wp:effectExtent l="19050" t="0" r="0" b="0"/>
          <wp:wrapNone/>
          <wp:docPr id="15" name="Picture 15" descr="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S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36195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2B32C6">
      <w:rPr>
        <w:noProof/>
        <w:lang w:eastAsia="en-GB"/>
      </w:rPr>
      <w:drawing>
        <wp:anchor distT="0" distB="0" distL="114300" distR="114300" simplePos="0" relativeHeight="251659264" behindDoc="0" locked="0" layoutInCell="1" allowOverlap="1" wp14:anchorId="3A69EB12" wp14:editId="2C48A3D9">
          <wp:simplePos x="0" y="0"/>
          <wp:positionH relativeFrom="margin">
            <wp:posOffset>278268</wp:posOffset>
          </wp:positionH>
          <wp:positionV relativeFrom="page">
            <wp:posOffset>179070</wp:posOffset>
          </wp:positionV>
          <wp:extent cx="1769110" cy="361950"/>
          <wp:effectExtent l="19050" t="0" r="2540" b="0"/>
          <wp:wrapNone/>
          <wp:docPr id="35" name="Picture 35" descr="A4 Capita_rgb 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4 Capita_rgb 1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9110" cy="3619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E3FE9" w14:textId="77777777" w:rsidR="002D0B9A" w:rsidRDefault="002D0B9A">
    <w:pPr>
      <w:pStyle w:val="Header"/>
    </w:pPr>
    <w:r w:rsidRPr="002B32C6">
      <w:rPr>
        <w:noProof/>
        <w:lang w:eastAsia="en-GB"/>
      </w:rPr>
      <w:drawing>
        <wp:anchor distT="0" distB="0" distL="114300" distR="114300" simplePos="0" relativeHeight="251662336" behindDoc="1" locked="0" layoutInCell="1" allowOverlap="1" wp14:anchorId="21407049" wp14:editId="402069F3">
          <wp:simplePos x="0" y="0"/>
          <wp:positionH relativeFrom="page">
            <wp:posOffset>5615320</wp:posOffset>
          </wp:positionH>
          <wp:positionV relativeFrom="page">
            <wp:posOffset>513907</wp:posOffset>
          </wp:positionV>
          <wp:extent cx="1565201" cy="361507"/>
          <wp:effectExtent l="19050" t="0" r="0" b="0"/>
          <wp:wrapNone/>
          <wp:docPr id="9" name="Picture 15" descr="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S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7068" cy="36307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2B32C6">
      <w:rPr>
        <w:noProof/>
        <w:lang w:eastAsia="en-GB"/>
      </w:rPr>
      <w:drawing>
        <wp:anchor distT="0" distB="0" distL="114300" distR="114300" simplePos="0" relativeHeight="251661312" behindDoc="0" locked="0" layoutInCell="1" allowOverlap="1" wp14:anchorId="368D696B" wp14:editId="6A11F50D">
          <wp:simplePos x="0" y="0"/>
          <wp:positionH relativeFrom="margin">
            <wp:posOffset>-232587</wp:posOffset>
          </wp:positionH>
          <wp:positionV relativeFrom="page">
            <wp:posOffset>513907</wp:posOffset>
          </wp:positionV>
          <wp:extent cx="1764680" cy="361507"/>
          <wp:effectExtent l="19050" t="0" r="2540" b="0"/>
          <wp:wrapNone/>
          <wp:docPr id="10" name="Picture 35" descr="A4 Capita_rgb 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4 Capita_rgb 1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9110" cy="3625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F0BB4" w14:textId="77777777" w:rsidR="002D0B9A" w:rsidRDefault="002D0B9A">
    <w:pPr>
      <w:tabs>
        <w:tab w:val="center" w:pos="1652"/>
      </w:tabs>
      <w:spacing w:after="0"/>
      <w:ind w:left="-50"/>
    </w:pPr>
    <w:r>
      <w:rPr>
        <w:noProof/>
        <w:lang w:eastAsia="en-GB"/>
      </w:rPr>
      <mc:AlternateContent>
        <mc:Choice Requires="wpg">
          <w:drawing>
            <wp:anchor distT="0" distB="0" distL="114300" distR="114300" simplePos="0" relativeHeight="251664384" behindDoc="0" locked="0" layoutInCell="1" allowOverlap="1" wp14:anchorId="34979BF2" wp14:editId="37465633">
              <wp:simplePos x="0" y="0"/>
              <wp:positionH relativeFrom="page">
                <wp:posOffset>343535</wp:posOffset>
              </wp:positionH>
              <wp:positionV relativeFrom="page">
                <wp:posOffset>360680</wp:posOffset>
              </wp:positionV>
              <wp:extent cx="6877050" cy="9525"/>
              <wp:effectExtent l="0" t="0" r="0" b="0"/>
              <wp:wrapSquare wrapText="bothSides"/>
              <wp:docPr id="7964" name="Group 7964"/>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7965" name="Shape 7965"/>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0CFCB9CE" id="Group 7964" o:spid="_x0000_s1026" style="position:absolute;margin-left:27.05pt;margin-top:28.4pt;width:541.5pt;height:.75pt;z-index:251664384;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">
              <v:shape id="Shape 7965"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YAMQA&#10;AADdAAAADwAAAGRycy9kb3ducmV2LnhtbESP3UoDMRSE74W+QzgF7+zZClbdNi1FEBUFae0DHJLj&#10;7uLmZE2yP317IwheDjPzDbPZTa5VA4fYeNGwXBSgWIy3jVQaTh+PV3egYiKx1HphDWeOsNvOLjZU&#10;Wj/KgYdjqlSGSCxJQ51SVyJGU7OjuPAdS/Y+fXCUsgwV2kBjhrsWr4tihY4ayQs1dfxQs/k69k5D&#10;b/rXl3B4ag2eh+/uPWF8G1Hry/m0X4NKPKX/8F/72Wq4vV/dwO+b/AR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GADEAAAA3QAAAA8AAAAAAAAAAAAAAAAAmAIAAGRycy9k&#10;b3ducmV2LnhtbFBLBQYAAAAABAAEAPUAAACJAwAAAAA=&#10;" path="m,l6877050,e" filled="f" strokecolor="#a1c6cf">
                <v:path arrowok="t" textboxrect="0,0,6877050,0"/>
              </v:shape>
              <w10:wrap type="square" anchorx="page" anchory="page"/>
            </v:group>
          </w:pict>
        </mc:Fallback>
      </mc:AlternateContent>
    </w:r>
    <w:r>
      <w:rPr>
        <w:noProof/>
        <w:lang w:eastAsia="en-GB"/>
      </w:rPr>
      <mc:AlternateContent>
        <mc:Choice Requires="wpg">
          <w:drawing>
            <wp:anchor distT="0" distB="0" distL="114300" distR="114300" simplePos="0" relativeHeight="251665408" behindDoc="0" locked="0" layoutInCell="1" allowOverlap="1" wp14:anchorId="2065C0B7" wp14:editId="7A9EEC51">
              <wp:simplePos x="0" y="0"/>
              <wp:positionH relativeFrom="page">
                <wp:posOffset>343535</wp:posOffset>
              </wp:positionH>
              <wp:positionV relativeFrom="page">
                <wp:posOffset>678815</wp:posOffset>
              </wp:positionV>
              <wp:extent cx="6877050" cy="9525"/>
              <wp:effectExtent l="0" t="0" r="0" b="0"/>
              <wp:wrapSquare wrapText="bothSides"/>
              <wp:docPr id="7966" name="Group 7966"/>
              <wp:cNvGraphicFramePr/>
              <a:graphic xmlns:a="http://schemas.openxmlformats.org/drawingml/2006/main">
                <a:graphicData uri="http://schemas.microsoft.com/office/word/2010/wordprocessingGroup">
                  <wpg:wgp>
                    <wpg:cNvGrpSpPr/>
                    <wpg:grpSpPr>
                      <a:xfrm>
                        <a:off x="0" y="0"/>
                        <a:ext cx="6877050" cy="9525"/>
                        <a:chOff x="0" y="0"/>
                        <a:chExt cx="6877050" cy="9525"/>
                      </a:xfrm>
                    </wpg:grpSpPr>
                    <wps:wsp>
                      <wps:cNvPr id="7967" name="Shape 7967"/>
                      <wps:cNvSpPr/>
                      <wps:spPr>
                        <a:xfrm>
                          <a:off x="0" y="0"/>
                          <a:ext cx="6877050" cy="0"/>
                        </a:xfrm>
                        <a:custGeom>
                          <a:avLst/>
                          <a:gdLst/>
                          <a:ahLst/>
                          <a:cxnLst/>
                          <a:rect l="0" t="0" r="0" b="0"/>
                          <a:pathLst>
                            <a:path w="6877050">
                              <a:moveTo>
                                <a:pt x="0" y="0"/>
                              </a:moveTo>
                              <a:lnTo>
                                <a:pt x="6877050" y="0"/>
                              </a:lnTo>
                            </a:path>
                          </a:pathLst>
                        </a:custGeom>
                        <a:noFill/>
                        <a:ln w="9525" cap="flat" cmpd="sng" algn="ctr">
                          <a:solidFill>
                            <a:srgbClr val="A1C6CF"/>
                          </a:solidFill>
                          <a:prstDash val="solid"/>
                          <a:round/>
                        </a:ln>
                        <a:effectLst/>
                      </wps:spPr>
                      <wps:bodyPr/>
                    </wps:wsp>
                  </wpg:wgp>
                </a:graphicData>
              </a:graphic>
            </wp:anchor>
          </w:drawing>
        </mc:Choice>
        <mc:Fallback xmlns:w15="http://schemas.microsoft.com/office/word/2012/wordml">
          <w:pict>
            <v:group w14:anchorId="7B695826" id="Group 7966" o:spid="_x0000_s1026" style="position:absolute;margin-left:27.05pt;margin-top:53.45pt;width:541.5pt;height:.75pt;z-index:251665408;mso-position-horizontal-relative:page;mso-position-vertical-relative:page" coordsize="6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">
              <v:shape id="Shape 7967" o:spid="_x0000_s1027" style="position:absolute;width:68770;height:0;visibility:visible;mso-wrap-style:square;v-text-anchor:top" coordsize="6877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j7MQA&#10;AADdAAAADwAAAGRycy9kb3ducmV2LnhtbESP3UoDMRSE7wXfIRzBO3u2XrS6Ni2lICoK0uoDHJLT&#10;3aWbk22S/enbG0HwcpiZb5jVZnKtGjjExouG+awAxWK8baTS8P31fPcAKiYSS60X1nDhCJv19dWK&#10;SutH2fNwSJXKEIklaahT6krEaGp2FGe+Y8ne0QdHKctQoQ00Zrhr8b4oFuiokbxQU8e7ms3p0DsN&#10;venf38L+pTV4Gc7dZ8L4MaLWtzfT9glU4in9h//ar1bD8nGxhN83+Qn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zEAAAA3QAAAA8AAAAAAAAAAAAAAAAAmAIAAGRycy9k&#10;b3ducmV2LnhtbFBLBQYAAAAABAAEAPUAAACJAwAAAAA=&#10;" path="m,l6877050,e" filled="f" strokecolor="#a1c6cf">
                <v:path arrowok="t" textboxrect="0,0,6877050,0"/>
              </v:shape>
              <w10:wrap type="square" anchorx="page" anchory="page"/>
            </v:group>
          </w:pict>
        </mc:Fallback>
      </mc:AlternateContent>
    </w:r>
    <w:r>
      <w:rPr>
        <w:rFonts w:ascii="Arial" w:eastAsia="Arial" w:hAnsi="Arial" w:cs="Arial"/>
        <w:color w:val="3CB6CE"/>
        <w:sz w:val="18"/>
      </w:rPr>
      <w:t xml:space="preserve"> </w:t>
    </w:r>
    <w:r>
      <w:rPr>
        <w:rFonts w:ascii="Arial" w:eastAsia="Arial" w:hAnsi="Arial" w:cs="Arial"/>
        <w:b/>
        <w:color w:val="3CB6CE"/>
        <w:sz w:val="18"/>
      </w:rPr>
      <w:t>NEWSFLASH</w:t>
    </w:r>
    <w:r>
      <w:rPr>
        <w:rFonts w:ascii="Arial" w:eastAsia="Arial" w:hAnsi="Arial" w:cs="Arial"/>
        <w:color w:val="3A3B3C"/>
        <w:sz w:val="18"/>
      </w:rPr>
      <w:t xml:space="preserve"> </w:t>
    </w:r>
    <w:r>
      <w:rPr>
        <w:rFonts w:ascii="Arial" w:eastAsia="Arial" w:hAnsi="Arial" w:cs="Arial"/>
        <w:color w:val="3A3B3C"/>
        <w:sz w:val="1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A4395"/>
    <w:multiLevelType w:val="multilevel"/>
    <w:tmpl w:val="0409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91B1CB4"/>
    <w:multiLevelType w:val="hybridMultilevel"/>
    <w:tmpl w:val="A23EC3C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425361"/>
    <w:multiLevelType w:val="multilevel"/>
    <w:tmpl w:val="31F4CF9C"/>
    <w:lvl w:ilvl="0">
      <w:start w:val="1"/>
      <w:numFmt w:val="decimal"/>
      <w:lvlText w:val="%1."/>
      <w:lvlJc w:val="left"/>
      <w:pPr>
        <w:ind w:left="3402" w:hanging="850"/>
      </w:pPr>
      <w:rPr>
        <w:rFonts w:hint="default"/>
        <w:color w:val="44546A"/>
        <w:sz w:val="44"/>
        <w:szCs w:val="44"/>
      </w:rPr>
    </w:lvl>
    <w:lvl w:ilvl="1">
      <w:start w:val="1"/>
      <w:numFmt w:val="decimal"/>
      <w:pStyle w:val="Normalnumbered"/>
      <w:lvlText w:val="%1.%2."/>
      <w:lvlJc w:val="left"/>
      <w:pPr>
        <w:ind w:left="2268" w:hanging="850"/>
      </w:pPr>
      <w:rPr>
        <w:rFonts w:hint="default"/>
      </w:rPr>
    </w:lvl>
    <w:lvl w:ilvl="2">
      <w:start w:val="1"/>
      <w:numFmt w:val="decimal"/>
      <w:lvlText w:val="%1.%2.%3."/>
      <w:lvlJc w:val="left"/>
      <w:pPr>
        <w:tabs>
          <w:tab w:val="num" w:pos="2722"/>
        </w:tabs>
        <w:ind w:left="3402" w:hanging="850"/>
      </w:pPr>
      <w:rPr>
        <w:rFonts w:hint="default"/>
      </w:rPr>
    </w:lvl>
    <w:lvl w:ilvl="3">
      <w:start w:val="1"/>
      <w:numFmt w:val="decimal"/>
      <w:lvlText w:val="%1.%2.%3.%4."/>
      <w:lvlJc w:val="left"/>
      <w:pPr>
        <w:ind w:left="3402" w:hanging="850"/>
      </w:pPr>
      <w:rPr>
        <w:rFonts w:hint="default"/>
      </w:rPr>
    </w:lvl>
    <w:lvl w:ilvl="4">
      <w:start w:val="1"/>
      <w:numFmt w:val="decimal"/>
      <w:lvlText w:val="%1.%2.%3.%4.%5."/>
      <w:lvlJc w:val="left"/>
      <w:pPr>
        <w:ind w:left="3402" w:hanging="850"/>
      </w:pPr>
      <w:rPr>
        <w:rFonts w:hint="default"/>
      </w:rPr>
    </w:lvl>
    <w:lvl w:ilvl="5">
      <w:start w:val="1"/>
      <w:numFmt w:val="decimal"/>
      <w:lvlText w:val="%1.%2.%3.%4.%5.%6."/>
      <w:lvlJc w:val="left"/>
      <w:pPr>
        <w:ind w:left="3402" w:hanging="850"/>
      </w:pPr>
      <w:rPr>
        <w:rFonts w:hint="default"/>
      </w:rPr>
    </w:lvl>
    <w:lvl w:ilvl="6">
      <w:start w:val="1"/>
      <w:numFmt w:val="decimal"/>
      <w:lvlText w:val="%1.%2.%3.%4.%5.%6.%7."/>
      <w:lvlJc w:val="left"/>
      <w:pPr>
        <w:ind w:left="3402" w:hanging="850"/>
      </w:pPr>
      <w:rPr>
        <w:rFonts w:hint="default"/>
      </w:rPr>
    </w:lvl>
    <w:lvl w:ilvl="7">
      <w:start w:val="1"/>
      <w:numFmt w:val="decimal"/>
      <w:lvlText w:val="%1.%2.%3.%4.%5.%6.%7.%8."/>
      <w:lvlJc w:val="left"/>
      <w:pPr>
        <w:ind w:left="3402" w:hanging="850"/>
      </w:pPr>
      <w:rPr>
        <w:rFonts w:hint="default"/>
      </w:rPr>
    </w:lvl>
    <w:lvl w:ilvl="8">
      <w:start w:val="1"/>
      <w:numFmt w:val="decimal"/>
      <w:lvlText w:val="%1.%2.%3.%4.%5.%6.%7.%8.%9."/>
      <w:lvlJc w:val="left"/>
      <w:pPr>
        <w:ind w:left="3402" w:hanging="850"/>
      </w:pPr>
      <w:rPr>
        <w:rFonts w:hint="default"/>
      </w:rPr>
    </w:lvl>
  </w:abstractNum>
  <w:abstractNum w:abstractNumId="3">
    <w:nsid w:val="31C0546D"/>
    <w:multiLevelType w:val="hybridMultilevel"/>
    <w:tmpl w:val="6098068E"/>
    <w:lvl w:ilvl="0" w:tplc="DA9C4F54">
      <w:start w:val="1"/>
      <w:numFmt w:val="bullet"/>
      <w:lvlText w:val="•"/>
      <w:lvlJc w:val="left"/>
      <w:pPr>
        <w:ind w:left="2357"/>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1" w:tplc="C35C2BCA">
      <w:start w:val="1"/>
      <w:numFmt w:val="bullet"/>
      <w:lvlText w:val="o"/>
      <w:lvlJc w:val="left"/>
      <w:pPr>
        <w:ind w:left="3092"/>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2" w:tplc="47B2E410">
      <w:start w:val="1"/>
      <w:numFmt w:val="bullet"/>
      <w:lvlText w:val="▪"/>
      <w:lvlJc w:val="left"/>
      <w:pPr>
        <w:ind w:left="284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3" w:tplc="FA7E462A">
      <w:start w:val="1"/>
      <w:numFmt w:val="bullet"/>
      <w:lvlText w:val="•"/>
      <w:lvlJc w:val="left"/>
      <w:pPr>
        <w:ind w:left="356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4" w:tplc="08D6719C">
      <w:start w:val="1"/>
      <w:numFmt w:val="bullet"/>
      <w:lvlText w:val="o"/>
      <w:lvlJc w:val="left"/>
      <w:pPr>
        <w:ind w:left="428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5" w:tplc="FCF6036C">
      <w:start w:val="1"/>
      <w:numFmt w:val="bullet"/>
      <w:lvlText w:val="▪"/>
      <w:lvlJc w:val="left"/>
      <w:pPr>
        <w:ind w:left="500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6" w:tplc="AE569A70">
      <w:start w:val="1"/>
      <w:numFmt w:val="bullet"/>
      <w:lvlText w:val="•"/>
      <w:lvlJc w:val="left"/>
      <w:pPr>
        <w:ind w:left="572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7" w:tplc="67F6E852">
      <w:start w:val="1"/>
      <w:numFmt w:val="bullet"/>
      <w:lvlText w:val="o"/>
      <w:lvlJc w:val="left"/>
      <w:pPr>
        <w:ind w:left="644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lvl w:ilvl="8" w:tplc="29A280E8">
      <w:start w:val="1"/>
      <w:numFmt w:val="bullet"/>
      <w:lvlText w:val="▪"/>
      <w:lvlJc w:val="left"/>
      <w:pPr>
        <w:ind w:left="7161"/>
      </w:pPr>
      <w:rPr>
        <w:rFonts w:ascii="Courier New" w:eastAsia="Courier New" w:hAnsi="Courier New" w:cs="Courier New"/>
        <w:b w:val="0"/>
        <w:i w:val="0"/>
        <w:strike w:val="0"/>
        <w:dstrike w:val="0"/>
        <w:color w:val="3A3B3C"/>
        <w:sz w:val="22"/>
        <w:szCs w:val="22"/>
        <w:u w:val="none" w:color="000000"/>
        <w:bdr w:val="none" w:sz="0" w:space="0" w:color="auto"/>
        <w:shd w:val="clear" w:color="auto" w:fill="auto"/>
        <w:vertAlign w:val="baseline"/>
      </w:rPr>
    </w:lvl>
  </w:abstractNum>
  <w:abstractNum w:abstractNumId="4">
    <w:nsid w:val="488C6F3E"/>
    <w:multiLevelType w:val="hybridMultilevel"/>
    <w:tmpl w:val="4E80EFE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BED13EB"/>
    <w:multiLevelType w:val="hybridMultilevel"/>
    <w:tmpl w:val="84C6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255A95"/>
    <w:multiLevelType w:val="multilevel"/>
    <w:tmpl w:val="1E4CB6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04C3BA4"/>
    <w:multiLevelType w:val="multilevel"/>
    <w:tmpl w:val="65D88DF8"/>
    <w:lvl w:ilvl="0">
      <w:start w:val="1"/>
      <w:numFmt w:val="decimal"/>
      <w:lvlText w:val="%1."/>
      <w:lvlJc w:val="left"/>
      <w:pPr>
        <w:ind w:left="193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20" w:hanging="850"/>
      </w:pPr>
      <w:rPr>
        <w:rFonts w:hint="default"/>
        <w:color w:val="auto"/>
        <w:sz w:val="22"/>
        <w:szCs w:val="22"/>
      </w:rPr>
    </w:lvl>
    <w:lvl w:ilvl="2">
      <w:start w:val="1"/>
      <w:numFmt w:val="bullet"/>
      <w:lvlText w:val=""/>
      <w:lvlJc w:val="left"/>
      <w:pPr>
        <w:ind w:left="3402" w:hanging="850"/>
      </w:pPr>
      <w:rPr>
        <w:rFonts w:ascii="Wingdings" w:hAnsi="Wingdings" w:hint="default"/>
      </w:rPr>
    </w:lvl>
    <w:lvl w:ilvl="3">
      <w:start w:val="1"/>
      <w:numFmt w:val="decimal"/>
      <w:lvlText w:val="%1.%2.%3.%4."/>
      <w:lvlJc w:val="left"/>
      <w:pPr>
        <w:ind w:left="3402" w:hanging="850"/>
      </w:pPr>
      <w:rPr>
        <w:rFonts w:hint="default"/>
      </w:rPr>
    </w:lvl>
    <w:lvl w:ilvl="4">
      <w:start w:val="1"/>
      <w:numFmt w:val="decimal"/>
      <w:lvlText w:val="%1.%2.%3.%4.%5."/>
      <w:lvlJc w:val="left"/>
      <w:pPr>
        <w:ind w:left="3402" w:hanging="850"/>
      </w:pPr>
      <w:rPr>
        <w:rFonts w:hint="default"/>
      </w:rPr>
    </w:lvl>
    <w:lvl w:ilvl="5">
      <w:start w:val="1"/>
      <w:numFmt w:val="decimal"/>
      <w:lvlText w:val="%1.%2.%3.%4.%5.%6."/>
      <w:lvlJc w:val="left"/>
      <w:pPr>
        <w:ind w:left="3402" w:hanging="850"/>
      </w:pPr>
      <w:rPr>
        <w:rFonts w:hint="default"/>
      </w:rPr>
    </w:lvl>
    <w:lvl w:ilvl="6">
      <w:start w:val="1"/>
      <w:numFmt w:val="decimal"/>
      <w:lvlText w:val="%1.%2.%3.%4.%5.%6.%7."/>
      <w:lvlJc w:val="left"/>
      <w:pPr>
        <w:ind w:left="3402" w:hanging="850"/>
      </w:pPr>
      <w:rPr>
        <w:rFonts w:hint="default"/>
      </w:rPr>
    </w:lvl>
    <w:lvl w:ilvl="7">
      <w:start w:val="1"/>
      <w:numFmt w:val="decimal"/>
      <w:lvlText w:val="%1.%2.%3.%4.%5.%6.%7.%8."/>
      <w:lvlJc w:val="left"/>
      <w:pPr>
        <w:ind w:left="3402" w:hanging="850"/>
      </w:pPr>
      <w:rPr>
        <w:rFonts w:hint="default"/>
      </w:rPr>
    </w:lvl>
    <w:lvl w:ilvl="8">
      <w:start w:val="1"/>
      <w:numFmt w:val="decimal"/>
      <w:lvlText w:val="%1.%2.%3.%4.%5.%6.%7.%8.%9."/>
      <w:lvlJc w:val="left"/>
      <w:pPr>
        <w:ind w:left="3402" w:hanging="850"/>
      </w:pPr>
      <w:rPr>
        <w:rFonts w:hint="default"/>
      </w:rPr>
    </w:lvl>
  </w:abstractNum>
  <w:abstractNum w:abstractNumId="8">
    <w:nsid w:val="50AB0567"/>
    <w:multiLevelType w:val="multilevel"/>
    <w:tmpl w:val="BE241736"/>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7AF2C8A"/>
    <w:multiLevelType w:val="multilevel"/>
    <w:tmpl w:val="0409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7F27BAB"/>
    <w:multiLevelType w:val="hybridMultilevel"/>
    <w:tmpl w:val="1FBE46B0"/>
    <w:lvl w:ilvl="0" w:tplc="2AC2DC8A">
      <w:start w:val="1"/>
      <w:numFmt w:val="bullet"/>
      <w:lvlText w:val="•"/>
      <w:lvlJc w:val="left"/>
      <w:pPr>
        <w:ind w:left="1133"/>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1" w:tplc="5F04B138">
      <w:start w:val="1"/>
      <w:numFmt w:val="bullet"/>
      <w:lvlText w:val="o"/>
      <w:lvlJc w:val="left"/>
      <w:pPr>
        <w:ind w:left="167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2" w:tplc="395E451E">
      <w:start w:val="1"/>
      <w:numFmt w:val="bullet"/>
      <w:lvlText w:val="▪"/>
      <w:lvlJc w:val="left"/>
      <w:pPr>
        <w:ind w:left="239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3" w:tplc="0CE659F2">
      <w:start w:val="1"/>
      <w:numFmt w:val="bullet"/>
      <w:lvlText w:val="•"/>
      <w:lvlJc w:val="left"/>
      <w:pPr>
        <w:ind w:left="3119"/>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4" w:tplc="0A68A556">
      <w:start w:val="1"/>
      <w:numFmt w:val="bullet"/>
      <w:lvlText w:val="o"/>
      <w:lvlJc w:val="left"/>
      <w:pPr>
        <w:ind w:left="383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5" w:tplc="7B6A2402">
      <w:start w:val="1"/>
      <w:numFmt w:val="bullet"/>
      <w:lvlText w:val="▪"/>
      <w:lvlJc w:val="left"/>
      <w:pPr>
        <w:ind w:left="455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6" w:tplc="E99A5AC4">
      <w:start w:val="1"/>
      <w:numFmt w:val="bullet"/>
      <w:lvlText w:val="•"/>
      <w:lvlJc w:val="left"/>
      <w:pPr>
        <w:ind w:left="5279"/>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7" w:tplc="8BE8B67A">
      <w:start w:val="1"/>
      <w:numFmt w:val="bullet"/>
      <w:lvlText w:val="o"/>
      <w:lvlJc w:val="left"/>
      <w:pPr>
        <w:ind w:left="599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8" w:tplc="114E3F8E">
      <w:start w:val="1"/>
      <w:numFmt w:val="bullet"/>
      <w:lvlText w:val="▪"/>
      <w:lvlJc w:val="left"/>
      <w:pPr>
        <w:ind w:left="6719"/>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abstractNum>
  <w:abstractNum w:abstractNumId="11">
    <w:nsid w:val="6B25324D"/>
    <w:multiLevelType w:val="hybridMultilevel"/>
    <w:tmpl w:val="E2C2BCBA"/>
    <w:lvl w:ilvl="0" w:tplc="AB042E1E">
      <w:start w:val="1"/>
      <w:numFmt w:val="bullet"/>
      <w:lvlText w:val="•"/>
      <w:lvlJc w:val="left"/>
      <w:pPr>
        <w:ind w:left="2357"/>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1" w:tplc="945858DA">
      <w:start w:val="1"/>
      <w:numFmt w:val="bullet"/>
      <w:lvlText w:val="o"/>
      <w:lvlJc w:val="left"/>
      <w:pPr>
        <w:ind w:left="144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2" w:tplc="4058C580">
      <w:start w:val="1"/>
      <w:numFmt w:val="bullet"/>
      <w:lvlText w:val="▪"/>
      <w:lvlJc w:val="left"/>
      <w:pPr>
        <w:ind w:left="216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3" w:tplc="6ACA1DE6">
      <w:start w:val="1"/>
      <w:numFmt w:val="bullet"/>
      <w:lvlText w:val="•"/>
      <w:lvlJc w:val="left"/>
      <w:pPr>
        <w:ind w:left="2880"/>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4" w:tplc="464C5300">
      <w:start w:val="1"/>
      <w:numFmt w:val="bullet"/>
      <w:lvlText w:val="o"/>
      <w:lvlJc w:val="left"/>
      <w:pPr>
        <w:ind w:left="360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5" w:tplc="81A88CBE">
      <w:start w:val="1"/>
      <w:numFmt w:val="bullet"/>
      <w:lvlText w:val="▪"/>
      <w:lvlJc w:val="left"/>
      <w:pPr>
        <w:ind w:left="432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6" w:tplc="C16281D4">
      <w:start w:val="1"/>
      <w:numFmt w:val="bullet"/>
      <w:lvlText w:val="•"/>
      <w:lvlJc w:val="left"/>
      <w:pPr>
        <w:ind w:left="5040"/>
      </w:pPr>
      <w:rPr>
        <w:rFonts w:ascii="Arial" w:eastAsia="Arial" w:hAnsi="Arial" w:cs="Arial"/>
        <w:b w:val="0"/>
        <w:i w:val="0"/>
        <w:strike w:val="0"/>
        <w:dstrike w:val="0"/>
        <w:color w:val="3A3B3C"/>
        <w:sz w:val="22"/>
        <w:szCs w:val="22"/>
        <w:u w:val="none" w:color="000000"/>
        <w:bdr w:val="none" w:sz="0" w:space="0" w:color="auto"/>
        <w:shd w:val="clear" w:color="auto" w:fill="auto"/>
        <w:vertAlign w:val="baseline"/>
      </w:rPr>
    </w:lvl>
    <w:lvl w:ilvl="7" w:tplc="3560ECB4">
      <w:start w:val="1"/>
      <w:numFmt w:val="bullet"/>
      <w:lvlText w:val="o"/>
      <w:lvlJc w:val="left"/>
      <w:pPr>
        <w:ind w:left="576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lvl w:ilvl="8" w:tplc="4A44A0A4">
      <w:start w:val="1"/>
      <w:numFmt w:val="bullet"/>
      <w:lvlText w:val="▪"/>
      <w:lvlJc w:val="left"/>
      <w:pPr>
        <w:ind w:left="6480"/>
      </w:pPr>
      <w:rPr>
        <w:rFonts w:ascii="Segoe UI Symbol" w:eastAsia="Segoe UI Symbol" w:hAnsi="Segoe UI Symbol" w:cs="Segoe UI Symbol"/>
        <w:b w:val="0"/>
        <w:i w:val="0"/>
        <w:strike w:val="0"/>
        <w:dstrike w:val="0"/>
        <w:color w:val="3A3B3C"/>
        <w:sz w:val="22"/>
        <w:szCs w:val="22"/>
        <w:u w:val="none" w:color="000000"/>
        <w:bdr w:val="none" w:sz="0" w:space="0" w:color="auto"/>
        <w:shd w:val="clear" w:color="auto" w:fill="auto"/>
        <w:vertAlign w:val="baseline"/>
      </w:rPr>
    </w:lvl>
  </w:abstractNum>
  <w:abstractNum w:abstractNumId="12">
    <w:nsid w:val="722257D2"/>
    <w:multiLevelType w:val="multilevel"/>
    <w:tmpl w:val="BDBE9EAC"/>
    <w:lvl w:ilvl="0">
      <w:start w:val="1"/>
      <w:numFmt w:val="decimal"/>
      <w:lvlText w:val="%1."/>
      <w:lvlJc w:val="left"/>
      <w:pPr>
        <w:ind w:left="3402" w:hanging="850"/>
      </w:pPr>
      <w:rPr>
        <w:rFonts w:hint="default"/>
      </w:rPr>
    </w:lvl>
    <w:lvl w:ilvl="1">
      <w:start w:val="1"/>
      <w:numFmt w:val="bullet"/>
      <w:lvlText w:val=""/>
      <w:lvlJc w:val="left"/>
      <w:pPr>
        <w:ind w:left="2268" w:hanging="850"/>
      </w:pPr>
      <w:rPr>
        <w:rFonts w:ascii="Wingdings" w:hAnsi="Wingdings" w:hint="default"/>
      </w:rPr>
    </w:lvl>
    <w:lvl w:ilvl="2">
      <w:start w:val="1"/>
      <w:numFmt w:val="decimal"/>
      <w:lvlText w:val="%1.%2.%3."/>
      <w:lvlJc w:val="left"/>
      <w:pPr>
        <w:tabs>
          <w:tab w:val="num" w:pos="2722"/>
        </w:tabs>
        <w:ind w:left="3402" w:hanging="850"/>
      </w:pPr>
      <w:rPr>
        <w:rFonts w:hint="default"/>
      </w:rPr>
    </w:lvl>
    <w:lvl w:ilvl="3">
      <w:start w:val="1"/>
      <w:numFmt w:val="decimal"/>
      <w:lvlText w:val="%1.%2.%3.%4."/>
      <w:lvlJc w:val="left"/>
      <w:pPr>
        <w:ind w:left="3402" w:hanging="850"/>
      </w:pPr>
      <w:rPr>
        <w:rFonts w:hint="default"/>
      </w:rPr>
    </w:lvl>
    <w:lvl w:ilvl="4">
      <w:start w:val="1"/>
      <w:numFmt w:val="decimal"/>
      <w:lvlText w:val="%1.%2.%3.%4.%5."/>
      <w:lvlJc w:val="left"/>
      <w:pPr>
        <w:ind w:left="3402" w:hanging="850"/>
      </w:pPr>
      <w:rPr>
        <w:rFonts w:hint="default"/>
      </w:rPr>
    </w:lvl>
    <w:lvl w:ilvl="5">
      <w:start w:val="1"/>
      <w:numFmt w:val="decimal"/>
      <w:lvlText w:val="%1.%2.%3.%4.%5.%6."/>
      <w:lvlJc w:val="left"/>
      <w:pPr>
        <w:ind w:left="3402" w:hanging="850"/>
      </w:pPr>
      <w:rPr>
        <w:rFonts w:hint="default"/>
      </w:rPr>
    </w:lvl>
    <w:lvl w:ilvl="6">
      <w:start w:val="1"/>
      <w:numFmt w:val="decimal"/>
      <w:lvlText w:val="%1.%2.%3.%4.%5.%6.%7."/>
      <w:lvlJc w:val="left"/>
      <w:pPr>
        <w:ind w:left="3402" w:hanging="850"/>
      </w:pPr>
      <w:rPr>
        <w:rFonts w:hint="default"/>
      </w:rPr>
    </w:lvl>
    <w:lvl w:ilvl="7">
      <w:start w:val="1"/>
      <w:numFmt w:val="decimal"/>
      <w:lvlText w:val="%1.%2.%3.%4.%5.%6.%7.%8."/>
      <w:lvlJc w:val="left"/>
      <w:pPr>
        <w:ind w:left="3402" w:hanging="850"/>
      </w:pPr>
      <w:rPr>
        <w:rFonts w:hint="default"/>
      </w:rPr>
    </w:lvl>
    <w:lvl w:ilvl="8">
      <w:start w:val="1"/>
      <w:numFmt w:val="decimal"/>
      <w:lvlText w:val="%1.%2.%3.%4.%5.%6.%7.%8.%9."/>
      <w:lvlJc w:val="left"/>
      <w:pPr>
        <w:ind w:left="3402" w:hanging="850"/>
      </w:pPr>
      <w:rPr>
        <w:rFonts w:hint="default"/>
      </w:rPr>
    </w:lvl>
  </w:abstractNum>
  <w:num w:numId="1">
    <w:abstractNumId w:val="6"/>
  </w:num>
  <w:num w:numId="2">
    <w:abstractNumId w:val="8"/>
  </w:num>
  <w:num w:numId="3">
    <w:abstractNumId w:val="0"/>
  </w:num>
  <w:num w:numId="4">
    <w:abstractNumId w:val="2"/>
  </w:num>
  <w:num w:numId="5">
    <w:abstractNumId w:val="7"/>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9"/>
  </w:num>
  <w:num w:numId="15">
    <w:abstractNumId w:val="2"/>
  </w:num>
  <w:num w:numId="16">
    <w:abstractNumId w:val="2"/>
  </w:num>
  <w:num w:numId="17">
    <w:abstractNumId w:val="2"/>
  </w:num>
  <w:num w:numId="18">
    <w:abstractNumId w:val="2"/>
  </w:num>
  <w:num w:numId="19">
    <w:abstractNumId w:val="12"/>
  </w:num>
  <w:num w:numId="20">
    <w:abstractNumId w:val="2"/>
  </w:num>
  <w:num w:numId="21">
    <w:abstractNumId w:val="11"/>
  </w:num>
  <w:num w:numId="22">
    <w:abstractNumId w:val="3"/>
  </w:num>
  <w:num w:numId="23">
    <w:abstractNumId w:val="10"/>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4"/>
  </w:num>
  <w:num w:numId="34">
    <w:abstractNumId w:val="2"/>
  </w:num>
  <w:num w:numId="35">
    <w:abstractNumId w:val="2"/>
  </w:num>
  <w:num w:numId="36">
    <w:abstractNumId w:val="5"/>
  </w:num>
  <w:num w:numId="37">
    <w:abstractNumId w:val="2"/>
  </w:num>
  <w:num w:numId="38">
    <w:abstractNumId w:val="2"/>
  </w:num>
  <w:num w:numId="3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32"/>
    <w:rsid w:val="000B2B52"/>
    <w:rsid w:val="000E2A1F"/>
    <w:rsid w:val="001061BF"/>
    <w:rsid w:val="0017396A"/>
    <w:rsid w:val="001F24A6"/>
    <w:rsid w:val="0023237B"/>
    <w:rsid w:val="002432C9"/>
    <w:rsid w:val="00296C35"/>
    <w:rsid w:val="002D0B9A"/>
    <w:rsid w:val="00326153"/>
    <w:rsid w:val="00355744"/>
    <w:rsid w:val="003F32C7"/>
    <w:rsid w:val="0049208B"/>
    <w:rsid w:val="004C2D9F"/>
    <w:rsid w:val="004E3298"/>
    <w:rsid w:val="00564A72"/>
    <w:rsid w:val="00570B4B"/>
    <w:rsid w:val="005C20F7"/>
    <w:rsid w:val="005D18E9"/>
    <w:rsid w:val="0063469E"/>
    <w:rsid w:val="006C084B"/>
    <w:rsid w:val="00751265"/>
    <w:rsid w:val="00757A5F"/>
    <w:rsid w:val="007B1443"/>
    <w:rsid w:val="007C1D0E"/>
    <w:rsid w:val="007D7B71"/>
    <w:rsid w:val="007F5AA8"/>
    <w:rsid w:val="00877ED1"/>
    <w:rsid w:val="00892E8E"/>
    <w:rsid w:val="008F557D"/>
    <w:rsid w:val="00A04906"/>
    <w:rsid w:val="00A069C9"/>
    <w:rsid w:val="00AF74E7"/>
    <w:rsid w:val="00B065DA"/>
    <w:rsid w:val="00B27268"/>
    <w:rsid w:val="00BD47B0"/>
    <w:rsid w:val="00C01C9D"/>
    <w:rsid w:val="00C31832"/>
    <w:rsid w:val="00C40D0F"/>
    <w:rsid w:val="00C655DF"/>
    <w:rsid w:val="00C85B81"/>
    <w:rsid w:val="00D03508"/>
    <w:rsid w:val="00D11EC7"/>
    <w:rsid w:val="00D242B4"/>
    <w:rsid w:val="00D52641"/>
    <w:rsid w:val="00D9276A"/>
    <w:rsid w:val="00DB7E04"/>
    <w:rsid w:val="00E80AF0"/>
    <w:rsid w:val="00EE0D88"/>
    <w:rsid w:val="00EE3B7A"/>
    <w:rsid w:val="00EE4AF2"/>
    <w:rsid w:val="00F2569D"/>
    <w:rsid w:val="00FA0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9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8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F2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31832"/>
    <w:rPr>
      <w:sz w:val="16"/>
      <w:szCs w:val="16"/>
    </w:rPr>
  </w:style>
  <w:style w:type="paragraph" w:styleId="CommentText">
    <w:name w:val="annotation text"/>
    <w:basedOn w:val="Normal"/>
    <w:link w:val="CommentTextChar"/>
    <w:semiHidden/>
    <w:rsid w:val="00C31832"/>
    <w:pPr>
      <w:spacing w:after="0" w:line="240" w:lineRule="auto"/>
    </w:pPr>
    <w:rPr>
      <w:rFonts w:ascii="MS Serif" w:eastAsia="Times New Roman" w:hAnsi="MS Serif" w:cs="Times New Roman"/>
      <w:sz w:val="20"/>
      <w:szCs w:val="20"/>
      <w:lang w:eastAsia="en-GB"/>
    </w:rPr>
  </w:style>
  <w:style w:type="character" w:customStyle="1" w:styleId="CommentTextChar">
    <w:name w:val="Comment Text Char"/>
    <w:basedOn w:val="DefaultParagraphFont"/>
    <w:link w:val="CommentText"/>
    <w:semiHidden/>
    <w:rsid w:val="00C31832"/>
    <w:rPr>
      <w:rFonts w:ascii="MS Serif" w:eastAsia="Times New Roman" w:hAnsi="MS Serif" w:cs="Times New Roman"/>
      <w:sz w:val="20"/>
      <w:szCs w:val="20"/>
      <w:lang w:eastAsia="en-GB"/>
    </w:rPr>
  </w:style>
  <w:style w:type="paragraph" w:styleId="BalloonText">
    <w:name w:val="Balloon Text"/>
    <w:basedOn w:val="Normal"/>
    <w:link w:val="BalloonTextChar"/>
    <w:uiPriority w:val="99"/>
    <w:semiHidden/>
    <w:unhideWhenUsed/>
    <w:rsid w:val="00C3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32"/>
    <w:rPr>
      <w:rFonts w:ascii="Segoe UI" w:hAnsi="Segoe UI" w:cs="Segoe UI"/>
      <w:sz w:val="18"/>
      <w:szCs w:val="18"/>
    </w:rPr>
  </w:style>
  <w:style w:type="paragraph" w:styleId="ListParagraph">
    <w:name w:val="List Paragraph"/>
    <w:basedOn w:val="Normal"/>
    <w:uiPriority w:val="34"/>
    <w:qFormat/>
    <w:rsid w:val="00C31832"/>
    <w:pPr>
      <w:ind w:left="720"/>
      <w:contextualSpacing/>
    </w:pPr>
  </w:style>
  <w:style w:type="paragraph" w:customStyle="1" w:styleId="Heading2numbered">
    <w:name w:val="Heading 2 (numbered)"/>
    <w:next w:val="Normalnumbered"/>
    <w:qFormat/>
    <w:rsid w:val="00BD47B0"/>
    <w:pPr>
      <w:spacing w:after="200" w:line="276" w:lineRule="auto"/>
    </w:pPr>
    <w:rPr>
      <w:rFonts w:ascii="Calibri" w:eastAsiaTheme="majorEastAsia" w:hAnsi="Calibri" w:cstheme="majorBidi"/>
      <w:bCs/>
      <w:color w:val="ED7D31" w:themeColor="accent2"/>
      <w:sz w:val="26"/>
      <w:szCs w:val="26"/>
      <w:lang w:val="en-US" w:bidi="en-US"/>
    </w:rPr>
  </w:style>
  <w:style w:type="paragraph" w:customStyle="1" w:styleId="Normalnumbered">
    <w:name w:val="Normal (numbered)"/>
    <w:basedOn w:val="ListParagraph"/>
    <w:qFormat/>
    <w:rsid w:val="00BD47B0"/>
    <w:pPr>
      <w:numPr>
        <w:ilvl w:val="1"/>
        <w:numId w:val="4"/>
      </w:numPr>
      <w:spacing w:after="200" w:line="276" w:lineRule="auto"/>
    </w:pPr>
    <w:rPr>
      <w:rFonts w:eastAsiaTheme="minorEastAsia"/>
      <w:lang w:val="en-US" w:bidi="en-US"/>
    </w:rPr>
  </w:style>
  <w:style w:type="paragraph" w:customStyle="1" w:styleId="Heading1numbered">
    <w:name w:val="Heading 1 (numbered)"/>
    <w:next w:val="Heading2numbered"/>
    <w:qFormat/>
    <w:rsid w:val="00BD47B0"/>
    <w:pPr>
      <w:spacing w:after="480" w:line="276" w:lineRule="auto"/>
    </w:pPr>
    <w:rPr>
      <w:rFonts w:ascii="Calibri" w:eastAsiaTheme="minorEastAsia" w:hAnsi="Calibri"/>
      <w:bCs/>
      <w:color w:val="44546A" w:themeColor="text2"/>
      <w:spacing w:val="-20"/>
      <w:sz w:val="42"/>
      <w:szCs w:val="42"/>
      <w:lang w:val="en-US" w:bidi="en-US"/>
    </w:rPr>
  </w:style>
  <w:style w:type="paragraph" w:styleId="Header">
    <w:name w:val="header"/>
    <w:basedOn w:val="Normal"/>
    <w:link w:val="HeaderChar"/>
    <w:uiPriority w:val="99"/>
    <w:unhideWhenUsed/>
    <w:rsid w:val="005D1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8E9"/>
  </w:style>
  <w:style w:type="paragraph" w:styleId="Footer">
    <w:name w:val="footer"/>
    <w:basedOn w:val="Normal"/>
    <w:link w:val="FooterChar"/>
    <w:uiPriority w:val="99"/>
    <w:unhideWhenUsed/>
    <w:rsid w:val="005D1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8E9"/>
  </w:style>
  <w:style w:type="character" w:customStyle="1" w:styleId="Heading1Char">
    <w:name w:val="Heading 1 Char"/>
    <w:basedOn w:val="DefaultParagraphFont"/>
    <w:link w:val="Heading1"/>
    <w:uiPriority w:val="9"/>
    <w:rsid w:val="005D18E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18E9"/>
    <w:pPr>
      <w:outlineLvl w:val="9"/>
    </w:pPr>
    <w:rPr>
      <w:lang w:val="en-US"/>
    </w:rPr>
  </w:style>
  <w:style w:type="paragraph" w:styleId="TOC1">
    <w:name w:val="toc 1"/>
    <w:basedOn w:val="Normal"/>
    <w:next w:val="Normal"/>
    <w:autoRedefine/>
    <w:uiPriority w:val="39"/>
    <w:unhideWhenUsed/>
    <w:rsid w:val="005D18E9"/>
    <w:pPr>
      <w:spacing w:after="100"/>
    </w:pPr>
  </w:style>
  <w:style w:type="character" w:styleId="Hyperlink">
    <w:name w:val="Hyperlink"/>
    <w:basedOn w:val="DefaultParagraphFont"/>
    <w:uiPriority w:val="99"/>
    <w:unhideWhenUsed/>
    <w:rsid w:val="005D18E9"/>
    <w:rPr>
      <w:color w:val="0563C1" w:themeColor="hyperlink"/>
      <w:u w:val="single"/>
    </w:rPr>
  </w:style>
  <w:style w:type="character" w:customStyle="1" w:styleId="Heading2Char">
    <w:name w:val="Heading 2 Char"/>
    <w:basedOn w:val="DefaultParagraphFont"/>
    <w:link w:val="Heading2"/>
    <w:uiPriority w:val="9"/>
    <w:semiHidden/>
    <w:rsid w:val="001F24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03508"/>
    <w:pPr>
      <w:spacing w:after="100"/>
      <w:ind w:left="220"/>
    </w:pPr>
  </w:style>
  <w:style w:type="paragraph" w:styleId="CommentSubject">
    <w:name w:val="annotation subject"/>
    <w:basedOn w:val="CommentText"/>
    <w:next w:val="CommentText"/>
    <w:link w:val="CommentSubjectChar"/>
    <w:uiPriority w:val="99"/>
    <w:semiHidden/>
    <w:unhideWhenUsed/>
    <w:rsid w:val="004E329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E3298"/>
    <w:rPr>
      <w:rFonts w:ascii="MS Serif" w:eastAsia="Times New Roman" w:hAnsi="MS Serif" w:cs="Times New Roman"/>
      <w:b/>
      <w:bCs/>
      <w:sz w:val="20"/>
      <w:szCs w:val="20"/>
      <w:lang w:eastAsia="en-GB"/>
    </w:rPr>
  </w:style>
  <w:style w:type="paragraph" w:styleId="Revision">
    <w:name w:val="Revision"/>
    <w:hidden/>
    <w:uiPriority w:val="99"/>
    <w:semiHidden/>
    <w:rsid w:val="004E32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8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F2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31832"/>
    <w:rPr>
      <w:sz w:val="16"/>
      <w:szCs w:val="16"/>
    </w:rPr>
  </w:style>
  <w:style w:type="paragraph" w:styleId="CommentText">
    <w:name w:val="annotation text"/>
    <w:basedOn w:val="Normal"/>
    <w:link w:val="CommentTextChar"/>
    <w:semiHidden/>
    <w:rsid w:val="00C31832"/>
    <w:pPr>
      <w:spacing w:after="0" w:line="240" w:lineRule="auto"/>
    </w:pPr>
    <w:rPr>
      <w:rFonts w:ascii="MS Serif" w:eastAsia="Times New Roman" w:hAnsi="MS Serif" w:cs="Times New Roman"/>
      <w:sz w:val="20"/>
      <w:szCs w:val="20"/>
      <w:lang w:eastAsia="en-GB"/>
    </w:rPr>
  </w:style>
  <w:style w:type="character" w:customStyle="1" w:styleId="CommentTextChar">
    <w:name w:val="Comment Text Char"/>
    <w:basedOn w:val="DefaultParagraphFont"/>
    <w:link w:val="CommentText"/>
    <w:semiHidden/>
    <w:rsid w:val="00C31832"/>
    <w:rPr>
      <w:rFonts w:ascii="MS Serif" w:eastAsia="Times New Roman" w:hAnsi="MS Serif" w:cs="Times New Roman"/>
      <w:sz w:val="20"/>
      <w:szCs w:val="20"/>
      <w:lang w:eastAsia="en-GB"/>
    </w:rPr>
  </w:style>
  <w:style w:type="paragraph" w:styleId="BalloonText">
    <w:name w:val="Balloon Text"/>
    <w:basedOn w:val="Normal"/>
    <w:link w:val="BalloonTextChar"/>
    <w:uiPriority w:val="99"/>
    <w:semiHidden/>
    <w:unhideWhenUsed/>
    <w:rsid w:val="00C3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32"/>
    <w:rPr>
      <w:rFonts w:ascii="Segoe UI" w:hAnsi="Segoe UI" w:cs="Segoe UI"/>
      <w:sz w:val="18"/>
      <w:szCs w:val="18"/>
    </w:rPr>
  </w:style>
  <w:style w:type="paragraph" w:styleId="ListParagraph">
    <w:name w:val="List Paragraph"/>
    <w:basedOn w:val="Normal"/>
    <w:uiPriority w:val="34"/>
    <w:qFormat/>
    <w:rsid w:val="00C31832"/>
    <w:pPr>
      <w:ind w:left="720"/>
      <w:contextualSpacing/>
    </w:pPr>
  </w:style>
  <w:style w:type="paragraph" w:customStyle="1" w:styleId="Heading2numbered">
    <w:name w:val="Heading 2 (numbered)"/>
    <w:next w:val="Normalnumbered"/>
    <w:qFormat/>
    <w:rsid w:val="00BD47B0"/>
    <w:pPr>
      <w:spacing w:after="200" w:line="276" w:lineRule="auto"/>
    </w:pPr>
    <w:rPr>
      <w:rFonts w:ascii="Calibri" w:eastAsiaTheme="majorEastAsia" w:hAnsi="Calibri" w:cstheme="majorBidi"/>
      <w:bCs/>
      <w:color w:val="ED7D31" w:themeColor="accent2"/>
      <w:sz w:val="26"/>
      <w:szCs w:val="26"/>
      <w:lang w:val="en-US" w:bidi="en-US"/>
    </w:rPr>
  </w:style>
  <w:style w:type="paragraph" w:customStyle="1" w:styleId="Normalnumbered">
    <w:name w:val="Normal (numbered)"/>
    <w:basedOn w:val="ListParagraph"/>
    <w:qFormat/>
    <w:rsid w:val="00BD47B0"/>
    <w:pPr>
      <w:numPr>
        <w:ilvl w:val="1"/>
        <w:numId w:val="4"/>
      </w:numPr>
      <w:spacing w:after="200" w:line="276" w:lineRule="auto"/>
    </w:pPr>
    <w:rPr>
      <w:rFonts w:eastAsiaTheme="minorEastAsia"/>
      <w:lang w:val="en-US" w:bidi="en-US"/>
    </w:rPr>
  </w:style>
  <w:style w:type="paragraph" w:customStyle="1" w:styleId="Heading1numbered">
    <w:name w:val="Heading 1 (numbered)"/>
    <w:next w:val="Heading2numbered"/>
    <w:qFormat/>
    <w:rsid w:val="00BD47B0"/>
    <w:pPr>
      <w:spacing w:after="480" w:line="276" w:lineRule="auto"/>
    </w:pPr>
    <w:rPr>
      <w:rFonts w:ascii="Calibri" w:eastAsiaTheme="minorEastAsia" w:hAnsi="Calibri"/>
      <w:bCs/>
      <w:color w:val="44546A" w:themeColor="text2"/>
      <w:spacing w:val="-20"/>
      <w:sz w:val="42"/>
      <w:szCs w:val="42"/>
      <w:lang w:val="en-US" w:bidi="en-US"/>
    </w:rPr>
  </w:style>
  <w:style w:type="paragraph" w:styleId="Header">
    <w:name w:val="header"/>
    <w:basedOn w:val="Normal"/>
    <w:link w:val="HeaderChar"/>
    <w:uiPriority w:val="99"/>
    <w:unhideWhenUsed/>
    <w:rsid w:val="005D1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8E9"/>
  </w:style>
  <w:style w:type="paragraph" w:styleId="Footer">
    <w:name w:val="footer"/>
    <w:basedOn w:val="Normal"/>
    <w:link w:val="FooterChar"/>
    <w:uiPriority w:val="99"/>
    <w:unhideWhenUsed/>
    <w:rsid w:val="005D1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8E9"/>
  </w:style>
  <w:style w:type="character" w:customStyle="1" w:styleId="Heading1Char">
    <w:name w:val="Heading 1 Char"/>
    <w:basedOn w:val="DefaultParagraphFont"/>
    <w:link w:val="Heading1"/>
    <w:uiPriority w:val="9"/>
    <w:rsid w:val="005D18E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18E9"/>
    <w:pPr>
      <w:outlineLvl w:val="9"/>
    </w:pPr>
    <w:rPr>
      <w:lang w:val="en-US"/>
    </w:rPr>
  </w:style>
  <w:style w:type="paragraph" w:styleId="TOC1">
    <w:name w:val="toc 1"/>
    <w:basedOn w:val="Normal"/>
    <w:next w:val="Normal"/>
    <w:autoRedefine/>
    <w:uiPriority w:val="39"/>
    <w:unhideWhenUsed/>
    <w:rsid w:val="005D18E9"/>
    <w:pPr>
      <w:spacing w:after="100"/>
    </w:pPr>
  </w:style>
  <w:style w:type="character" w:styleId="Hyperlink">
    <w:name w:val="Hyperlink"/>
    <w:basedOn w:val="DefaultParagraphFont"/>
    <w:uiPriority w:val="99"/>
    <w:unhideWhenUsed/>
    <w:rsid w:val="005D18E9"/>
    <w:rPr>
      <w:color w:val="0563C1" w:themeColor="hyperlink"/>
      <w:u w:val="single"/>
    </w:rPr>
  </w:style>
  <w:style w:type="character" w:customStyle="1" w:styleId="Heading2Char">
    <w:name w:val="Heading 2 Char"/>
    <w:basedOn w:val="DefaultParagraphFont"/>
    <w:link w:val="Heading2"/>
    <w:uiPriority w:val="9"/>
    <w:semiHidden/>
    <w:rsid w:val="001F24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03508"/>
    <w:pPr>
      <w:spacing w:after="100"/>
      <w:ind w:left="220"/>
    </w:pPr>
  </w:style>
  <w:style w:type="paragraph" w:styleId="CommentSubject">
    <w:name w:val="annotation subject"/>
    <w:basedOn w:val="CommentText"/>
    <w:next w:val="CommentText"/>
    <w:link w:val="CommentSubjectChar"/>
    <w:uiPriority w:val="99"/>
    <w:semiHidden/>
    <w:unhideWhenUsed/>
    <w:rsid w:val="004E329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E3298"/>
    <w:rPr>
      <w:rFonts w:ascii="MS Serif" w:eastAsia="Times New Roman" w:hAnsi="MS Serif" w:cs="Times New Roman"/>
      <w:b/>
      <w:bCs/>
      <w:sz w:val="20"/>
      <w:szCs w:val="20"/>
      <w:lang w:eastAsia="en-GB"/>
    </w:rPr>
  </w:style>
  <w:style w:type="paragraph" w:styleId="Revision">
    <w:name w:val="Revision"/>
    <w:hidden/>
    <w:uiPriority w:val="99"/>
    <w:semiHidden/>
    <w:rsid w:val="004E32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AE5BD-F4A9-42E4-8A3D-01C2546C9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4561</Words>
  <Characters>26004</Characters>
  <Application>Microsoft Office Word</Application>
  <DocSecurity>4</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Webb</dc:creator>
  <cp:lastModifiedBy>Valerie Sharpe</cp:lastModifiedBy>
  <cp:revision>2</cp:revision>
  <cp:lastPrinted>2016-07-19T18:26:00Z</cp:lastPrinted>
  <dcterms:created xsi:type="dcterms:W3CDTF">2016-07-19T18:27:00Z</dcterms:created>
  <dcterms:modified xsi:type="dcterms:W3CDTF">2016-07-19T18:27:00Z</dcterms:modified>
</cp:coreProperties>
</file>