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DD" w:rsidRPr="00051144" w:rsidRDefault="0042782F">
      <w:pPr>
        <w:rPr>
          <w:rFonts w:ascii="Arial" w:hAnsi="Arial" w:cs="Arial"/>
          <w:sz w:val="32"/>
          <w:szCs w:val="32"/>
        </w:rPr>
      </w:pPr>
      <w:r w:rsidRPr="00051144">
        <w:rPr>
          <w:rFonts w:ascii="Arial" w:hAnsi="Arial" w:cs="Arial"/>
          <w:sz w:val="32"/>
          <w:szCs w:val="32"/>
        </w:rPr>
        <w:t xml:space="preserve">Hexagon Housing Association </w:t>
      </w:r>
    </w:p>
    <w:p w:rsidR="0042782F" w:rsidRPr="00051144" w:rsidRDefault="0042782F">
      <w:pPr>
        <w:rPr>
          <w:rFonts w:ascii="Arial" w:hAnsi="Arial" w:cs="Arial"/>
          <w:sz w:val="32"/>
          <w:szCs w:val="32"/>
        </w:rPr>
      </w:pPr>
      <w:r w:rsidRPr="00051144">
        <w:rPr>
          <w:rFonts w:ascii="Arial" w:hAnsi="Arial" w:cs="Arial"/>
          <w:sz w:val="32"/>
          <w:szCs w:val="32"/>
        </w:rPr>
        <w:t>Board of Management</w:t>
      </w:r>
    </w:p>
    <w:p w:rsidR="0042782F" w:rsidRPr="00051144" w:rsidRDefault="009C2196">
      <w:pPr>
        <w:rPr>
          <w:rFonts w:ascii="Arial" w:hAnsi="Arial" w:cs="Arial"/>
          <w:sz w:val="32"/>
          <w:szCs w:val="32"/>
        </w:rPr>
      </w:pPr>
      <w:r>
        <w:rPr>
          <w:rFonts w:ascii="Arial" w:hAnsi="Arial" w:cs="Arial"/>
          <w:sz w:val="32"/>
          <w:szCs w:val="32"/>
        </w:rPr>
        <w:t>2</w:t>
      </w:r>
      <w:r w:rsidR="009253BA">
        <w:rPr>
          <w:rFonts w:ascii="Arial" w:hAnsi="Arial" w:cs="Arial"/>
          <w:sz w:val="32"/>
          <w:szCs w:val="32"/>
        </w:rPr>
        <w:t>6 January 2016</w:t>
      </w:r>
    </w:p>
    <w:p w:rsidR="0042782F" w:rsidRPr="00051144" w:rsidRDefault="0042782F">
      <w:pPr>
        <w:rPr>
          <w:rFonts w:ascii="Arial" w:hAnsi="Arial" w:cs="Arial"/>
          <w:sz w:val="32"/>
          <w:szCs w:val="32"/>
        </w:rPr>
      </w:pPr>
      <w:r w:rsidRPr="00051144">
        <w:rPr>
          <w:rFonts w:ascii="Arial" w:hAnsi="Arial" w:cs="Arial"/>
          <w:sz w:val="32"/>
          <w:szCs w:val="32"/>
        </w:rPr>
        <w:t>Agenda item</w:t>
      </w:r>
      <w:r w:rsidR="006B5941">
        <w:rPr>
          <w:rFonts w:ascii="Arial" w:hAnsi="Arial" w:cs="Arial"/>
          <w:sz w:val="32"/>
          <w:szCs w:val="32"/>
        </w:rPr>
        <w:t xml:space="preserve"> 10</w:t>
      </w:r>
    </w:p>
    <w:p w:rsidR="0042782F" w:rsidRPr="00051144" w:rsidRDefault="0042782F">
      <w:pPr>
        <w:rPr>
          <w:rFonts w:ascii="Arial" w:hAnsi="Arial" w:cs="Arial"/>
          <w:sz w:val="32"/>
          <w:szCs w:val="32"/>
        </w:rPr>
      </w:pPr>
      <w:r w:rsidRPr="00051144">
        <w:rPr>
          <w:rFonts w:ascii="Arial" w:hAnsi="Arial" w:cs="Arial"/>
          <w:sz w:val="32"/>
          <w:szCs w:val="32"/>
        </w:rPr>
        <w:t>Q</w:t>
      </w:r>
      <w:r w:rsidR="009253BA">
        <w:rPr>
          <w:rFonts w:ascii="Arial" w:hAnsi="Arial" w:cs="Arial"/>
          <w:sz w:val="32"/>
          <w:szCs w:val="32"/>
        </w:rPr>
        <w:t>3</w:t>
      </w:r>
      <w:r w:rsidRPr="00051144">
        <w:rPr>
          <w:rFonts w:ascii="Arial" w:hAnsi="Arial" w:cs="Arial"/>
          <w:sz w:val="32"/>
          <w:szCs w:val="32"/>
        </w:rPr>
        <w:t xml:space="preserve">, 2015/16 Performance indicators </w:t>
      </w:r>
    </w:p>
    <w:p w:rsidR="0042782F" w:rsidRPr="00051144" w:rsidRDefault="0042782F">
      <w:pPr>
        <w:rPr>
          <w:rFonts w:ascii="Arial" w:hAnsi="Arial" w:cs="Arial"/>
          <w:sz w:val="32"/>
          <w:szCs w:val="32"/>
        </w:rPr>
      </w:pPr>
      <w:r w:rsidRPr="00051144">
        <w:rPr>
          <w:rFonts w:ascii="Arial" w:hAnsi="Arial" w:cs="Arial"/>
          <w:sz w:val="32"/>
          <w:szCs w:val="32"/>
        </w:rPr>
        <w:t>LBM: Rosalind Watson</w:t>
      </w:r>
    </w:p>
    <w:p w:rsidR="0042782F" w:rsidRPr="00051144" w:rsidRDefault="0042782F">
      <w:pPr>
        <w:rPr>
          <w:rFonts w:ascii="Arial" w:hAnsi="Arial" w:cs="Arial"/>
          <w:sz w:val="32"/>
          <w:szCs w:val="32"/>
        </w:rPr>
      </w:pPr>
      <w:r w:rsidRPr="00051144">
        <w:rPr>
          <w:rFonts w:ascii="Arial" w:hAnsi="Arial" w:cs="Arial"/>
          <w:sz w:val="32"/>
          <w:szCs w:val="32"/>
        </w:rPr>
        <w:t xml:space="preserve">Report by the Operations Director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42782F" w:rsidRPr="006B5941" w:rsidTr="00792AFB">
        <w:tc>
          <w:tcPr>
            <w:tcW w:w="750" w:type="dxa"/>
          </w:tcPr>
          <w:p w:rsidR="0042782F" w:rsidRPr="006B5941" w:rsidRDefault="0042782F">
            <w:pPr>
              <w:rPr>
                <w:rFonts w:ascii="Arial" w:hAnsi="Arial" w:cs="Arial"/>
                <w:b/>
                <w:i/>
                <w:sz w:val="28"/>
                <w:szCs w:val="28"/>
              </w:rPr>
            </w:pPr>
            <w:r w:rsidRPr="006B5941">
              <w:rPr>
                <w:rFonts w:ascii="Arial" w:hAnsi="Arial" w:cs="Arial"/>
                <w:b/>
                <w:i/>
                <w:sz w:val="28"/>
                <w:szCs w:val="28"/>
              </w:rPr>
              <w:t>1.</w:t>
            </w:r>
          </w:p>
        </w:tc>
        <w:tc>
          <w:tcPr>
            <w:tcW w:w="8492" w:type="dxa"/>
          </w:tcPr>
          <w:p w:rsidR="0042782F" w:rsidRPr="006B5941" w:rsidRDefault="0042782F">
            <w:pPr>
              <w:rPr>
                <w:rFonts w:ascii="Arial" w:hAnsi="Arial" w:cs="Arial"/>
                <w:b/>
                <w:i/>
                <w:sz w:val="28"/>
                <w:szCs w:val="28"/>
              </w:rPr>
            </w:pPr>
            <w:r w:rsidRPr="006B5941">
              <w:rPr>
                <w:rFonts w:ascii="Arial" w:hAnsi="Arial" w:cs="Arial"/>
                <w:b/>
                <w:i/>
                <w:sz w:val="28"/>
                <w:szCs w:val="28"/>
              </w:rPr>
              <w:t>Summary</w:t>
            </w:r>
          </w:p>
          <w:p w:rsidR="00051144" w:rsidRPr="006B5941" w:rsidRDefault="00051144">
            <w:pPr>
              <w:rPr>
                <w:rFonts w:ascii="Arial" w:hAnsi="Arial" w:cs="Arial"/>
                <w:b/>
                <w:i/>
                <w:sz w:val="28"/>
                <w:szCs w:val="28"/>
              </w:rPr>
            </w:pPr>
          </w:p>
        </w:tc>
      </w:tr>
      <w:tr w:rsidR="0042782F" w:rsidRPr="005930C8" w:rsidTr="00792AFB">
        <w:tc>
          <w:tcPr>
            <w:tcW w:w="750" w:type="dxa"/>
          </w:tcPr>
          <w:p w:rsidR="0042782F" w:rsidRPr="005930C8" w:rsidRDefault="0042782F">
            <w:pPr>
              <w:rPr>
                <w:rFonts w:ascii="Arial" w:hAnsi="Arial" w:cs="Arial"/>
                <w:sz w:val="24"/>
                <w:szCs w:val="24"/>
              </w:rPr>
            </w:pPr>
          </w:p>
        </w:tc>
        <w:tc>
          <w:tcPr>
            <w:tcW w:w="8492" w:type="dxa"/>
          </w:tcPr>
          <w:p w:rsidR="0042782F" w:rsidRPr="0008365C" w:rsidRDefault="001D38EB">
            <w:pPr>
              <w:rPr>
                <w:rFonts w:ascii="Arial" w:hAnsi="Arial" w:cs="Arial"/>
                <w:sz w:val="24"/>
                <w:szCs w:val="24"/>
              </w:rPr>
            </w:pPr>
            <w:r w:rsidRPr="0008365C">
              <w:rPr>
                <w:rFonts w:ascii="Arial" w:hAnsi="Arial" w:cs="Arial"/>
                <w:sz w:val="24"/>
                <w:szCs w:val="24"/>
              </w:rPr>
              <w:t>The report summarises the performa</w:t>
            </w:r>
            <w:r w:rsidR="009F77CC" w:rsidRPr="0008365C">
              <w:rPr>
                <w:rFonts w:ascii="Arial" w:hAnsi="Arial" w:cs="Arial"/>
                <w:sz w:val="24"/>
                <w:szCs w:val="24"/>
              </w:rPr>
              <w:t xml:space="preserve">nce on our key PIs for Quarter </w:t>
            </w:r>
            <w:r w:rsidR="009253BA" w:rsidRPr="0008365C">
              <w:rPr>
                <w:rFonts w:ascii="Arial" w:hAnsi="Arial" w:cs="Arial"/>
                <w:sz w:val="24"/>
                <w:szCs w:val="24"/>
              </w:rPr>
              <w:t>3</w:t>
            </w:r>
            <w:r w:rsidRPr="0008365C">
              <w:rPr>
                <w:rFonts w:ascii="Arial" w:hAnsi="Arial" w:cs="Arial"/>
                <w:sz w:val="24"/>
                <w:szCs w:val="24"/>
              </w:rPr>
              <w:t xml:space="preserve">. </w:t>
            </w:r>
          </w:p>
          <w:p w:rsidR="001D38EB" w:rsidRPr="0008365C" w:rsidRDefault="001D38EB">
            <w:pPr>
              <w:rPr>
                <w:rFonts w:ascii="Arial" w:hAnsi="Arial" w:cs="Arial"/>
                <w:sz w:val="24"/>
                <w:szCs w:val="24"/>
              </w:rPr>
            </w:pPr>
          </w:p>
          <w:p w:rsidR="001D38EB" w:rsidRPr="0008365C" w:rsidRDefault="001D38EB">
            <w:pPr>
              <w:rPr>
                <w:rFonts w:ascii="Arial" w:hAnsi="Arial" w:cs="Arial"/>
                <w:sz w:val="24"/>
                <w:szCs w:val="24"/>
              </w:rPr>
            </w:pPr>
            <w:r w:rsidRPr="0008365C">
              <w:rPr>
                <w:rFonts w:ascii="Arial" w:hAnsi="Arial" w:cs="Arial"/>
                <w:sz w:val="24"/>
                <w:szCs w:val="24"/>
              </w:rPr>
              <w:t xml:space="preserve">On </w:t>
            </w:r>
            <w:r w:rsidR="0008365C" w:rsidRPr="0008365C">
              <w:rPr>
                <w:rFonts w:ascii="Arial" w:hAnsi="Arial" w:cs="Arial"/>
                <w:sz w:val="24"/>
                <w:szCs w:val="24"/>
              </w:rPr>
              <w:t>9</w:t>
            </w:r>
            <w:r w:rsidRPr="0008365C">
              <w:rPr>
                <w:rFonts w:ascii="Arial" w:hAnsi="Arial" w:cs="Arial"/>
                <w:sz w:val="24"/>
                <w:szCs w:val="24"/>
              </w:rPr>
              <w:t xml:space="preserve"> of the </w:t>
            </w:r>
            <w:r w:rsidR="0008365C" w:rsidRPr="0008365C">
              <w:rPr>
                <w:rFonts w:ascii="Arial" w:hAnsi="Arial" w:cs="Arial"/>
                <w:sz w:val="24"/>
                <w:szCs w:val="24"/>
              </w:rPr>
              <w:t>17</w:t>
            </w:r>
            <w:r w:rsidRPr="0008365C">
              <w:rPr>
                <w:rFonts w:ascii="Arial" w:hAnsi="Arial" w:cs="Arial"/>
                <w:sz w:val="24"/>
                <w:szCs w:val="24"/>
              </w:rPr>
              <w:t xml:space="preserve"> indicators where an annual comparison with Q</w:t>
            </w:r>
            <w:r w:rsidR="00B44CB9" w:rsidRPr="0008365C">
              <w:rPr>
                <w:rFonts w:ascii="Arial" w:hAnsi="Arial" w:cs="Arial"/>
                <w:sz w:val="24"/>
                <w:szCs w:val="24"/>
              </w:rPr>
              <w:t>3</w:t>
            </w:r>
            <w:r w:rsidRPr="0008365C">
              <w:rPr>
                <w:rFonts w:ascii="Arial" w:hAnsi="Arial" w:cs="Arial"/>
                <w:sz w:val="24"/>
                <w:szCs w:val="24"/>
              </w:rPr>
              <w:t xml:space="preserve"> last </w:t>
            </w:r>
            <w:r w:rsidR="00343A98" w:rsidRPr="0008365C">
              <w:rPr>
                <w:rFonts w:ascii="Arial" w:hAnsi="Arial" w:cs="Arial"/>
                <w:sz w:val="24"/>
                <w:szCs w:val="24"/>
              </w:rPr>
              <w:t>year is</w:t>
            </w:r>
            <w:r w:rsidRPr="0008365C">
              <w:rPr>
                <w:rFonts w:ascii="Arial" w:hAnsi="Arial" w:cs="Arial"/>
                <w:sz w:val="24"/>
                <w:szCs w:val="24"/>
              </w:rPr>
              <w:t xml:space="preserve"> possible, performance improved and on </w:t>
            </w:r>
            <w:r w:rsidR="0008365C" w:rsidRPr="0008365C">
              <w:rPr>
                <w:rFonts w:ascii="Arial" w:hAnsi="Arial" w:cs="Arial"/>
                <w:sz w:val="24"/>
                <w:szCs w:val="24"/>
              </w:rPr>
              <w:t>7</w:t>
            </w:r>
            <w:r w:rsidRPr="0008365C">
              <w:rPr>
                <w:rFonts w:ascii="Arial" w:hAnsi="Arial" w:cs="Arial"/>
                <w:sz w:val="24"/>
                <w:szCs w:val="24"/>
              </w:rPr>
              <w:t xml:space="preserve"> it declined; on </w:t>
            </w:r>
            <w:r w:rsidR="0059553C" w:rsidRPr="0008365C">
              <w:rPr>
                <w:rFonts w:ascii="Arial" w:hAnsi="Arial" w:cs="Arial"/>
                <w:sz w:val="24"/>
                <w:szCs w:val="24"/>
              </w:rPr>
              <w:t>one</w:t>
            </w:r>
            <w:r w:rsidRPr="0008365C">
              <w:rPr>
                <w:rFonts w:ascii="Arial" w:hAnsi="Arial" w:cs="Arial"/>
                <w:sz w:val="24"/>
                <w:szCs w:val="24"/>
              </w:rPr>
              <w:t xml:space="preserve"> indicator, performance was about the same. </w:t>
            </w:r>
            <w:r w:rsidR="0008365C">
              <w:rPr>
                <w:rFonts w:ascii="Arial" w:hAnsi="Arial" w:cs="Arial"/>
                <w:sz w:val="24"/>
                <w:szCs w:val="24"/>
              </w:rPr>
              <w:t xml:space="preserve">This is overall a better position than in Q2. </w:t>
            </w:r>
          </w:p>
          <w:p w:rsidR="001D38EB" w:rsidRPr="00E313C4" w:rsidRDefault="001D38EB">
            <w:pPr>
              <w:rPr>
                <w:rFonts w:ascii="Arial" w:hAnsi="Arial" w:cs="Arial"/>
                <w:i/>
                <w:sz w:val="24"/>
                <w:szCs w:val="24"/>
              </w:rPr>
            </w:pPr>
          </w:p>
        </w:tc>
      </w:tr>
      <w:tr w:rsidR="0042782F" w:rsidRPr="006B5941" w:rsidTr="00792AFB">
        <w:tc>
          <w:tcPr>
            <w:tcW w:w="750" w:type="dxa"/>
          </w:tcPr>
          <w:p w:rsidR="0042782F" w:rsidRPr="006B5941" w:rsidRDefault="0042782F">
            <w:pPr>
              <w:rPr>
                <w:rFonts w:ascii="Arial" w:hAnsi="Arial" w:cs="Arial"/>
                <w:b/>
                <w:i/>
                <w:sz w:val="28"/>
                <w:szCs w:val="28"/>
              </w:rPr>
            </w:pPr>
            <w:r w:rsidRPr="006B5941">
              <w:rPr>
                <w:rFonts w:ascii="Arial" w:hAnsi="Arial" w:cs="Arial"/>
                <w:b/>
                <w:i/>
                <w:sz w:val="28"/>
                <w:szCs w:val="28"/>
              </w:rPr>
              <w:t xml:space="preserve">2. </w:t>
            </w:r>
          </w:p>
        </w:tc>
        <w:tc>
          <w:tcPr>
            <w:tcW w:w="8492" w:type="dxa"/>
          </w:tcPr>
          <w:p w:rsidR="0042782F" w:rsidRPr="006B5941" w:rsidRDefault="00051144">
            <w:pPr>
              <w:rPr>
                <w:rFonts w:ascii="Arial" w:hAnsi="Arial" w:cs="Arial"/>
                <w:b/>
                <w:i/>
                <w:sz w:val="28"/>
                <w:szCs w:val="28"/>
              </w:rPr>
            </w:pPr>
            <w:r w:rsidRPr="006B5941">
              <w:rPr>
                <w:rFonts w:ascii="Arial" w:hAnsi="Arial" w:cs="Arial"/>
                <w:b/>
                <w:i/>
                <w:sz w:val="28"/>
                <w:szCs w:val="28"/>
              </w:rPr>
              <w:t>Recommendation</w:t>
            </w:r>
          </w:p>
          <w:p w:rsidR="00051144" w:rsidRPr="006B5941" w:rsidRDefault="00051144">
            <w:pPr>
              <w:rPr>
                <w:rFonts w:ascii="Arial" w:hAnsi="Arial" w:cs="Arial"/>
                <w:b/>
                <w:i/>
                <w:sz w:val="28"/>
                <w:szCs w:val="28"/>
              </w:rPr>
            </w:pPr>
          </w:p>
        </w:tc>
      </w:tr>
      <w:tr w:rsidR="0042782F" w:rsidRPr="005930C8" w:rsidTr="00792AFB">
        <w:tc>
          <w:tcPr>
            <w:tcW w:w="750" w:type="dxa"/>
          </w:tcPr>
          <w:p w:rsidR="0042782F" w:rsidRPr="005930C8" w:rsidRDefault="00051144">
            <w:pPr>
              <w:rPr>
                <w:rFonts w:ascii="Arial" w:hAnsi="Arial" w:cs="Arial"/>
                <w:sz w:val="24"/>
                <w:szCs w:val="24"/>
              </w:rPr>
            </w:pPr>
            <w:r w:rsidRPr="005930C8">
              <w:rPr>
                <w:rFonts w:ascii="Arial" w:hAnsi="Arial" w:cs="Arial"/>
                <w:sz w:val="24"/>
                <w:szCs w:val="24"/>
              </w:rPr>
              <w:t>2.1</w:t>
            </w:r>
          </w:p>
        </w:tc>
        <w:tc>
          <w:tcPr>
            <w:tcW w:w="8492" w:type="dxa"/>
          </w:tcPr>
          <w:p w:rsidR="00051144" w:rsidRDefault="00051144">
            <w:pPr>
              <w:rPr>
                <w:rFonts w:ascii="Arial" w:hAnsi="Arial" w:cs="Arial"/>
                <w:sz w:val="24"/>
                <w:szCs w:val="24"/>
              </w:rPr>
            </w:pPr>
            <w:r w:rsidRPr="0008365C">
              <w:rPr>
                <w:rFonts w:ascii="Arial" w:hAnsi="Arial" w:cs="Arial"/>
                <w:sz w:val="24"/>
                <w:szCs w:val="24"/>
              </w:rPr>
              <w:t>The Board notes the Q</w:t>
            </w:r>
            <w:r w:rsidR="00B44CB9" w:rsidRPr="0008365C">
              <w:rPr>
                <w:rFonts w:ascii="Arial" w:hAnsi="Arial" w:cs="Arial"/>
                <w:sz w:val="24"/>
                <w:szCs w:val="24"/>
              </w:rPr>
              <w:t>3</w:t>
            </w:r>
            <w:r w:rsidRPr="0008365C">
              <w:rPr>
                <w:rFonts w:ascii="Arial" w:hAnsi="Arial" w:cs="Arial"/>
                <w:sz w:val="24"/>
                <w:szCs w:val="24"/>
              </w:rPr>
              <w:t xml:space="preserve"> performance and approves the actions shown in the commentaries in the tables to improve performance where required to meet targets</w:t>
            </w:r>
            <w:r w:rsidR="006B5941">
              <w:rPr>
                <w:rFonts w:ascii="Arial" w:hAnsi="Arial" w:cs="Arial"/>
                <w:sz w:val="24"/>
                <w:szCs w:val="24"/>
              </w:rPr>
              <w:t>.</w:t>
            </w:r>
          </w:p>
          <w:p w:rsidR="006B5941" w:rsidRPr="00E313C4" w:rsidRDefault="006B5941">
            <w:pPr>
              <w:rPr>
                <w:rFonts w:ascii="Arial" w:hAnsi="Arial" w:cs="Arial"/>
                <w:i/>
                <w:sz w:val="24"/>
                <w:szCs w:val="24"/>
              </w:rPr>
            </w:pPr>
          </w:p>
        </w:tc>
      </w:tr>
      <w:tr w:rsidR="0042782F" w:rsidRPr="006B5941" w:rsidTr="00792AFB">
        <w:tc>
          <w:tcPr>
            <w:tcW w:w="750" w:type="dxa"/>
          </w:tcPr>
          <w:p w:rsidR="0042782F" w:rsidRPr="006B5941" w:rsidRDefault="0059553C" w:rsidP="0059553C">
            <w:pPr>
              <w:rPr>
                <w:rFonts w:ascii="Arial" w:hAnsi="Arial" w:cs="Arial"/>
                <w:b/>
                <w:i/>
                <w:sz w:val="28"/>
                <w:szCs w:val="28"/>
              </w:rPr>
            </w:pPr>
            <w:r w:rsidRPr="006B5941">
              <w:rPr>
                <w:rFonts w:ascii="Arial" w:hAnsi="Arial" w:cs="Arial"/>
                <w:b/>
                <w:i/>
                <w:sz w:val="28"/>
                <w:szCs w:val="28"/>
              </w:rPr>
              <w:t>3</w:t>
            </w:r>
            <w:r w:rsidR="00FE27DB" w:rsidRPr="006B5941">
              <w:rPr>
                <w:rFonts w:ascii="Arial" w:hAnsi="Arial" w:cs="Arial"/>
                <w:b/>
                <w:i/>
                <w:sz w:val="28"/>
                <w:szCs w:val="28"/>
              </w:rPr>
              <w:t xml:space="preserve">. </w:t>
            </w:r>
          </w:p>
        </w:tc>
        <w:tc>
          <w:tcPr>
            <w:tcW w:w="8492" w:type="dxa"/>
          </w:tcPr>
          <w:p w:rsidR="0042782F" w:rsidRPr="006B5941" w:rsidRDefault="00735D33">
            <w:pPr>
              <w:rPr>
                <w:rFonts w:ascii="Arial" w:hAnsi="Arial" w:cs="Arial"/>
                <w:b/>
                <w:i/>
                <w:sz w:val="28"/>
                <w:szCs w:val="28"/>
              </w:rPr>
            </w:pPr>
            <w:r w:rsidRPr="006B5941">
              <w:rPr>
                <w:rFonts w:ascii="Arial" w:hAnsi="Arial" w:cs="Arial"/>
                <w:b/>
                <w:i/>
                <w:sz w:val="28"/>
                <w:szCs w:val="28"/>
              </w:rPr>
              <w:t xml:space="preserve">Highlights of results </w:t>
            </w:r>
          </w:p>
          <w:p w:rsidR="00051144" w:rsidRPr="006B5941" w:rsidRDefault="00051144">
            <w:pPr>
              <w:rPr>
                <w:rFonts w:ascii="Arial" w:hAnsi="Arial" w:cs="Arial"/>
                <w:b/>
                <w:i/>
                <w:sz w:val="28"/>
                <w:szCs w:val="28"/>
              </w:rPr>
            </w:pPr>
          </w:p>
        </w:tc>
      </w:tr>
      <w:tr w:rsidR="0042782F" w:rsidRPr="00B44CB9" w:rsidTr="00792AFB">
        <w:tc>
          <w:tcPr>
            <w:tcW w:w="750" w:type="dxa"/>
          </w:tcPr>
          <w:p w:rsidR="0042782F" w:rsidRPr="00B44CB9" w:rsidRDefault="0059553C">
            <w:pPr>
              <w:rPr>
                <w:rFonts w:ascii="Arial" w:hAnsi="Arial" w:cs="Arial"/>
                <w:i/>
                <w:sz w:val="24"/>
                <w:szCs w:val="24"/>
              </w:rPr>
            </w:pPr>
            <w:r w:rsidRPr="00B44CB9">
              <w:rPr>
                <w:rFonts w:ascii="Arial" w:hAnsi="Arial" w:cs="Arial"/>
                <w:i/>
                <w:sz w:val="24"/>
                <w:szCs w:val="24"/>
              </w:rPr>
              <w:t>3</w:t>
            </w:r>
            <w:r w:rsidR="00F258D4" w:rsidRPr="00B44CB9">
              <w:rPr>
                <w:rFonts w:ascii="Arial" w:hAnsi="Arial" w:cs="Arial"/>
                <w:i/>
                <w:sz w:val="24"/>
                <w:szCs w:val="24"/>
              </w:rPr>
              <w:t>.1</w:t>
            </w:r>
          </w:p>
          <w:p w:rsidR="001E792B" w:rsidRPr="00B44CB9" w:rsidRDefault="001E792B">
            <w:pPr>
              <w:rPr>
                <w:rFonts w:ascii="Arial" w:hAnsi="Arial" w:cs="Arial"/>
                <w:i/>
                <w:sz w:val="24"/>
                <w:szCs w:val="24"/>
              </w:rPr>
            </w:pPr>
          </w:p>
          <w:p w:rsidR="001E792B" w:rsidRPr="00B44CB9" w:rsidRDefault="0059553C" w:rsidP="0059553C">
            <w:pPr>
              <w:rPr>
                <w:rFonts w:ascii="Arial" w:hAnsi="Arial" w:cs="Arial"/>
                <w:i/>
                <w:sz w:val="24"/>
                <w:szCs w:val="24"/>
              </w:rPr>
            </w:pPr>
            <w:r w:rsidRPr="00B44CB9">
              <w:rPr>
                <w:rFonts w:ascii="Arial" w:hAnsi="Arial" w:cs="Arial"/>
                <w:i/>
                <w:sz w:val="24"/>
                <w:szCs w:val="24"/>
              </w:rPr>
              <w:t>3</w:t>
            </w:r>
            <w:r w:rsidR="001E792B" w:rsidRPr="00B44CB9">
              <w:rPr>
                <w:rFonts w:ascii="Arial" w:hAnsi="Arial" w:cs="Arial"/>
                <w:i/>
                <w:sz w:val="24"/>
                <w:szCs w:val="24"/>
              </w:rPr>
              <w:t>.1.1</w:t>
            </w:r>
          </w:p>
        </w:tc>
        <w:tc>
          <w:tcPr>
            <w:tcW w:w="8492" w:type="dxa"/>
          </w:tcPr>
          <w:p w:rsidR="00F258D4" w:rsidRPr="00B44CB9" w:rsidRDefault="00F258D4" w:rsidP="00F258D4">
            <w:pPr>
              <w:rPr>
                <w:rFonts w:ascii="Arial" w:hAnsi="Arial" w:cs="Arial"/>
                <w:b/>
                <w:i/>
                <w:sz w:val="24"/>
                <w:szCs w:val="24"/>
              </w:rPr>
            </w:pPr>
            <w:r w:rsidRPr="00B44CB9">
              <w:rPr>
                <w:rFonts w:ascii="Arial" w:hAnsi="Arial" w:cs="Arial"/>
                <w:b/>
                <w:i/>
                <w:sz w:val="24"/>
                <w:szCs w:val="24"/>
              </w:rPr>
              <w:t xml:space="preserve">Resident focus </w:t>
            </w:r>
          </w:p>
          <w:p w:rsidR="005930C8" w:rsidRPr="00B44CB9" w:rsidRDefault="005930C8" w:rsidP="00F258D4">
            <w:pPr>
              <w:rPr>
                <w:rFonts w:ascii="Arial" w:hAnsi="Arial" w:cs="Arial"/>
                <w:b/>
                <w:i/>
                <w:sz w:val="24"/>
                <w:szCs w:val="24"/>
              </w:rPr>
            </w:pPr>
          </w:p>
          <w:p w:rsidR="00501D86" w:rsidRPr="0036529A" w:rsidRDefault="00F258D4" w:rsidP="006B5941">
            <w:pPr>
              <w:rPr>
                <w:rFonts w:ascii="Arial" w:hAnsi="Arial" w:cs="Arial"/>
                <w:sz w:val="24"/>
                <w:szCs w:val="24"/>
              </w:rPr>
            </w:pPr>
            <w:r w:rsidRPr="0036529A">
              <w:rPr>
                <w:rFonts w:ascii="Arial" w:hAnsi="Arial" w:cs="Arial"/>
                <w:sz w:val="24"/>
                <w:szCs w:val="24"/>
              </w:rPr>
              <w:t xml:space="preserve">The PIs with a focus on service to residents </w:t>
            </w:r>
            <w:r w:rsidR="001E792B" w:rsidRPr="0036529A">
              <w:rPr>
                <w:rFonts w:ascii="Arial" w:hAnsi="Arial" w:cs="Arial"/>
                <w:sz w:val="24"/>
                <w:szCs w:val="24"/>
              </w:rPr>
              <w:t xml:space="preserve">again </w:t>
            </w:r>
            <w:r w:rsidRPr="0036529A">
              <w:rPr>
                <w:rFonts w:ascii="Arial" w:hAnsi="Arial" w:cs="Arial"/>
                <w:sz w:val="24"/>
                <w:szCs w:val="24"/>
              </w:rPr>
              <w:t>sh</w:t>
            </w:r>
            <w:r w:rsidR="001E792B" w:rsidRPr="0036529A">
              <w:rPr>
                <w:rFonts w:ascii="Arial" w:hAnsi="Arial" w:cs="Arial"/>
                <w:sz w:val="24"/>
                <w:szCs w:val="24"/>
              </w:rPr>
              <w:t>ow a mixed picture this quarter</w:t>
            </w:r>
            <w:r w:rsidR="0008365C" w:rsidRPr="0036529A">
              <w:rPr>
                <w:rFonts w:ascii="Arial" w:hAnsi="Arial" w:cs="Arial"/>
                <w:sz w:val="24"/>
                <w:szCs w:val="24"/>
              </w:rPr>
              <w:t xml:space="preserve">. The satisfaction surveys following repairs show a deteriorating picture for satisfaction with the recent repair and a </w:t>
            </w:r>
            <w:r w:rsidR="0036529A" w:rsidRPr="0036529A">
              <w:rPr>
                <w:rFonts w:ascii="Arial" w:hAnsi="Arial" w:cs="Arial"/>
                <w:sz w:val="24"/>
                <w:szCs w:val="24"/>
              </w:rPr>
              <w:t xml:space="preserve">slight deterioration in the indicators measuring the quality of the work and whether the repair was fixed first time. </w:t>
            </w:r>
            <w:r w:rsidR="0036529A">
              <w:rPr>
                <w:rFonts w:ascii="Arial" w:hAnsi="Arial" w:cs="Arial"/>
                <w:sz w:val="24"/>
                <w:szCs w:val="24"/>
              </w:rPr>
              <w:t xml:space="preserve">Last year’s data for Q3 was not reliable enough to make a comparison but it is </w:t>
            </w:r>
            <w:r w:rsidR="0036529A" w:rsidRPr="0036529A">
              <w:rPr>
                <w:rFonts w:ascii="Arial" w:hAnsi="Arial" w:cs="Arial"/>
                <w:sz w:val="24"/>
                <w:szCs w:val="24"/>
              </w:rPr>
              <w:t>disappointing</w:t>
            </w:r>
            <w:r w:rsidR="0036529A">
              <w:rPr>
                <w:rFonts w:ascii="Arial" w:hAnsi="Arial" w:cs="Arial"/>
                <w:sz w:val="24"/>
                <w:szCs w:val="24"/>
              </w:rPr>
              <w:t xml:space="preserve"> to see a reduction in satisfaction from quarter 2. </w:t>
            </w:r>
          </w:p>
        </w:tc>
      </w:tr>
      <w:tr w:rsidR="0042782F" w:rsidRPr="00B44CB9" w:rsidTr="00792AFB">
        <w:tc>
          <w:tcPr>
            <w:tcW w:w="750" w:type="dxa"/>
          </w:tcPr>
          <w:p w:rsidR="0042782F" w:rsidRPr="00B44CB9" w:rsidRDefault="0042782F">
            <w:pPr>
              <w:rPr>
                <w:rFonts w:ascii="Arial" w:hAnsi="Arial" w:cs="Arial"/>
                <w:i/>
                <w:sz w:val="24"/>
                <w:szCs w:val="24"/>
              </w:rPr>
            </w:pPr>
          </w:p>
        </w:tc>
        <w:tc>
          <w:tcPr>
            <w:tcW w:w="8492" w:type="dxa"/>
          </w:tcPr>
          <w:p w:rsidR="005930C8" w:rsidRPr="00B44CB9" w:rsidRDefault="005930C8" w:rsidP="001E792B">
            <w:pPr>
              <w:rPr>
                <w:rFonts w:ascii="Arial" w:hAnsi="Arial" w:cs="Arial"/>
                <w:i/>
                <w:sz w:val="24"/>
                <w:szCs w:val="24"/>
              </w:rPr>
            </w:pPr>
          </w:p>
        </w:tc>
      </w:tr>
      <w:tr w:rsidR="0042782F" w:rsidRPr="00B44CB9" w:rsidTr="00792AFB">
        <w:tc>
          <w:tcPr>
            <w:tcW w:w="750" w:type="dxa"/>
          </w:tcPr>
          <w:p w:rsidR="0042782F" w:rsidRPr="00B44CB9" w:rsidRDefault="0059553C" w:rsidP="0036529A">
            <w:pPr>
              <w:rPr>
                <w:rFonts w:ascii="Arial" w:hAnsi="Arial" w:cs="Arial"/>
                <w:i/>
                <w:sz w:val="24"/>
                <w:szCs w:val="24"/>
              </w:rPr>
            </w:pPr>
            <w:r w:rsidRPr="00B44CB9">
              <w:rPr>
                <w:rFonts w:ascii="Arial" w:hAnsi="Arial" w:cs="Arial"/>
                <w:i/>
                <w:sz w:val="24"/>
                <w:szCs w:val="24"/>
              </w:rPr>
              <w:t>3</w:t>
            </w:r>
            <w:r w:rsidR="006B5941">
              <w:rPr>
                <w:rFonts w:ascii="Arial" w:hAnsi="Arial" w:cs="Arial"/>
                <w:i/>
                <w:sz w:val="24"/>
                <w:szCs w:val="24"/>
              </w:rPr>
              <w:t>.2</w:t>
            </w:r>
          </w:p>
        </w:tc>
        <w:tc>
          <w:tcPr>
            <w:tcW w:w="8492" w:type="dxa"/>
          </w:tcPr>
          <w:p w:rsidR="005930C8" w:rsidRPr="007242C1" w:rsidRDefault="007242C1" w:rsidP="007242C1">
            <w:pPr>
              <w:rPr>
                <w:rFonts w:ascii="Arial" w:hAnsi="Arial" w:cs="Arial"/>
                <w:sz w:val="24"/>
                <w:szCs w:val="24"/>
              </w:rPr>
            </w:pPr>
            <w:r>
              <w:rPr>
                <w:rFonts w:ascii="Arial" w:hAnsi="Arial" w:cs="Arial"/>
                <w:sz w:val="24"/>
                <w:szCs w:val="24"/>
              </w:rPr>
              <w:t xml:space="preserve">Although the Customer Services PIs show that the targets have once again not been achieved, the service levels have improved now that we are fully staffed. The targets were exceeded in the month of December. </w:t>
            </w:r>
          </w:p>
        </w:tc>
      </w:tr>
      <w:tr w:rsidR="0042782F" w:rsidRPr="00B44CB9" w:rsidTr="00792AFB">
        <w:tc>
          <w:tcPr>
            <w:tcW w:w="750" w:type="dxa"/>
          </w:tcPr>
          <w:p w:rsidR="00F83EF0" w:rsidRPr="00B44CB9" w:rsidRDefault="00F83EF0">
            <w:pPr>
              <w:rPr>
                <w:rFonts w:ascii="Arial" w:hAnsi="Arial" w:cs="Arial"/>
                <w:i/>
                <w:sz w:val="24"/>
                <w:szCs w:val="24"/>
              </w:rPr>
            </w:pPr>
          </w:p>
          <w:p w:rsidR="0042782F" w:rsidRPr="00B44CB9" w:rsidRDefault="0059553C">
            <w:pPr>
              <w:rPr>
                <w:rFonts w:ascii="Arial" w:hAnsi="Arial" w:cs="Arial"/>
                <w:i/>
                <w:sz w:val="24"/>
                <w:szCs w:val="24"/>
              </w:rPr>
            </w:pPr>
            <w:r w:rsidRPr="00B44CB9">
              <w:rPr>
                <w:rFonts w:ascii="Arial" w:hAnsi="Arial" w:cs="Arial"/>
                <w:i/>
                <w:sz w:val="24"/>
                <w:szCs w:val="24"/>
              </w:rPr>
              <w:t>3</w:t>
            </w:r>
            <w:r w:rsidR="006B5941">
              <w:rPr>
                <w:rFonts w:ascii="Arial" w:hAnsi="Arial" w:cs="Arial"/>
                <w:i/>
                <w:sz w:val="24"/>
                <w:szCs w:val="24"/>
              </w:rPr>
              <w:t>.2.1</w:t>
            </w:r>
          </w:p>
        </w:tc>
        <w:tc>
          <w:tcPr>
            <w:tcW w:w="8492" w:type="dxa"/>
          </w:tcPr>
          <w:p w:rsidR="0042782F" w:rsidRPr="00B44CB9" w:rsidRDefault="0042782F">
            <w:pPr>
              <w:rPr>
                <w:rFonts w:ascii="Arial" w:hAnsi="Arial" w:cs="Arial"/>
                <w:i/>
                <w:sz w:val="24"/>
                <w:szCs w:val="24"/>
              </w:rPr>
            </w:pPr>
          </w:p>
          <w:p w:rsidR="00F83EF0" w:rsidRDefault="00F83EF0" w:rsidP="007242C1">
            <w:pPr>
              <w:rPr>
                <w:rFonts w:ascii="Arial" w:hAnsi="Arial" w:cs="Arial"/>
                <w:sz w:val="24"/>
                <w:szCs w:val="24"/>
              </w:rPr>
            </w:pPr>
            <w:r w:rsidRPr="007242C1">
              <w:rPr>
                <w:rFonts w:ascii="Arial" w:hAnsi="Arial" w:cs="Arial"/>
                <w:sz w:val="24"/>
                <w:szCs w:val="24"/>
              </w:rPr>
              <w:t>The target for responding to emergency repairs was once again consistently met and the “end to end</w:t>
            </w:r>
            <w:r w:rsidR="007242C1">
              <w:rPr>
                <w:rFonts w:ascii="Arial" w:hAnsi="Arial" w:cs="Arial"/>
                <w:sz w:val="24"/>
                <w:szCs w:val="24"/>
              </w:rPr>
              <w:t xml:space="preserve">” time for repairs has improved and whilst still below the 10 day target, the performance is the best we have seen for many </w:t>
            </w:r>
            <w:r w:rsidR="007242C1">
              <w:rPr>
                <w:rFonts w:ascii="Arial" w:hAnsi="Arial" w:cs="Arial"/>
                <w:sz w:val="24"/>
                <w:szCs w:val="24"/>
              </w:rPr>
              <w:lastRenderedPageBreak/>
              <w:t xml:space="preserve">quarters. Complaints performance has improved compared with the last few quarters and very few complaints in the last few weeks are being responded to late. </w:t>
            </w:r>
          </w:p>
          <w:p w:rsidR="006B5941" w:rsidRPr="00B44CB9" w:rsidRDefault="006B5941" w:rsidP="007242C1">
            <w:pPr>
              <w:rPr>
                <w:rFonts w:ascii="Arial" w:hAnsi="Arial" w:cs="Arial"/>
                <w:i/>
                <w:sz w:val="24"/>
                <w:szCs w:val="24"/>
              </w:rPr>
            </w:pPr>
          </w:p>
        </w:tc>
      </w:tr>
      <w:tr w:rsidR="0042782F" w:rsidRPr="00B44CB9" w:rsidTr="00792AFB">
        <w:tc>
          <w:tcPr>
            <w:tcW w:w="750" w:type="dxa"/>
          </w:tcPr>
          <w:p w:rsidR="0042782F" w:rsidRPr="006B5941" w:rsidRDefault="0059553C" w:rsidP="0059553C">
            <w:pPr>
              <w:rPr>
                <w:rFonts w:ascii="Arial" w:hAnsi="Arial" w:cs="Arial"/>
                <w:i/>
                <w:sz w:val="24"/>
                <w:szCs w:val="24"/>
              </w:rPr>
            </w:pPr>
            <w:r w:rsidRPr="006B5941">
              <w:rPr>
                <w:rFonts w:ascii="Arial" w:hAnsi="Arial" w:cs="Arial"/>
                <w:i/>
                <w:sz w:val="24"/>
                <w:szCs w:val="24"/>
              </w:rPr>
              <w:lastRenderedPageBreak/>
              <w:t>3</w:t>
            </w:r>
            <w:r w:rsidR="00004D43" w:rsidRPr="006B5941">
              <w:rPr>
                <w:rFonts w:ascii="Arial" w:hAnsi="Arial" w:cs="Arial"/>
                <w:i/>
                <w:sz w:val="24"/>
                <w:szCs w:val="24"/>
              </w:rPr>
              <w:t>.3</w:t>
            </w:r>
          </w:p>
        </w:tc>
        <w:tc>
          <w:tcPr>
            <w:tcW w:w="8492" w:type="dxa"/>
          </w:tcPr>
          <w:p w:rsidR="0042782F" w:rsidRPr="00B44CB9" w:rsidRDefault="00004D43">
            <w:pPr>
              <w:rPr>
                <w:rFonts w:ascii="Arial" w:hAnsi="Arial" w:cs="Arial"/>
                <w:b/>
                <w:i/>
                <w:sz w:val="24"/>
                <w:szCs w:val="24"/>
              </w:rPr>
            </w:pPr>
            <w:r w:rsidRPr="00B44CB9">
              <w:rPr>
                <w:rFonts w:ascii="Arial" w:hAnsi="Arial" w:cs="Arial"/>
                <w:b/>
                <w:i/>
                <w:sz w:val="24"/>
                <w:szCs w:val="24"/>
              </w:rPr>
              <w:t xml:space="preserve">Safety </w:t>
            </w:r>
          </w:p>
          <w:p w:rsidR="00004D43" w:rsidRPr="00B44CB9" w:rsidRDefault="00004D43">
            <w:pPr>
              <w:rPr>
                <w:rFonts w:ascii="Arial" w:hAnsi="Arial" w:cs="Arial"/>
                <w:b/>
                <w:i/>
                <w:sz w:val="24"/>
                <w:szCs w:val="24"/>
              </w:rPr>
            </w:pPr>
          </w:p>
        </w:tc>
      </w:tr>
      <w:tr w:rsidR="0042782F" w:rsidRPr="00B44CB9" w:rsidTr="00792AFB">
        <w:tc>
          <w:tcPr>
            <w:tcW w:w="750" w:type="dxa"/>
          </w:tcPr>
          <w:p w:rsidR="0042782F" w:rsidRPr="00B44CB9" w:rsidRDefault="0042782F">
            <w:pPr>
              <w:rPr>
                <w:rFonts w:ascii="Arial" w:hAnsi="Arial" w:cs="Arial"/>
                <w:i/>
                <w:sz w:val="24"/>
                <w:szCs w:val="24"/>
              </w:rPr>
            </w:pPr>
          </w:p>
        </w:tc>
        <w:tc>
          <w:tcPr>
            <w:tcW w:w="8492" w:type="dxa"/>
          </w:tcPr>
          <w:p w:rsidR="004A3D06" w:rsidRPr="00F56407" w:rsidRDefault="00E36310" w:rsidP="00E36310">
            <w:pPr>
              <w:rPr>
                <w:rFonts w:ascii="Arial" w:hAnsi="Arial" w:cs="Arial"/>
                <w:sz w:val="24"/>
                <w:szCs w:val="24"/>
              </w:rPr>
            </w:pPr>
            <w:r w:rsidRPr="00F56407">
              <w:rPr>
                <w:rFonts w:ascii="Arial" w:hAnsi="Arial" w:cs="Arial"/>
                <w:sz w:val="24"/>
                <w:szCs w:val="24"/>
              </w:rPr>
              <w:t xml:space="preserve">The gas safety coverage </w:t>
            </w:r>
            <w:r w:rsidR="007242C1" w:rsidRPr="00F56407">
              <w:rPr>
                <w:rFonts w:ascii="Arial" w:hAnsi="Arial" w:cs="Arial"/>
                <w:sz w:val="24"/>
                <w:szCs w:val="24"/>
              </w:rPr>
              <w:t xml:space="preserve">was 100%. </w:t>
            </w:r>
            <w:r w:rsidRPr="00F56407">
              <w:rPr>
                <w:rFonts w:ascii="Arial" w:hAnsi="Arial" w:cs="Arial"/>
                <w:sz w:val="24"/>
                <w:szCs w:val="24"/>
              </w:rPr>
              <w:t xml:space="preserve">The performance on compliance on FRAs has </w:t>
            </w:r>
            <w:r w:rsidR="00F56407" w:rsidRPr="00F56407">
              <w:rPr>
                <w:rFonts w:ascii="Arial" w:hAnsi="Arial" w:cs="Arial"/>
                <w:sz w:val="24"/>
                <w:szCs w:val="24"/>
              </w:rPr>
              <w:t xml:space="preserve">however deteriorated; although the FRA reviews due have all been done, the evidence is not yet in the right place in the IT system. This is being sorted out. In addition there are more follow up actions which are not yet completed than last quarter. </w:t>
            </w:r>
            <w:r w:rsidRPr="00F56407">
              <w:rPr>
                <w:rFonts w:ascii="Arial" w:hAnsi="Arial" w:cs="Arial"/>
                <w:sz w:val="24"/>
                <w:szCs w:val="24"/>
              </w:rPr>
              <w:t xml:space="preserve"> </w:t>
            </w:r>
          </w:p>
          <w:p w:rsidR="00E36310" w:rsidRPr="00B44CB9" w:rsidRDefault="00E36310" w:rsidP="00E36310">
            <w:pPr>
              <w:rPr>
                <w:rFonts w:ascii="Arial" w:hAnsi="Arial" w:cs="Arial"/>
                <w:i/>
                <w:sz w:val="24"/>
                <w:szCs w:val="24"/>
              </w:rPr>
            </w:pPr>
          </w:p>
        </w:tc>
      </w:tr>
      <w:tr w:rsidR="0042782F" w:rsidRPr="00B44CB9" w:rsidTr="00792AFB">
        <w:tc>
          <w:tcPr>
            <w:tcW w:w="750" w:type="dxa"/>
          </w:tcPr>
          <w:p w:rsidR="0042782F" w:rsidRPr="006B5941" w:rsidRDefault="0059553C">
            <w:pPr>
              <w:rPr>
                <w:rFonts w:ascii="Arial" w:hAnsi="Arial" w:cs="Arial"/>
                <w:i/>
                <w:sz w:val="24"/>
                <w:szCs w:val="24"/>
              </w:rPr>
            </w:pPr>
            <w:r w:rsidRPr="006B5941">
              <w:rPr>
                <w:rFonts w:ascii="Arial" w:hAnsi="Arial" w:cs="Arial"/>
                <w:i/>
                <w:sz w:val="24"/>
                <w:szCs w:val="24"/>
              </w:rPr>
              <w:t>3</w:t>
            </w:r>
            <w:r w:rsidR="004A3D06" w:rsidRPr="006B5941">
              <w:rPr>
                <w:rFonts w:ascii="Arial" w:hAnsi="Arial" w:cs="Arial"/>
                <w:i/>
                <w:sz w:val="24"/>
                <w:szCs w:val="24"/>
              </w:rPr>
              <w:t xml:space="preserve">.4 </w:t>
            </w:r>
          </w:p>
        </w:tc>
        <w:tc>
          <w:tcPr>
            <w:tcW w:w="8492" w:type="dxa"/>
          </w:tcPr>
          <w:p w:rsidR="0042782F" w:rsidRPr="00B44CB9" w:rsidRDefault="004A3D06">
            <w:pPr>
              <w:rPr>
                <w:rFonts w:ascii="Arial" w:hAnsi="Arial" w:cs="Arial"/>
                <w:b/>
                <w:i/>
                <w:sz w:val="24"/>
                <w:szCs w:val="24"/>
              </w:rPr>
            </w:pPr>
            <w:r w:rsidRPr="00B44CB9">
              <w:rPr>
                <w:rFonts w:ascii="Arial" w:hAnsi="Arial" w:cs="Arial"/>
                <w:b/>
                <w:i/>
                <w:sz w:val="24"/>
                <w:szCs w:val="24"/>
              </w:rPr>
              <w:t xml:space="preserve">Income indicators </w:t>
            </w:r>
          </w:p>
          <w:p w:rsidR="005930C8" w:rsidRPr="00B44CB9" w:rsidRDefault="005930C8">
            <w:pPr>
              <w:rPr>
                <w:rFonts w:ascii="Arial" w:hAnsi="Arial" w:cs="Arial"/>
                <w:b/>
                <w:i/>
                <w:sz w:val="24"/>
                <w:szCs w:val="24"/>
              </w:rPr>
            </w:pPr>
          </w:p>
        </w:tc>
      </w:tr>
      <w:tr w:rsidR="0042782F" w:rsidRPr="00B44CB9" w:rsidTr="00792AFB">
        <w:tc>
          <w:tcPr>
            <w:tcW w:w="750" w:type="dxa"/>
          </w:tcPr>
          <w:p w:rsidR="0042782F" w:rsidRPr="00B44CB9" w:rsidRDefault="0059553C" w:rsidP="0059553C">
            <w:pPr>
              <w:rPr>
                <w:rFonts w:ascii="Arial" w:hAnsi="Arial" w:cs="Arial"/>
                <w:i/>
                <w:sz w:val="24"/>
                <w:szCs w:val="24"/>
              </w:rPr>
            </w:pPr>
            <w:r w:rsidRPr="00B44CB9">
              <w:rPr>
                <w:rFonts w:ascii="Arial" w:hAnsi="Arial" w:cs="Arial"/>
                <w:i/>
                <w:sz w:val="24"/>
                <w:szCs w:val="24"/>
              </w:rPr>
              <w:t>3</w:t>
            </w:r>
            <w:r w:rsidR="00337580" w:rsidRPr="00B44CB9">
              <w:rPr>
                <w:rFonts w:ascii="Arial" w:hAnsi="Arial" w:cs="Arial"/>
                <w:i/>
                <w:sz w:val="24"/>
                <w:szCs w:val="24"/>
              </w:rPr>
              <w:t xml:space="preserve">.4.1 </w:t>
            </w:r>
          </w:p>
        </w:tc>
        <w:tc>
          <w:tcPr>
            <w:tcW w:w="8492" w:type="dxa"/>
          </w:tcPr>
          <w:p w:rsidR="0042782F" w:rsidRPr="00E313C4" w:rsidRDefault="007959BB" w:rsidP="00337580">
            <w:pPr>
              <w:rPr>
                <w:rFonts w:ascii="Arial" w:hAnsi="Arial" w:cs="Arial"/>
                <w:sz w:val="24"/>
                <w:szCs w:val="24"/>
              </w:rPr>
            </w:pPr>
            <w:r w:rsidRPr="00E313C4">
              <w:rPr>
                <w:rFonts w:ascii="Arial" w:hAnsi="Arial" w:cs="Arial"/>
                <w:sz w:val="24"/>
                <w:szCs w:val="24"/>
              </w:rPr>
              <w:t xml:space="preserve">The income indicators show a </w:t>
            </w:r>
            <w:r w:rsidR="00F56407" w:rsidRPr="00E313C4">
              <w:rPr>
                <w:rFonts w:ascii="Arial" w:hAnsi="Arial" w:cs="Arial"/>
                <w:sz w:val="24"/>
                <w:szCs w:val="24"/>
              </w:rPr>
              <w:t xml:space="preserve">worsening position on arrears </w:t>
            </w:r>
            <w:r w:rsidR="00E313C4">
              <w:rPr>
                <w:rFonts w:ascii="Arial" w:hAnsi="Arial" w:cs="Arial"/>
                <w:sz w:val="24"/>
                <w:szCs w:val="24"/>
              </w:rPr>
              <w:t xml:space="preserve">from Q2 to Q3 </w:t>
            </w:r>
            <w:r w:rsidR="00F56407" w:rsidRPr="00E313C4">
              <w:rPr>
                <w:rFonts w:ascii="Arial" w:hAnsi="Arial" w:cs="Arial"/>
                <w:sz w:val="24"/>
                <w:szCs w:val="24"/>
              </w:rPr>
              <w:t xml:space="preserve">but a mostly </w:t>
            </w:r>
            <w:r w:rsidR="00E313C4">
              <w:rPr>
                <w:rFonts w:ascii="Arial" w:hAnsi="Arial" w:cs="Arial"/>
                <w:sz w:val="24"/>
                <w:szCs w:val="24"/>
              </w:rPr>
              <w:t xml:space="preserve">improving </w:t>
            </w:r>
            <w:r w:rsidR="00F56407" w:rsidRPr="00E313C4">
              <w:rPr>
                <w:rFonts w:ascii="Arial" w:hAnsi="Arial" w:cs="Arial"/>
                <w:sz w:val="24"/>
                <w:szCs w:val="24"/>
              </w:rPr>
              <w:t xml:space="preserve">position on voids. </w:t>
            </w:r>
            <w:r w:rsidRPr="00E313C4">
              <w:rPr>
                <w:rFonts w:ascii="Arial" w:hAnsi="Arial" w:cs="Arial"/>
                <w:sz w:val="24"/>
                <w:szCs w:val="24"/>
              </w:rPr>
              <w:t xml:space="preserve"> Arrears </w:t>
            </w:r>
            <w:r w:rsidR="00F56407" w:rsidRPr="00E313C4">
              <w:rPr>
                <w:rFonts w:ascii="Arial" w:hAnsi="Arial" w:cs="Arial"/>
                <w:sz w:val="24"/>
                <w:szCs w:val="24"/>
              </w:rPr>
              <w:t xml:space="preserve">across </w:t>
            </w:r>
            <w:r w:rsidR="00E313C4">
              <w:rPr>
                <w:rFonts w:ascii="Arial" w:hAnsi="Arial" w:cs="Arial"/>
                <w:sz w:val="24"/>
                <w:szCs w:val="24"/>
              </w:rPr>
              <w:t xml:space="preserve">all three rent areas </w:t>
            </w:r>
            <w:r w:rsidR="00F56407" w:rsidRPr="00E313C4">
              <w:rPr>
                <w:rFonts w:ascii="Arial" w:hAnsi="Arial" w:cs="Arial"/>
                <w:sz w:val="24"/>
                <w:szCs w:val="24"/>
              </w:rPr>
              <w:t xml:space="preserve"> </w:t>
            </w:r>
            <w:r w:rsidRPr="00E313C4">
              <w:rPr>
                <w:rFonts w:ascii="Arial" w:hAnsi="Arial" w:cs="Arial"/>
                <w:sz w:val="24"/>
                <w:szCs w:val="24"/>
              </w:rPr>
              <w:t>are a long way from our target</w:t>
            </w:r>
            <w:r w:rsidR="00E313C4" w:rsidRPr="00E313C4">
              <w:rPr>
                <w:rFonts w:ascii="Arial" w:hAnsi="Arial" w:cs="Arial"/>
                <w:sz w:val="24"/>
                <w:szCs w:val="24"/>
              </w:rPr>
              <w:t>s</w:t>
            </w:r>
            <w:r w:rsidRPr="00E313C4">
              <w:rPr>
                <w:rFonts w:ascii="Arial" w:hAnsi="Arial" w:cs="Arial"/>
                <w:sz w:val="24"/>
                <w:szCs w:val="24"/>
              </w:rPr>
              <w:t xml:space="preserve">. </w:t>
            </w:r>
            <w:r w:rsidR="00F56407" w:rsidRPr="00E313C4">
              <w:rPr>
                <w:rFonts w:ascii="Arial" w:hAnsi="Arial" w:cs="Arial"/>
                <w:sz w:val="24"/>
                <w:szCs w:val="24"/>
              </w:rPr>
              <w:t>The pre-Christmas drive</w:t>
            </w:r>
            <w:r w:rsidR="00E313C4">
              <w:rPr>
                <w:rFonts w:ascii="Arial" w:hAnsi="Arial" w:cs="Arial"/>
                <w:sz w:val="24"/>
                <w:szCs w:val="24"/>
              </w:rPr>
              <w:t xml:space="preserve"> on arrears has had </w:t>
            </w:r>
            <w:r w:rsidR="00F56407" w:rsidRPr="00E313C4">
              <w:rPr>
                <w:rFonts w:ascii="Arial" w:hAnsi="Arial" w:cs="Arial"/>
                <w:sz w:val="24"/>
                <w:szCs w:val="24"/>
              </w:rPr>
              <w:t xml:space="preserve"> little impact. </w:t>
            </w:r>
            <w:r w:rsidR="00E313C4">
              <w:rPr>
                <w:rFonts w:ascii="Arial" w:hAnsi="Arial" w:cs="Arial"/>
                <w:sz w:val="24"/>
                <w:szCs w:val="24"/>
              </w:rPr>
              <w:t>However, t</w:t>
            </w:r>
            <w:r w:rsidR="00F56407" w:rsidRPr="00E313C4">
              <w:rPr>
                <w:rFonts w:ascii="Arial" w:hAnsi="Arial" w:cs="Arial"/>
                <w:sz w:val="24"/>
                <w:szCs w:val="24"/>
              </w:rPr>
              <w:t xml:space="preserve">he arrears software “Rentsense” went live on 12 January and  this should save housing officers time in their arrears work allowing more cases to be actioned in the time </w:t>
            </w:r>
            <w:r w:rsidR="00E313C4">
              <w:rPr>
                <w:rFonts w:ascii="Arial" w:hAnsi="Arial" w:cs="Arial"/>
                <w:sz w:val="24"/>
                <w:szCs w:val="24"/>
              </w:rPr>
              <w:t xml:space="preserve">they have </w:t>
            </w:r>
            <w:r w:rsidR="00F56407" w:rsidRPr="00E313C4">
              <w:rPr>
                <w:rFonts w:ascii="Arial" w:hAnsi="Arial" w:cs="Arial"/>
                <w:sz w:val="24"/>
                <w:szCs w:val="24"/>
              </w:rPr>
              <w:t>available</w:t>
            </w:r>
            <w:r w:rsidR="00E313C4">
              <w:rPr>
                <w:rFonts w:ascii="Arial" w:hAnsi="Arial" w:cs="Arial"/>
                <w:sz w:val="24"/>
                <w:szCs w:val="24"/>
              </w:rPr>
              <w:t xml:space="preserve"> for arrears work</w:t>
            </w:r>
            <w:r w:rsidR="00F56407" w:rsidRPr="00E313C4">
              <w:rPr>
                <w:rFonts w:ascii="Arial" w:hAnsi="Arial" w:cs="Arial"/>
                <w:sz w:val="24"/>
                <w:szCs w:val="24"/>
              </w:rPr>
              <w:t xml:space="preserve">. We </w:t>
            </w:r>
            <w:r w:rsidR="00E313C4">
              <w:rPr>
                <w:rFonts w:ascii="Arial" w:hAnsi="Arial" w:cs="Arial"/>
                <w:sz w:val="24"/>
                <w:szCs w:val="24"/>
              </w:rPr>
              <w:t xml:space="preserve">expect to </w:t>
            </w:r>
            <w:r w:rsidR="00F56407" w:rsidRPr="00E313C4">
              <w:rPr>
                <w:rFonts w:ascii="Arial" w:hAnsi="Arial" w:cs="Arial"/>
                <w:sz w:val="24"/>
                <w:szCs w:val="24"/>
              </w:rPr>
              <w:t xml:space="preserve">be able to see whether this is starting to work </w:t>
            </w:r>
            <w:r w:rsidR="00E313C4">
              <w:rPr>
                <w:rFonts w:ascii="Arial" w:hAnsi="Arial" w:cs="Arial"/>
                <w:sz w:val="24"/>
                <w:szCs w:val="24"/>
              </w:rPr>
              <w:t xml:space="preserve">in reducing arrears </w:t>
            </w:r>
            <w:r w:rsidR="00F56407" w:rsidRPr="00E313C4">
              <w:rPr>
                <w:rFonts w:ascii="Arial" w:hAnsi="Arial" w:cs="Arial"/>
                <w:sz w:val="24"/>
                <w:szCs w:val="24"/>
              </w:rPr>
              <w:t xml:space="preserve">after about three months. </w:t>
            </w:r>
          </w:p>
          <w:p w:rsidR="005930C8" w:rsidRPr="00B44CB9" w:rsidRDefault="005930C8" w:rsidP="00337580">
            <w:pPr>
              <w:rPr>
                <w:rFonts w:ascii="Arial" w:hAnsi="Arial" w:cs="Arial"/>
                <w:i/>
                <w:sz w:val="24"/>
                <w:szCs w:val="24"/>
              </w:rPr>
            </w:pPr>
          </w:p>
        </w:tc>
      </w:tr>
      <w:tr w:rsidR="0042782F" w:rsidRPr="00B44CB9" w:rsidTr="00792AFB">
        <w:tc>
          <w:tcPr>
            <w:tcW w:w="750" w:type="dxa"/>
          </w:tcPr>
          <w:p w:rsidR="0042782F" w:rsidRPr="00B44CB9" w:rsidRDefault="0059553C">
            <w:pPr>
              <w:rPr>
                <w:rFonts w:ascii="Arial" w:hAnsi="Arial" w:cs="Arial"/>
                <w:i/>
                <w:sz w:val="24"/>
                <w:szCs w:val="24"/>
              </w:rPr>
            </w:pPr>
            <w:r w:rsidRPr="00B44CB9">
              <w:rPr>
                <w:rFonts w:ascii="Arial" w:hAnsi="Arial" w:cs="Arial"/>
                <w:i/>
                <w:sz w:val="24"/>
                <w:szCs w:val="24"/>
              </w:rPr>
              <w:t>3</w:t>
            </w:r>
            <w:r w:rsidR="00337580" w:rsidRPr="00B44CB9">
              <w:rPr>
                <w:rFonts w:ascii="Arial" w:hAnsi="Arial" w:cs="Arial"/>
                <w:i/>
                <w:sz w:val="24"/>
                <w:szCs w:val="24"/>
              </w:rPr>
              <w:t>.4.2</w:t>
            </w:r>
          </w:p>
          <w:p w:rsidR="00B54B9C" w:rsidRPr="00B44CB9" w:rsidRDefault="00B54B9C">
            <w:pPr>
              <w:rPr>
                <w:rFonts w:ascii="Arial" w:hAnsi="Arial" w:cs="Arial"/>
                <w:i/>
                <w:sz w:val="24"/>
                <w:szCs w:val="24"/>
              </w:rPr>
            </w:pPr>
          </w:p>
          <w:p w:rsidR="00B54B9C" w:rsidRPr="00B44CB9" w:rsidRDefault="00B54B9C">
            <w:pPr>
              <w:rPr>
                <w:rFonts w:ascii="Arial" w:hAnsi="Arial" w:cs="Arial"/>
                <w:i/>
                <w:sz w:val="24"/>
                <w:szCs w:val="24"/>
              </w:rPr>
            </w:pPr>
          </w:p>
          <w:p w:rsidR="00B54B9C" w:rsidRPr="00B44CB9" w:rsidRDefault="00B54B9C">
            <w:pPr>
              <w:rPr>
                <w:rFonts w:ascii="Arial" w:hAnsi="Arial" w:cs="Arial"/>
                <w:i/>
                <w:sz w:val="24"/>
                <w:szCs w:val="24"/>
              </w:rPr>
            </w:pPr>
          </w:p>
          <w:p w:rsidR="00B54B9C" w:rsidRPr="00B44CB9" w:rsidRDefault="00B54B9C">
            <w:pPr>
              <w:rPr>
                <w:rFonts w:ascii="Arial" w:hAnsi="Arial" w:cs="Arial"/>
                <w:i/>
                <w:sz w:val="24"/>
                <w:szCs w:val="24"/>
              </w:rPr>
            </w:pPr>
          </w:p>
          <w:p w:rsidR="00B54B9C" w:rsidRPr="00B44CB9" w:rsidRDefault="00B54B9C">
            <w:pPr>
              <w:rPr>
                <w:rFonts w:ascii="Arial" w:hAnsi="Arial" w:cs="Arial"/>
                <w:i/>
                <w:sz w:val="24"/>
                <w:szCs w:val="24"/>
              </w:rPr>
            </w:pPr>
          </w:p>
          <w:p w:rsidR="00B54B9C" w:rsidRPr="00B44CB9" w:rsidRDefault="0059553C" w:rsidP="0059553C">
            <w:pPr>
              <w:rPr>
                <w:rFonts w:ascii="Arial" w:hAnsi="Arial" w:cs="Arial"/>
                <w:i/>
                <w:sz w:val="24"/>
                <w:szCs w:val="24"/>
              </w:rPr>
            </w:pPr>
            <w:r w:rsidRPr="00B44CB9">
              <w:rPr>
                <w:rFonts w:ascii="Arial" w:hAnsi="Arial" w:cs="Arial"/>
                <w:i/>
                <w:sz w:val="24"/>
                <w:szCs w:val="24"/>
              </w:rPr>
              <w:t>3</w:t>
            </w:r>
            <w:r w:rsidR="00B54B9C" w:rsidRPr="00B44CB9">
              <w:rPr>
                <w:rFonts w:ascii="Arial" w:hAnsi="Arial" w:cs="Arial"/>
                <w:i/>
                <w:sz w:val="24"/>
                <w:szCs w:val="24"/>
              </w:rPr>
              <w:t>.5</w:t>
            </w:r>
          </w:p>
        </w:tc>
        <w:tc>
          <w:tcPr>
            <w:tcW w:w="8492" w:type="dxa"/>
          </w:tcPr>
          <w:p w:rsidR="0042782F" w:rsidRPr="00E313C4" w:rsidRDefault="007959BB">
            <w:pPr>
              <w:rPr>
                <w:rFonts w:ascii="Arial" w:hAnsi="Arial" w:cs="Arial"/>
                <w:sz w:val="24"/>
                <w:szCs w:val="24"/>
              </w:rPr>
            </w:pPr>
            <w:r w:rsidRPr="00E313C4">
              <w:rPr>
                <w:rFonts w:ascii="Arial" w:hAnsi="Arial" w:cs="Arial"/>
                <w:sz w:val="24"/>
                <w:szCs w:val="24"/>
              </w:rPr>
              <w:t xml:space="preserve">Overall, the position on voids is improving. </w:t>
            </w:r>
            <w:r w:rsidR="00E313C4" w:rsidRPr="00E313C4">
              <w:rPr>
                <w:rFonts w:ascii="Arial" w:hAnsi="Arial" w:cs="Arial"/>
                <w:sz w:val="24"/>
                <w:szCs w:val="24"/>
              </w:rPr>
              <w:t xml:space="preserve">Indeed the target was met for Q3 alone in General Needs and for December in Supported Housing although this only has a limited impact on the cumulative figures in the PI. </w:t>
            </w:r>
            <w:r w:rsidR="00E36310" w:rsidRPr="00E313C4">
              <w:rPr>
                <w:rFonts w:ascii="Arial" w:hAnsi="Arial" w:cs="Arial"/>
                <w:sz w:val="24"/>
                <w:szCs w:val="24"/>
              </w:rPr>
              <w:t xml:space="preserve">As forecast last quarter the void loss has started to improve as the back-log of voids in the disposal consideration process has reduced. </w:t>
            </w:r>
          </w:p>
          <w:p w:rsidR="00E313C4" w:rsidRDefault="00E313C4">
            <w:pPr>
              <w:rPr>
                <w:rFonts w:ascii="Arial" w:hAnsi="Arial" w:cs="Arial"/>
                <w:b/>
                <w:i/>
                <w:sz w:val="24"/>
                <w:szCs w:val="24"/>
              </w:rPr>
            </w:pPr>
          </w:p>
          <w:p w:rsidR="00337580" w:rsidRPr="00B44CB9" w:rsidRDefault="00B54B9C">
            <w:pPr>
              <w:rPr>
                <w:rFonts w:ascii="Arial" w:hAnsi="Arial" w:cs="Arial"/>
                <w:b/>
                <w:i/>
                <w:sz w:val="24"/>
                <w:szCs w:val="24"/>
              </w:rPr>
            </w:pPr>
            <w:r w:rsidRPr="00B44CB9">
              <w:rPr>
                <w:rFonts w:ascii="Arial" w:hAnsi="Arial" w:cs="Arial"/>
                <w:b/>
                <w:i/>
                <w:sz w:val="24"/>
                <w:szCs w:val="24"/>
              </w:rPr>
              <w:t>People indicator</w:t>
            </w:r>
          </w:p>
          <w:p w:rsidR="00B54B9C" w:rsidRPr="00B44CB9" w:rsidRDefault="00B54B9C">
            <w:pPr>
              <w:rPr>
                <w:rFonts w:ascii="Arial" w:hAnsi="Arial" w:cs="Arial"/>
                <w:i/>
                <w:sz w:val="24"/>
                <w:szCs w:val="24"/>
              </w:rPr>
            </w:pPr>
          </w:p>
          <w:p w:rsidR="00B54B9C" w:rsidRDefault="00AC0A48" w:rsidP="00AC0A48">
            <w:pPr>
              <w:rPr>
                <w:rFonts w:ascii="Arial" w:hAnsi="Arial" w:cs="Arial"/>
                <w:sz w:val="24"/>
                <w:szCs w:val="24"/>
              </w:rPr>
            </w:pPr>
            <w:r w:rsidRPr="00AC0A48">
              <w:rPr>
                <w:rFonts w:ascii="Arial" w:hAnsi="Arial" w:cs="Arial"/>
                <w:sz w:val="24"/>
                <w:szCs w:val="24"/>
              </w:rPr>
              <w:t xml:space="preserve">Overall sickness absence has reduced significantly over the last quarter and has remained below target throughout.  This is predominately due to a reduction in long-term absence. </w:t>
            </w:r>
          </w:p>
          <w:p w:rsidR="00AC0A48" w:rsidRPr="00B44CB9" w:rsidRDefault="00AC0A48" w:rsidP="00AC0A48">
            <w:pPr>
              <w:rPr>
                <w:rFonts w:ascii="Arial" w:hAnsi="Arial" w:cs="Arial"/>
                <w:i/>
                <w:sz w:val="24"/>
                <w:szCs w:val="24"/>
              </w:rPr>
            </w:pPr>
          </w:p>
        </w:tc>
      </w:tr>
      <w:tr w:rsidR="0042782F" w:rsidRPr="00B44CB9" w:rsidTr="00792AFB">
        <w:tc>
          <w:tcPr>
            <w:tcW w:w="750" w:type="dxa"/>
          </w:tcPr>
          <w:p w:rsidR="0042782F" w:rsidRPr="006B5941" w:rsidRDefault="0059553C" w:rsidP="0059553C">
            <w:pPr>
              <w:rPr>
                <w:rFonts w:ascii="Arial" w:hAnsi="Arial" w:cs="Arial"/>
                <w:i/>
                <w:sz w:val="24"/>
                <w:szCs w:val="24"/>
              </w:rPr>
            </w:pPr>
            <w:r w:rsidRPr="006B5941">
              <w:rPr>
                <w:rFonts w:ascii="Arial" w:hAnsi="Arial" w:cs="Arial"/>
                <w:i/>
                <w:sz w:val="24"/>
                <w:szCs w:val="24"/>
              </w:rPr>
              <w:t>3</w:t>
            </w:r>
            <w:r w:rsidR="00DF20B3" w:rsidRPr="006B5941">
              <w:rPr>
                <w:rFonts w:ascii="Arial" w:hAnsi="Arial" w:cs="Arial"/>
                <w:i/>
                <w:sz w:val="24"/>
                <w:szCs w:val="24"/>
              </w:rPr>
              <w:t xml:space="preserve">.6 </w:t>
            </w:r>
          </w:p>
        </w:tc>
        <w:tc>
          <w:tcPr>
            <w:tcW w:w="8492" w:type="dxa"/>
          </w:tcPr>
          <w:p w:rsidR="0042782F" w:rsidRPr="00B44CB9" w:rsidRDefault="00DF20B3">
            <w:pPr>
              <w:rPr>
                <w:rFonts w:ascii="Arial" w:hAnsi="Arial" w:cs="Arial"/>
                <w:b/>
                <w:i/>
                <w:sz w:val="24"/>
                <w:szCs w:val="24"/>
              </w:rPr>
            </w:pPr>
            <w:r w:rsidRPr="00B44CB9">
              <w:rPr>
                <w:rFonts w:ascii="Arial" w:hAnsi="Arial" w:cs="Arial"/>
                <w:b/>
                <w:i/>
                <w:sz w:val="24"/>
                <w:szCs w:val="24"/>
              </w:rPr>
              <w:t xml:space="preserve">Development programme </w:t>
            </w:r>
          </w:p>
          <w:p w:rsidR="001C5F9A" w:rsidRPr="00B44CB9" w:rsidRDefault="001C5F9A">
            <w:pPr>
              <w:rPr>
                <w:rFonts w:ascii="Arial" w:hAnsi="Arial" w:cs="Arial"/>
                <w:b/>
                <w:i/>
                <w:sz w:val="24"/>
                <w:szCs w:val="24"/>
              </w:rPr>
            </w:pPr>
          </w:p>
        </w:tc>
      </w:tr>
      <w:tr w:rsidR="0042782F" w:rsidRPr="00B44CB9" w:rsidTr="00792AFB">
        <w:tc>
          <w:tcPr>
            <w:tcW w:w="750" w:type="dxa"/>
          </w:tcPr>
          <w:p w:rsidR="0042782F" w:rsidRPr="0095726F" w:rsidRDefault="0059553C" w:rsidP="0059553C">
            <w:pPr>
              <w:rPr>
                <w:rFonts w:ascii="Arial" w:hAnsi="Arial" w:cs="Arial"/>
                <w:sz w:val="24"/>
                <w:szCs w:val="24"/>
              </w:rPr>
            </w:pPr>
            <w:r w:rsidRPr="0095726F">
              <w:rPr>
                <w:rFonts w:ascii="Arial" w:hAnsi="Arial" w:cs="Arial"/>
                <w:sz w:val="24"/>
                <w:szCs w:val="24"/>
              </w:rPr>
              <w:t>3</w:t>
            </w:r>
            <w:r w:rsidR="00DF20B3" w:rsidRPr="0095726F">
              <w:rPr>
                <w:rFonts w:ascii="Arial" w:hAnsi="Arial" w:cs="Arial"/>
                <w:sz w:val="24"/>
                <w:szCs w:val="24"/>
              </w:rPr>
              <w:t xml:space="preserve">.6.1 </w:t>
            </w:r>
          </w:p>
        </w:tc>
        <w:tc>
          <w:tcPr>
            <w:tcW w:w="8492" w:type="dxa"/>
          </w:tcPr>
          <w:p w:rsidR="00B1056C" w:rsidRPr="0095726F" w:rsidRDefault="00B1056C" w:rsidP="00B1056C">
            <w:pPr>
              <w:ind w:left="60"/>
              <w:rPr>
                <w:rFonts w:ascii="Arial" w:hAnsi="Arial" w:cs="Arial"/>
                <w:b/>
                <w:sz w:val="24"/>
                <w:szCs w:val="24"/>
              </w:rPr>
            </w:pPr>
            <w:r w:rsidRPr="0095726F">
              <w:rPr>
                <w:rFonts w:ascii="Arial" w:hAnsi="Arial" w:cs="Arial"/>
                <w:b/>
                <w:sz w:val="24"/>
                <w:szCs w:val="24"/>
              </w:rPr>
              <w:t>Subsidy from Conversions</w:t>
            </w:r>
          </w:p>
          <w:p w:rsidR="00B1056C" w:rsidRPr="0095726F" w:rsidRDefault="00B1056C" w:rsidP="00B1056C">
            <w:pPr>
              <w:ind w:left="60"/>
              <w:rPr>
                <w:rFonts w:ascii="Arial" w:hAnsi="Arial" w:cs="Arial"/>
                <w:sz w:val="24"/>
                <w:szCs w:val="24"/>
              </w:rPr>
            </w:pPr>
            <w:r w:rsidRPr="0095726F">
              <w:rPr>
                <w:rFonts w:ascii="Arial" w:hAnsi="Arial" w:cs="Arial"/>
                <w:sz w:val="24"/>
                <w:szCs w:val="24"/>
              </w:rPr>
              <w:t xml:space="preserve">As reported in the last set of PIs, the conversion subsidy for all three programmes has been met (based on current scheme assumptions for 15/18 programme), consequently void relets to higher rents, and void disposals to support the development programme have stopped.  </w:t>
            </w:r>
          </w:p>
          <w:p w:rsidR="00B1056C" w:rsidRPr="0095726F" w:rsidRDefault="00B1056C" w:rsidP="00B1056C">
            <w:pPr>
              <w:ind w:left="60"/>
              <w:rPr>
                <w:rFonts w:ascii="Arial" w:hAnsi="Arial" w:cs="Arial"/>
                <w:sz w:val="24"/>
                <w:szCs w:val="24"/>
              </w:rPr>
            </w:pPr>
          </w:p>
          <w:p w:rsidR="00B1056C" w:rsidRPr="00156C1D" w:rsidRDefault="00B1056C" w:rsidP="00B1056C">
            <w:pPr>
              <w:ind w:left="60"/>
              <w:rPr>
                <w:rFonts w:ascii="Arial" w:hAnsi="Arial" w:cs="Arial"/>
                <w:b/>
                <w:sz w:val="24"/>
                <w:szCs w:val="24"/>
              </w:rPr>
            </w:pPr>
            <w:r w:rsidRPr="00156C1D">
              <w:rPr>
                <w:rFonts w:ascii="Arial" w:hAnsi="Arial" w:cs="Arial"/>
                <w:b/>
                <w:sz w:val="24"/>
                <w:szCs w:val="24"/>
              </w:rPr>
              <w:t>Hexagon subsidy (from operating surplus)</w:t>
            </w:r>
          </w:p>
          <w:p w:rsidR="0042782F" w:rsidRDefault="00B1056C" w:rsidP="00554CBA">
            <w:pPr>
              <w:ind w:left="60"/>
              <w:rPr>
                <w:rFonts w:ascii="Arial" w:hAnsi="Arial" w:cs="Arial"/>
                <w:sz w:val="24"/>
                <w:szCs w:val="24"/>
              </w:rPr>
            </w:pPr>
            <w:r w:rsidRPr="0095726F">
              <w:rPr>
                <w:rFonts w:ascii="Arial" w:hAnsi="Arial" w:cs="Arial"/>
                <w:sz w:val="24"/>
                <w:szCs w:val="24"/>
              </w:rPr>
              <w:t xml:space="preserve">We are forecasting to utilise </w:t>
            </w:r>
            <w:r w:rsidR="007E4466" w:rsidRPr="0095726F">
              <w:rPr>
                <w:rFonts w:ascii="Arial" w:hAnsi="Arial" w:cs="Arial"/>
                <w:sz w:val="24"/>
                <w:szCs w:val="24"/>
              </w:rPr>
              <w:t>85</w:t>
            </w:r>
            <w:r w:rsidRPr="0095726F">
              <w:rPr>
                <w:rFonts w:ascii="Arial" w:hAnsi="Arial" w:cs="Arial"/>
                <w:sz w:val="24"/>
                <w:szCs w:val="24"/>
              </w:rPr>
              <w:t>% of the Board approved subsidy across the 3 programmes ( a 'saving' of circa £</w:t>
            </w:r>
            <w:r w:rsidR="007E4466" w:rsidRPr="0095726F">
              <w:rPr>
                <w:rFonts w:ascii="Arial" w:hAnsi="Arial" w:cs="Arial"/>
                <w:sz w:val="24"/>
                <w:szCs w:val="24"/>
              </w:rPr>
              <w:t>1.3</w:t>
            </w:r>
            <w:r w:rsidRPr="0095726F">
              <w:rPr>
                <w:rFonts w:ascii="Arial" w:hAnsi="Arial" w:cs="Arial"/>
                <w:sz w:val="24"/>
                <w:szCs w:val="24"/>
              </w:rPr>
              <w:t xml:space="preserve">m)  This is as a result of the interest rate assumptions, increased market rents and higher surpluses from shared ownership sales. </w:t>
            </w:r>
          </w:p>
          <w:p w:rsidR="006B5941" w:rsidRDefault="006B5941" w:rsidP="00554CBA">
            <w:pPr>
              <w:ind w:left="60"/>
              <w:rPr>
                <w:rFonts w:ascii="Arial" w:hAnsi="Arial" w:cs="Arial"/>
                <w:sz w:val="24"/>
                <w:szCs w:val="24"/>
              </w:rPr>
            </w:pPr>
          </w:p>
          <w:p w:rsidR="006B5941" w:rsidRPr="0095726F" w:rsidRDefault="006B5941" w:rsidP="00554CBA">
            <w:pPr>
              <w:ind w:left="60"/>
              <w:rPr>
                <w:rFonts w:ascii="Arial" w:hAnsi="Arial" w:cs="Arial"/>
                <w:sz w:val="24"/>
                <w:szCs w:val="24"/>
              </w:rPr>
            </w:pPr>
            <w:bookmarkStart w:id="0" w:name="_GoBack"/>
            <w:bookmarkEnd w:id="0"/>
          </w:p>
          <w:p w:rsidR="00554CBA" w:rsidRPr="0095726F" w:rsidRDefault="00554CBA" w:rsidP="007E4466">
            <w:pPr>
              <w:ind w:left="60"/>
              <w:rPr>
                <w:rFonts w:ascii="Arial" w:hAnsi="Arial" w:cs="Arial"/>
                <w:sz w:val="24"/>
                <w:szCs w:val="24"/>
              </w:rPr>
            </w:pPr>
            <w:r w:rsidRPr="0095726F">
              <w:rPr>
                <w:rFonts w:ascii="Arial" w:hAnsi="Arial" w:cs="Arial"/>
                <w:sz w:val="24"/>
                <w:szCs w:val="24"/>
              </w:rPr>
              <w:lastRenderedPageBreak/>
              <w:t xml:space="preserve">The ‘headroom’ </w:t>
            </w:r>
            <w:r w:rsidR="007E4466" w:rsidRPr="0095726F">
              <w:rPr>
                <w:rFonts w:ascii="Arial" w:hAnsi="Arial" w:cs="Arial"/>
                <w:sz w:val="24"/>
                <w:szCs w:val="24"/>
              </w:rPr>
              <w:t xml:space="preserve">for the 15/18 programme </w:t>
            </w:r>
            <w:r w:rsidRPr="0095726F">
              <w:rPr>
                <w:rFonts w:ascii="Arial" w:hAnsi="Arial" w:cs="Arial"/>
                <w:sz w:val="24"/>
                <w:szCs w:val="24"/>
              </w:rPr>
              <w:t>has reduced since last quarter as a result of ‘real’ schemes replacing the indicative ones to secure the 200 unit programme and submit it to the GLA.  The costs of these schemes are greater than the assumptions</w:t>
            </w:r>
            <w:r w:rsidR="007E4466" w:rsidRPr="0095726F">
              <w:rPr>
                <w:rFonts w:ascii="Arial" w:hAnsi="Arial" w:cs="Arial"/>
                <w:sz w:val="24"/>
                <w:szCs w:val="24"/>
              </w:rPr>
              <w:t xml:space="preserve"> used on the indicative schemes.</w:t>
            </w:r>
          </w:p>
          <w:p w:rsidR="0095726F" w:rsidRPr="0095726F" w:rsidRDefault="0095726F" w:rsidP="007E4466">
            <w:pPr>
              <w:ind w:left="60"/>
              <w:rPr>
                <w:rFonts w:ascii="Arial" w:hAnsi="Arial" w:cs="Arial"/>
                <w:sz w:val="24"/>
                <w:szCs w:val="24"/>
              </w:rPr>
            </w:pPr>
          </w:p>
        </w:tc>
      </w:tr>
      <w:tr w:rsidR="0042782F" w:rsidRPr="00B44CB9" w:rsidTr="00792AFB">
        <w:tc>
          <w:tcPr>
            <w:tcW w:w="750" w:type="dxa"/>
          </w:tcPr>
          <w:p w:rsidR="0042782F" w:rsidRPr="0095726F" w:rsidRDefault="0059553C" w:rsidP="0059553C">
            <w:pPr>
              <w:rPr>
                <w:rFonts w:ascii="Arial" w:hAnsi="Arial" w:cs="Arial"/>
                <w:sz w:val="24"/>
                <w:szCs w:val="24"/>
              </w:rPr>
            </w:pPr>
            <w:r w:rsidRPr="0095726F">
              <w:rPr>
                <w:rFonts w:ascii="Arial" w:hAnsi="Arial" w:cs="Arial"/>
                <w:sz w:val="24"/>
                <w:szCs w:val="24"/>
              </w:rPr>
              <w:lastRenderedPageBreak/>
              <w:t>3</w:t>
            </w:r>
            <w:r w:rsidR="00DF20B3" w:rsidRPr="0095726F">
              <w:rPr>
                <w:rFonts w:ascii="Arial" w:hAnsi="Arial" w:cs="Arial"/>
                <w:sz w:val="24"/>
                <w:szCs w:val="24"/>
              </w:rPr>
              <w:t>.6.2</w:t>
            </w:r>
          </w:p>
        </w:tc>
        <w:tc>
          <w:tcPr>
            <w:tcW w:w="8492" w:type="dxa"/>
          </w:tcPr>
          <w:p w:rsidR="00B1056C" w:rsidRPr="0095726F" w:rsidRDefault="00B1056C" w:rsidP="00B1056C">
            <w:pPr>
              <w:rPr>
                <w:rFonts w:ascii="Arial" w:hAnsi="Arial" w:cs="Arial"/>
                <w:b/>
                <w:sz w:val="24"/>
                <w:szCs w:val="24"/>
              </w:rPr>
            </w:pPr>
            <w:r w:rsidRPr="0095726F">
              <w:rPr>
                <w:rFonts w:ascii="Arial" w:hAnsi="Arial" w:cs="Arial"/>
                <w:b/>
                <w:sz w:val="24"/>
                <w:szCs w:val="24"/>
              </w:rPr>
              <w:t>Programme Delivery</w:t>
            </w:r>
          </w:p>
          <w:p w:rsidR="00B1056C" w:rsidRPr="0095726F" w:rsidRDefault="00B1056C" w:rsidP="00B1056C">
            <w:pPr>
              <w:rPr>
                <w:rFonts w:ascii="Arial" w:hAnsi="Arial" w:cs="Arial"/>
                <w:sz w:val="24"/>
                <w:szCs w:val="24"/>
              </w:rPr>
            </w:pPr>
          </w:p>
          <w:p w:rsidR="00B1056C" w:rsidRPr="0095726F" w:rsidRDefault="00B1056C" w:rsidP="00B1056C">
            <w:pPr>
              <w:rPr>
                <w:rFonts w:ascii="Arial" w:hAnsi="Arial" w:cs="Arial"/>
                <w:b/>
                <w:sz w:val="24"/>
                <w:szCs w:val="24"/>
              </w:rPr>
            </w:pPr>
            <w:r w:rsidRPr="0095726F">
              <w:rPr>
                <w:rFonts w:ascii="Arial" w:hAnsi="Arial" w:cs="Arial"/>
                <w:b/>
                <w:sz w:val="24"/>
                <w:szCs w:val="24"/>
              </w:rPr>
              <w:t>MHC BTP</w:t>
            </w:r>
          </w:p>
          <w:p w:rsidR="0042782F" w:rsidRPr="0095726F" w:rsidRDefault="00B1056C" w:rsidP="0095726F">
            <w:pPr>
              <w:rPr>
                <w:rFonts w:ascii="Arial" w:hAnsi="Arial" w:cs="Arial"/>
                <w:sz w:val="24"/>
                <w:szCs w:val="24"/>
              </w:rPr>
            </w:pPr>
            <w:r w:rsidRPr="0095726F">
              <w:rPr>
                <w:rFonts w:ascii="Arial" w:hAnsi="Arial" w:cs="Arial"/>
                <w:sz w:val="24"/>
                <w:szCs w:val="24"/>
              </w:rPr>
              <w:t>With completion of Birchfield, Whitehorse Lane and Kings Highway in th</w:t>
            </w:r>
            <w:r w:rsidR="00554CBA" w:rsidRPr="0095726F">
              <w:rPr>
                <w:rFonts w:ascii="Arial" w:hAnsi="Arial" w:cs="Arial"/>
                <w:sz w:val="24"/>
                <w:szCs w:val="24"/>
              </w:rPr>
              <w:t>is</w:t>
            </w:r>
            <w:r w:rsidRPr="0095726F">
              <w:rPr>
                <w:rFonts w:ascii="Arial" w:hAnsi="Arial" w:cs="Arial"/>
                <w:sz w:val="24"/>
                <w:szCs w:val="24"/>
              </w:rPr>
              <w:t xml:space="preserve"> quarter, 43% of the programme is now complete. Mitcham </w:t>
            </w:r>
            <w:r w:rsidR="0095726F" w:rsidRPr="0095726F">
              <w:rPr>
                <w:rFonts w:ascii="Arial" w:hAnsi="Arial" w:cs="Arial"/>
                <w:sz w:val="24"/>
                <w:szCs w:val="24"/>
              </w:rPr>
              <w:t>Roa</w:t>
            </w:r>
            <w:r w:rsidRPr="0095726F">
              <w:rPr>
                <w:rFonts w:ascii="Arial" w:hAnsi="Arial" w:cs="Arial"/>
                <w:sz w:val="24"/>
                <w:szCs w:val="24"/>
              </w:rPr>
              <w:t>d is the major concern in that completion is predicted 6 months after the GLA target of March 16.</w:t>
            </w:r>
            <w:r w:rsidR="00554CBA" w:rsidRPr="0095726F">
              <w:rPr>
                <w:rFonts w:ascii="Arial" w:hAnsi="Arial" w:cs="Arial"/>
                <w:sz w:val="24"/>
                <w:szCs w:val="24"/>
              </w:rPr>
              <w:t xml:space="preserve">  However, we are in discussions with the GLA as to how we deal with this, and will be reviewing the position in January.</w:t>
            </w:r>
          </w:p>
        </w:tc>
      </w:tr>
      <w:tr w:rsidR="0042782F" w:rsidRPr="00B44CB9" w:rsidTr="00792AFB">
        <w:tc>
          <w:tcPr>
            <w:tcW w:w="750" w:type="dxa"/>
          </w:tcPr>
          <w:p w:rsidR="0042782F" w:rsidRPr="0095726F" w:rsidRDefault="0042782F">
            <w:pPr>
              <w:rPr>
                <w:rFonts w:ascii="Arial" w:hAnsi="Arial" w:cs="Arial"/>
                <w:sz w:val="24"/>
                <w:szCs w:val="24"/>
              </w:rPr>
            </w:pPr>
          </w:p>
        </w:tc>
        <w:tc>
          <w:tcPr>
            <w:tcW w:w="8492" w:type="dxa"/>
          </w:tcPr>
          <w:p w:rsidR="009F1E26" w:rsidRPr="0095726F" w:rsidRDefault="009F1E26" w:rsidP="00B1056C">
            <w:pPr>
              <w:rPr>
                <w:rFonts w:ascii="Arial" w:hAnsi="Arial" w:cs="Arial"/>
                <w:sz w:val="24"/>
                <w:szCs w:val="24"/>
              </w:rPr>
            </w:pPr>
          </w:p>
          <w:p w:rsidR="00B1056C" w:rsidRPr="0095726F" w:rsidRDefault="00B1056C" w:rsidP="00B1056C">
            <w:pPr>
              <w:rPr>
                <w:rFonts w:ascii="Arial" w:hAnsi="Arial" w:cs="Arial"/>
                <w:b/>
                <w:sz w:val="24"/>
                <w:szCs w:val="24"/>
              </w:rPr>
            </w:pPr>
            <w:r w:rsidRPr="0095726F">
              <w:rPr>
                <w:rFonts w:ascii="Arial" w:hAnsi="Arial" w:cs="Arial"/>
                <w:b/>
                <w:sz w:val="24"/>
                <w:szCs w:val="24"/>
              </w:rPr>
              <w:t>MHC 15/18</w:t>
            </w:r>
          </w:p>
          <w:p w:rsidR="00BD1A55" w:rsidRPr="0095726F" w:rsidRDefault="00BD1A55" w:rsidP="00BD1A55">
            <w:pPr>
              <w:rPr>
                <w:rFonts w:ascii="Arial" w:hAnsi="Arial" w:cs="Arial"/>
                <w:sz w:val="24"/>
                <w:szCs w:val="24"/>
              </w:rPr>
            </w:pPr>
            <w:r w:rsidRPr="0095726F">
              <w:rPr>
                <w:rFonts w:ascii="Arial" w:hAnsi="Arial" w:cs="Arial"/>
                <w:sz w:val="24"/>
                <w:szCs w:val="24"/>
              </w:rPr>
              <w:t>We have now identified all 200 units, which we are 75% confident will be delivered (i.e. offers have been accepted and lawyers instructed). 10% (19 units) are now on site</w:t>
            </w:r>
            <w:r w:rsidR="009F1E26" w:rsidRPr="0095726F">
              <w:rPr>
                <w:rFonts w:ascii="Arial" w:hAnsi="Arial" w:cs="Arial"/>
                <w:sz w:val="24"/>
                <w:szCs w:val="24"/>
              </w:rPr>
              <w:t>.  O</w:t>
            </w:r>
            <w:r w:rsidRPr="0095726F">
              <w:rPr>
                <w:rFonts w:ascii="Arial" w:hAnsi="Arial" w:cs="Arial"/>
                <w:sz w:val="24"/>
                <w:szCs w:val="24"/>
              </w:rPr>
              <w:t>f the 181 that have not yet reached that stage, 119 units across five schemes do not yet have</w:t>
            </w:r>
            <w:r w:rsidR="009F1E26" w:rsidRPr="0095726F">
              <w:rPr>
                <w:rFonts w:ascii="Arial" w:hAnsi="Arial" w:cs="Arial"/>
                <w:sz w:val="24"/>
                <w:szCs w:val="24"/>
              </w:rPr>
              <w:t xml:space="preserve"> planning consent, and of these, </w:t>
            </w:r>
            <w:r w:rsidRPr="0095726F">
              <w:rPr>
                <w:rFonts w:ascii="Arial" w:hAnsi="Arial" w:cs="Arial"/>
                <w:sz w:val="24"/>
                <w:szCs w:val="24"/>
              </w:rPr>
              <w:t xml:space="preserve">we are yet to exchange contracts on </w:t>
            </w:r>
            <w:r w:rsidR="009F1E26" w:rsidRPr="0095726F">
              <w:rPr>
                <w:rFonts w:ascii="Arial" w:hAnsi="Arial" w:cs="Arial"/>
                <w:sz w:val="24"/>
                <w:szCs w:val="24"/>
              </w:rPr>
              <w:t>86</w:t>
            </w:r>
            <w:r w:rsidRPr="0095726F">
              <w:rPr>
                <w:rFonts w:ascii="Arial" w:hAnsi="Arial" w:cs="Arial"/>
                <w:sz w:val="24"/>
                <w:szCs w:val="24"/>
              </w:rPr>
              <w:t xml:space="preserve"> units sites</w:t>
            </w:r>
            <w:r w:rsidR="009F1E26" w:rsidRPr="0095726F">
              <w:rPr>
                <w:rFonts w:ascii="Arial" w:hAnsi="Arial" w:cs="Arial"/>
                <w:sz w:val="24"/>
                <w:szCs w:val="24"/>
              </w:rPr>
              <w:t>,</w:t>
            </w:r>
            <w:r w:rsidRPr="0095726F">
              <w:rPr>
                <w:rFonts w:ascii="Arial" w:hAnsi="Arial" w:cs="Arial"/>
                <w:sz w:val="24"/>
                <w:szCs w:val="24"/>
              </w:rPr>
              <w:t xml:space="preserve"> so these </w:t>
            </w:r>
            <w:r w:rsidR="009F1E26" w:rsidRPr="0095726F">
              <w:rPr>
                <w:rFonts w:ascii="Arial" w:hAnsi="Arial" w:cs="Arial"/>
                <w:sz w:val="24"/>
                <w:szCs w:val="24"/>
              </w:rPr>
              <w:t xml:space="preserve">five </w:t>
            </w:r>
            <w:r w:rsidRPr="0095726F">
              <w:rPr>
                <w:rFonts w:ascii="Arial" w:hAnsi="Arial" w:cs="Arial"/>
                <w:sz w:val="24"/>
                <w:szCs w:val="24"/>
              </w:rPr>
              <w:t xml:space="preserve">sites are most at risk of being lost. We have exchanged contracts on 74 of the 181 units, some on a subject to planning basis.  </w:t>
            </w:r>
            <w:r w:rsidR="009F1E26" w:rsidRPr="0095726F">
              <w:rPr>
                <w:rFonts w:ascii="Arial" w:hAnsi="Arial" w:cs="Arial"/>
                <w:sz w:val="24"/>
                <w:szCs w:val="24"/>
              </w:rPr>
              <w:t xml:space="preserve">We are liaising closely with our LA contacts where we can, to ensure the planning applications are considered as early as possible.  </w:t>
            </w:r>
            <w:r w:rsidRPr="0095726F">
              <w:rPr>
                <w:rFonts w:ascii="Arial" w:hAnsi="Arial" w:cs="Arial"/>
                <w:sz w:val="24"/>
                <w:szCs w:val="24"/>
              </w:rPr>
              <w:t xml:space="preserve">We continue to identify sites with planning as a backup, to replace the more risky sites if they do not come to fruition within the timescales we are aiming for. </w:t>
            </w:r>
          </w:p>
          <w:p w:rsidR="00B1056C" w:rsidRPr="0095726F" w:rsidRDefault="00BD1A55" w:rsidP="00BD1A55">
            <w:pPr>
              <w:rPr>
                <w:rFonts w:ascii="Arial" w:hAnsi="Arial" w:cs="Arial"/>
                <w:sz w:val="24"/>
                <w:szCs w:val="24"/>
              </w:rPr>
            </w:pPr>
            <w:r w:rsidRPr="0095726F">
              <w:rPr>
                <w:rFonts w:ascii="Arial" w:hAnsi="Arial" w:cs="Arial"/>
                <w:sz w:val="24"/>
                <w:szCs w:val="24"/>
              </w:rPr>
              <w:t>More detail is provided on th</w:t>
            </w:r>
            <w:r w:rsidR="009F1E26" w:rsidRPr="0095726F">
              <w:rPr>
                <w:rFonts w:ascii="Arial" w:hAnsi="Arial" w:cs="Arial"/>
                <w:sz w:val="24"/>
                <w:szCs w:val="24"/>
              </w:rPr>
              <w:t xml:space="preserve">e strategic issues development report </w:t>
            </w:r>
            <w:r w:rsidRPr="0095726F">
              <w:rPr>
                <w:rFonts w:ascii="Arial" w:hAnsi="Arial" w:cs="Arial"/>
                <w:sz w:val="24"/>
                <w:szCs w:val="24"/>
              </w:rPr>
              <w:t>elsewhere on the agenda</w:t>
            </w:r>
            <w:r w:rsidR="00513B19" w:rsidRPr="0095726F">
              <w:rPr>
                <w:rFonts w:ascii="Arial" w:hAnsi="Arial" w:cs="Arial"/>
                <w:sz w:val="24"/>
                <w:szCs w:val="24"/>
              </w:rPr>
              <w:t xml:space="preserve">. </w:t>
            </w:r>
          </w:p>
          <w:p w:rsidR="00BD1A55" w:rsidRPr="0095726F" w:rsidRDefault="00BD1A55" w:rsidP="00B1056C">
            <w:pPr>
              <w:rPr>
                <w:rFonts w:ascii="Arial" w:hAnsi="Arial" w:cs="Arial"/>
                <w:sz w:val="24"/>
                <w:szCs w:val="24"/>
              </w:rPr>
            </w:pPr>
          </w:p>
          <w:p w:rsidR="00B1056C" w:rsidRPr="0095726F" w:rsidRDefault="00B1056C" w:rsidP="00B1056C">
            <w:pPr>
              <w:rPr>
                <w:rFonts w:ascii="Arial" w:hAnsi="Arial" w:cs="Arial"/>
                <w:b/>
                <w:sz w:val="24"/>
                <w:szCs w:val="24"/>
              </w:rPr>
            </w:pPr>
            <w:r w:rsidRPr="0095726F">
              <w:rPr>
                <w:rFonts w:ascii="Arial" w:hAnsi="Arial" w:cs="Arial"/>
                <w:b/>
                <w:sz w:val="24"/>
                <w:szCs w:val="24"/>
              </w:rPr>
              <w:t>Outright Sale</w:t>
            </w:r>
          </w:p>
          <w:p w:rsidR="0042782F" w:rsidRPr="0095726F" w:rsidRDefault="00513B19" w:rsidP="00BD1A55">
            <w:pPr>
              <w:rPr>
                <w:rFonts w:ascii="Arial" w:hAnsi="Arial" w:cs="Arial"/>
                <w:sz w:val="24"/>
                <w:szCs w:val="24"/>
              </w:rPr>
            </w:pPr>
            <w:r w:rsidRPr="0095726F">
              <w:rPr>
                <w:rFonts w:ascii="Arial" w:hAnsi="Arial" w:cs="Arial"/>
                <w:sz w:val="24"/>
                <w:szCs w:val="24"/>
              </w:rPr>
              <w:t>Biggin Hill will deliver 7 outright sale houses as part</w:t>
            </w:r>
            <w:r w:rsidR="00B1056C" w:rsidRPr="0095726F">
              <w:rPr>
                <w:rFonts w:ascii="Arial" w:hAnsi="Arial" w:cs="Arial"/>
                <w:sz w:val="24"/>
                <w:szCs w:val="24"/>
              </w:rPr>
              <w:t xml:space="preserve"> of a 13 unit mixed tenure scheme.  </w:t>
            </w:r>
            <w:r w:rsidRPr="0095726F">
              <w:rPr>
                <w:rFonts w:ascii="Arial" w:hAnsi="Arial" w:cs="Arial"/>
                <w:sz w:val="24"/>
                <w:szCs w:val="24"/>
              </w:rPr>
              <w:t xml:space="preserve">As at writing this report, we have exchanged contracts with the vendor, securing the site, with works due to commence within the next </w:t>
            </w:r>
            <w:r w:rsidR="00BD1A55" w:rsidRPr="0095726F">
              <w:rPr>
                <w:rFonts w:ascii="Arial" w:hAnsi="Arial" w:cs="Arial"/>
                <w:sz w:val="24"/>
                <w:szCs w:val="24"/>
              </w:rPr>
              <w:t>few</w:t>
            </w:r>
            <w:r w:rsidRPr="0095726F">
              <w:rPr>
                <w:rFonts w:ascii="Arial" w:hAnsi="Arial" w:cs="Arial"/>
                <w:sz w:val="24"/>
                <w:szCs w:val="24"/>
              </w:rPr>
              <w:t xml:space="preserve"> months.</w:t>
            </w:r>
          </w:p>
          <w:p w:rsidR="000C6155" w:rsidRPr="0095726F" w:rsidRDefault="000C6155" w:rsidP="00BD1A55">
            <w:pPr>
              <w:rPr>
                <w:rFonts w:ascii="Arial" w:hAnsi="Arial" w:cs="Arial"/>
                <w:sz w:val="24"/>
                <w:szCs w:val="24"/>
              </w:rPr>
            </w:pPr>
          </w:p>
          <w:p w:rsidR="000C6155" w:rsidRPr="0095726F" w:rsidRDefault="000C6155" w:rsidP="000C6155">
            <w:pPr>
              <w:rPr>
                <w:rFonts w:ascii="Arial" w:hAnsi="Arial" w:cs="Arial"/>
                <w:sz w:val="24"/>
                <w:szCs w:val="24"/>
              </w:rPr>
            </w:pPr>
            <w:r w:rsidRPr="0095726F">
              <w:rPr>
                <w:rFonts w:ascii="Arial" w:hAnsi="Arial" w:cs="Arial"/>
                <w:sz w:val="24"/>
                <w:szCs w:val="24"/>
              </w:rPr>
              <w:t>We have also exchanged contracts on an 11 unit section 106 scheme - Grant Rd which does not have any grant or subsidy going into it and actually generates a surplus.  It currently sits outside the GLA 200 unit programme, but may be added if one of the identified risky schemes does not progress as expected. We will seek Board approval before committing to deliver more than 200 units.</w:t>
            </w:r>
          </w:p>
          <w:p w:rsidR="000C6155" w:rsidRPr="0095726F" w:rsidRDefault="000C6155" w:rsidP="000C6155">
            <w:pPr>
              <w:rPr>
                <w:rFonts w:ascii="Arial" w:hAnsi="Arial" w:cs="Arial"/>
                <w:sz w:val="24"/>
                <w:szCs w:val="24"/>
              </w:rPr>
            </w:pPr>
          </w:p>
        </w:tc>
      </w:tr>
      <w:tr w:rsidR="0042782F" w:rsidRPr="00B44CB9" w:rsidTr="00792AFB">
        <w:tc>
          <w:tcPr>
            <w:tcW w:w="750" w:type="dxa"/>
          </w:tcPr>
          <w:p w:rsidR="0042782F" w:rsidRPr="00B44CB9" w:rsidRDefault="0059553C" w:rsidP="0059553C">
            <w:pPr>
              <w:rPr>
                <w:rFonts w:ascii="Arial" w:hAnsi="Arial" w:cs="Arial"/>
                <w:i/>
                <w:sz w:val="24"/>
                <w:szCs w:val="24"/>
              </w:rPr>
            </w:pPr>
            <w:r w:rsidRPr="00B44CB9">
              <w:rPr>
                <w:rFonts w:ascii="Arial" w:hAnsi="Arial" w:cs="Arial"/>
                <w:i/>
                <w:sz w:val="24"/>
                <w:szCs w:val="24"/>
              </w:rPr>
              <w:t>3</w:t>
            </w:r>
            <w:r w:rsidR="005930C8" w:rsidRPr="00B44CB9">
              <w:rPr>
                <w:rFonts w:ascii="Arial" w:hAnsi="Arial" w:cs="Arial"/>
                <w:i/>
                <w:sz w:val="24"/>
                <w:szCs w:val="24"/>
              </w:rPr>
              <w:t>.6.3</w:t>
            </w:r>
          </w:p>
        </w:tc>
        <w:tc>
          <w:tcPr>
            <w:tcW w:w="8492" w:type="dxa"/>
          </w:tcPr>
          <w:p w:rsidR="009C2196" w:rsidRPr="0095726F" w:rsidRDefault="005930C8" w:rsidP="009C2196">
            <w:pPr>
              <w:rPr>
                <w:rFonts w:ascii="Arial" w:hAnsi="Arial" w:cs="Arial"/>
                <w:i/>
                <w:sz w:val="24"/>
                <w:szCs w:val="24"/>
              </w:rPr>
            </w:pPr>
            <w:r w:rsidRPr="0095726F">
              <w:rPr>
                <w:rFonts w:ascii="Arial" w:hAnsi="Arial" w:cs="Arial"/>
                <w:b/>
                <w:bCs/>
                <w:i/>
                <w:sz w:val="24"/>
                <w:szCs w:val="24"/>
              </w:rPr>
              <w:t>Capital at Risk</w:t>
            </w:r>
            <w:r w:rsidRPr="0095726F">
              <w:rPr>
                <w:rFonts w:ascii="Arial" w:hAnsi="Arial" w:cs="Arial"/>
                <w:b/>
                <w:bCs/>
                <w:i/>
                <w:sz w:val="24"/>
                <w:szCs w:val="24"/>
              </w:rPr>
              <w:br/>
            </w:r>
          </w:p>
          <w:p w:rsidR="0042782F" w:rsidRPr="008D3798" w:rsidRDefault="001460F7" w:rsidP="001460F7">
            <w:pPr>
              <w:rPr>
                <w:rFonts w:ascii="Arial" w:hAnsi="Arial" w:cs="Arial"/>
                <w:sz w:val="24"/>
                <w:szCs w:val="24"/>
              </w:rPr>
            </w:pPr>
            <w:r w:rsidRPr="001460F7">
              <w:rPr>
                <w:rFonts w:ascii="Arial" w:hAnsi="Arial" w:cs="Arial"/>
                <w:sz w:val="24"/>
                <w:szCs w:val="24"/>
              </w:rPr>
              <w:t>We currently have an estimated £2.14m capital at risk across our shared ownership, outright sale and land</w:t>
            </w:r>
            <w:r>
              <w:rPr>
                <w:rFonts w:ascii="Arial" w:hAnsi="Arial" w:cs="Arial"/>
                <w:sz w:val="24"/>
                <w:szCs w:val="24"/>
              </w:rPr>
              <w:t xml:space="preserve"> investment </w:t>
            </w:r>
            <w:r w:rsidRPr="001460F7">
              <w:rPr>
                <w:rFonts w:ascii="Arial" w:hAnsi="Arial" w:cs="Arial"/>
                <w:sz w:val="24"/>
                <w:szCs w:val="24"/>
              </w:rPr>
              <w:t>schemes</w:t>
            </w:r>
            <w:r>
              <w:rPr>
                <w:rFonts w:ascii="Arial" w:hAnsi="Arial" w:cs="Arial"/>
                <w:sz w:val="24"/>
                <w:szCs w:val="24"/>
              </w:rPr>
              <w:t xml:space="preserve"> (yet to be identified).  </w:t>
            </w:r>
            <w:r w:rsidR="008D3798" w:rsidRPr="008D3798">
              <w:rPr>
                <w:rFonts w:ascii="Arial" w:hAnsi="Arial" w:cs="Arial"/>
                <w:sz w:val="24"/>
                <w:szCs w:val="24"/>
              </w:rPr>
              <w:t xml:space="preserve">This is well within the Board's agreed limit of £5.7m.  </w:t>
            </w:r>
          </w:p>
        </w:tc>
      </w:tr>
    </w:tbl>
    <w:p w:rsidR="0042782F" w:rsidRPr="00B44CB9" w:rsidRDefault="0042782F">
      <w:pPr>
        <w:rPr>
          <w:rFonts w:ascii="Arial" w:hAnsi="Arial" w:cs="Arial"/>
          <w:i/>
          <w:sz w:val="24"/>
          <w:szCs w:val="24"/>
        </w:rPr>
      </w:pPr>
    </w:p>
    <w:sectPr w:rsidR="0042782F" w:rsidRPr="00B44C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62" w:rsidRDefault="002C0962" w:rsidP="0042782F">
      <w:pPr>
        <w:spacing w:after="0" w:line="240" w:lineRule="auto"/>
      </w:pPr>
      <w:r>
        <w:separator/>
      </w:r>
    </w:p>
  </w:endnote>
  <w:endnote w:type="continuationSeparator" w:id="0">
    <w:p w:rsidR="002C0962" w:rsidRDefault="002C0962" w:rsidP="004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B9" w:rsidRPr="00B44CB9" w:rsidRDefault="00B44CB9">
    <w:pPr>
      <w:pStyle w:val="Footer"/>
      <w:pBdr>
        <w:top w:val="thinThickSmallGap" w:sz="24" w:space="1" w:color="622423" w:themeColor="accent2" w:themeShade="7F"/>
      </w:pBdr>
      <w:rPr>
        <w:rFonts w:ascii="Arial" w:eastAsiaTheme="majorEastAsia" w:hAnsi="Arial" w:cs="Arial"/>
        <w:sz w:val="20"/>
        <w:szCs w:val="20"/>
      </w:rPr>
    </w:pPr>
    <w:r>
      <w:rPr>
        <w:rFonts w:asciiTheme="majorHAnsi" w:eastAsiaTheme="majorEastAsia" w:hAnsiTheme="majorHAnsi" w:cstheme="majorBidi"/>
      </w:rPr>
      <w:t>Q3,1516_ PIs to Board_</w:t>
    </w:r>
    <w:r w:rsidRPr="00B44CB9">
      <w:rPr>
        <w:rFonts w:ascii="Arial" w:eastAsiaTheme="majorEastAsia" w:hAnsi="Arial" w:cs="Arial"/>
        <w:sz w:val="20"/>
        <w:szCs w:val="20"/>
      </w:rPr>
      <w:t>160126</w:t>
    </w:r>
    <w:r w:rsidRPr="00B44CB9">
      <w:rPr>
        <w:rFonts w:ascii="Arial" w:eastAsiaTheme="majorEastAsia" w:hAnsi="Arial" w:cs="Arial"/>
        <w:sz w:val="20"/>
        <w:szCs w:val="20"/>
      </w:rPr>
      <w:ptab w:relativeTo="margin" w:alignment="right" w:leader="none"/>
    </w:r>
    <w:r w:rsidRPr="00B44CB9">
      <w:rPr>
        <w:rFonts w:ascii="Arial" w:eastAsiaTheme="majorEastAsia" w:hAnsi="Arial" w:cs="Arial"/>
        <w:sz w:val="20"/>
        <w:szCs w:val="20"/>
      </w:rPr>
      <w:t xml:space="preserve">Page </w:t>
    </w:r>
    <w:r w:rsidRPr="00B44CB9">
      <w:rPr>
        <w:rFonts w:ascii="Arial" w:eastAsiaTheme="minorEastAsia" w:hAnsi="Arial" w:cs="Arial"/>
        <w:sz w:val="20"/>
        <w:szCs w:val="20"/>
      </w:rPr>
      <w:fldChar w:fldCharType="begin"/>
    </w:r>
    <w:r w:rsidRPr="00B44CB9">
      <w:rPr>
        <w:rFonts w:ascii="Arial" w:hAnsi="Arial" w:cs="Arial"/>
        <w:sz w:val="20"/>
        <w:szCs w:val="20"/>
      </w:rPr>
      <w:instrText xml:space="preserve"> PAGE   \* MERGEFORMAT </w:instrText>
    </w:r>
    <w:r w:rsidRPr="00B44CB9">
      <w:rPr>
        <w:rFonts w:ascii="Arial" w:eastAsiaTheme="minorEastAsia" w:hAnsi="Arial" w:cs="Arial"/>
        <w:sz w:val="20"/>
        <w:szCs w:val="20"/>
      </w:rPr>
      <w:fldChar w:fldCharType="separate"/>
    </w:r>
    <w:r w:rsidR="006B5941" w:rsidRPr="006B5941">
      <w:rPr>
        <w:rFonts w:ascii="Arial" w:eastAsiaTheme="majorEastAsia" w:hAnsi="Arial" w:cs="Arial"/>
        <w:noProof/>
        <w:sz w:val="20"/>
        <w:szCs w:val="20"/>
      </w:rPr>
      <w:t>1</w:t>
    </w:r>
    <w:r w:rsidRPr="00B44CB9">
      <w:rPr>
        <w:rFonts w:ascii="Arial" w:eastAsiaTheme="majorEastAsia" w:hAnsi="Arial" w:cs="Arial"/>
        <w:noProof/>
        <w:sz w:val="20"/>
        <w:szCs w:val="20"/>
      </w:rPr>
      <w:fldChar w:fldCharType="end"/>
    </w:r>
  </w:p>
  <w:p w:rsidR="0042782F" w:rsidRPr="00B44CB9" w:rsidRDefault="0042782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62" w:rsidRDefault="002C0962" w:rsidP="0042782F">
      <w:pPr>
        <w:spacing w:after="0" w:line="240" w:lineRule="auto"/>
      </w:pPr>
      <w:r>
        <w:separator/>
      </w:r>
    </w:p>
  </w:footnote>
  <w:footnote w:type="continuationSeparator" w:id="0">
    <w:p w:rsidR="002C0962" w:rsidRDefault="002C0962" w:rsidP="004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00A6"/>
    <w:multiLevelType w:val="hybridMultilevel"/>
    <w:tmpl w:val="BAFE5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142784A"/>
    <w:multiLevelType w:val="hybridMultilevel"/>
    <w:tmpl w:val="FB1866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F"/>
    <w:rsid w:val="00004D43"/>
    <w:rsid w:val="00034FD6"/>
    <w:rsid w:val="00051144"/>
    <w:rsid w:val="0008365C"/>
    <w:rsid w:val="000C6155"/>
    <w:rsid w:val="001460F7"/>
    <w:rsid w:val="00156C1D"/>
    <w:rsid w:val="0017743B"/>
    <w:rsid w:val="001C5F9A"/>
    <w:rsid w:val="001D38EB"/>
    <w:rsid w:val="001E792B"/>
    <w:rsid w:val="00211A94"/>
    <w:rsid w:val="002B2931"/>
    <w:rsid w:val="002C0962"/>
    <w:rsid w:val="002C655F"/>
    <w:rsid w:val="00337580"/>
    <w:rsid w:val="00343A98"/>
    <w:rsid w:val="0036529A"/>
    <w:rsid w:val="0038266C"/>
    <w:rsid w:val="00391565"/>
    <w:rsid w:val="003A2D47"/>
    <w:rsid w:val="0042782F"/>
    <w:rsid w:val="004A3D06"/>
    <w:rsid w:val="00501D86"/>
    <w:rsid w:val="00513B19"/>
    <w:rsid w:val="00554CBA"/>
    <w:rsid w:val="005733FB"/>
    <w:rsid w:val="005930C8"/>
    <w:rsid w:val="0059553C"/>
    <w:rsid w:val="005F5820"/>
    <w:rsid w:val="00602FD7"/>
    <w:rsid w:val="00614862"/>
    <w:rsid w:val="006169A5"/>
    <w:rsid w:val="006B5941"/>
    <w:rsid w:val="007242C1"/>
    <w:rsid w:val="00735D33"/>
    <w:rsid w:val="00792AFB"/>
    <w:rsid w:val="007959BB"/>
    <w:rsid w:val="007E4466"/>
    <w:rsid w:val="00882059"/>
    <w:rsid w:val="008D3798"/>
    <w:rsid w:val="009237CF"/>
    <w:rsid w:val="009253BA"/>
    <w:rsid w:val="00950EE4"/>
    <w:rsid w:val="0095726F"/>
    <w:rsid w:val="009C2196"/>
    <w:rsid w:val="009F1E26"/>
    <w:rsid w:val="009F77CC"/>
    <w:rsid w:val="00AC0A48"/>
    <w:rsid w:val="00B1056C"/>
    <w:rsid w:val="00B44CB9"/>
    <w:rsid w:val="00B54B9C"/>
    <w:rsid w:val="00BD1A55"/>
    <w:rsid w:val="00C84A6C"/>
    <w:rsid w:val="00D23318"/>
    <w:rsid w:val="00D93FC9"/>
    <w:rsid w:val="00DF20B3"/>
    <w:rsid w:val="00E313C4"/>
    <w:rsid w:val="00E36310"/>
    <w:rsid w:val="00ED6408"/>
    <w:rsid w:val="00F258D4"/>
    <w:rsid w:val="00F56407"/>
    <w:rsid w:val="00F83EF0"/>
    <w:rsid w:val="00FB3433"/>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2F"/>
  </w:style>
  <w:style w:type="paragraph" w:styleId="Footer">
    <w:name w:val="footer"/>
    <w:basedOn w:val="Normal"/>
    <w:link w:val="FooterChar"/>
    <w:uiPriority w:val="99"/>
    <w:unhideWhenUsed/>
    <w:rsid w:val="0042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2F"/>
  </w:style>
  <w:style w:type="paragraph" w:styleId="BalloonText">
    <w:name w:val="Balloon Text"/>
    <w:basedOn w:val="Normal"/>
    <w:link w:val="BalloonTextChar"/>
    <w:uiPriority w:val="99"/>
    <w:semiHidden/>
    <w:unhideWhenUsed/>
    <w:rsid w:val="004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2F"/>
    <w:rPr>
      <w:rFonts w:ascii="Tahoma" w:hAnsi="Tahoma" w:cs="Tahoma"/>
      <w:sz w:val="16"/>
      <w:szCs w:val="16"/>
    </w:rPr>
  </w:style>
  <w:style w:type="paragraph" w:styleId="ListParagraph">
    <w:name w:val="List Paragraph"/>
    <w:basedOn w:val="Normal"/>
    <w:uiPriority w:val="34"/>
    <w:qFormat/>
    <w:rsid w:val="00DF2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2F"/>
  </w:style>
  <w:style w:type="paragraph" w:styleId="Footer">
    <w:name w:val="footer"/>
    <w:basedOn w:val="Normal"/>
    <w:link w:val="FooterChar"/>
    <w:uiPriority w:val="99"/>
    <w:unhideWhenUsed/>
    <w:rsid w:val="0042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2F"/>
  </w:style>
  <w:style w:type="paragraph" w:styleId="BalloonText">
    <w:name w:val="Balloon Text"/>
    <w:basedOn w:val="Normal"/>
    <w:link w:val="BalloonTextChar"/>
    <w:uiPriority w:val="99"/>
    <w:semiHidden/>
    <w:unhideWhenUsed/>
    <w:rsid w:val="0042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2F"/>
    <w:rPr>
      <w:rFonts w:ascii="Tahoma" w:hAnsi="Tahoma" w:cs="Tahoma"/>
      <w:sz w:val="16"/>
      <w:szCs w:val="16"/>
    </w:rPr>
  </w:style>
  <w:style w:type="paragraph" w:styleId="ListParagraph">
    <w:name w:val="List Paragraph"/>
    <w:basedOn w:val="Normal"/>
    <w:uiPriority w:val="34"/>
    <w:qFormat/>
    <w:rsid w:val="00DF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5774">
      <w:bodyDiv w:val="1"/>
      <w:marLeft w:val="0"/>
      <w:marRight w:val="0"/>
      <w:marTop w:val="0"/>
      <w:marBottom w:val="0"/>
      <w:divBdr>
        <w:top w:val="none" w:sz="0" w:space="0" w:color="auto"/>
        <w:left w:val="none" w:sz="0" w:space="0" w:color="auto"/>
        <w:bottom w:val="none" w:sz="0" w:space="0" w:color="auto"/>
        <w:right w:val="none" w:sz="0" w:space="0" w:color="auto"/>
      </w:divBdr>
    </w:div>
    <w:div w:id="642349436">
      <w:bodyDiv w:val="1"/>
      <w:marLeft w:val="0"/>
      <w:marRight w:val="0"/>
      <w:marTop w:val="0"/>
      <w:marBottom w:val="0"/>
      <w:divBdr>
        <w:top w:val="none" w:sz="0" w:space="0" w:color="auto"/>
        <w:left w:val="none" w:sz="0" w:space="0" w:color="auto"/>
        <w:bottom w:val="none" w:sz="0" w:space="0" w:color="auto"/>
        <w:right w:val="none" w:sz="0" w:space="0" w:color="auto"/>
      </w:divBdr>
    </w:div>
    <w:div w:id="1033387243">
      <w:bodyDiv w:val="1"/>
      <w:marLeft w:val="0"/>
      <w:marRight w:val="0"/>
      <w:marTop w:val="0"/>
      <w:marBottom w:val="0"/>
      <w:divBdr>
        <w:top w:val="none" w:sz="0" w:space="0" w:color="auto"/>
        <w:left w:val="none" w:sz="0" w:space="0" w:color="auto"/>
        <w:bottom w:val="none" w:sz="0" w:space="0" w:color="auto"/>
        <w:right w:val="none" w:sz="0" w:space="0" w:color="auto"/>
      </w:divBdr>
    </w:div>
    <w:div w:id="1034693278">
      <w:bodyDiv w:val="1"/>
      <w:marLeft w:val="0"/>
      <w:marRight w:val="0"/>
      <w:marTop w:val="0"/>
      <w:marBottom w:val="0"/>
      <w:divBdr>
        <w:top w:val="none" w:sz="0" w:space="0" w:color="auto"/>
        <w:left w:val="none" w:sz="0" w:space="0" w:color="auto"/>
        <w:bottom w:val="none" w:sz="0" w:space="0" w:color="auto"/>
        <w:right w:val="none" w:sz="0" w:space="0" w:color="auto"/>
      </w:divBdr>
    </w:div>
    <w:div w:id="1177647069">
      <w:bodyDiv w:val="1"/>
      <w:marLeft w:val="0"/>
      <w:marRight w:val="0"/>
      <w:marTop w:val="0"/>
      <w:marBottom w:val="0"/>
      <w:divBdr>
        <w:top w:val="none" w:sz="0" w:space="0" w:color="auto"/>
        <w:left w:val="none" w:sz="0" w:space="0" w:color="auto"/>
        <w:bottom w:val="none" w:sz="0" w:space="0" w:color="auto"/>
        <w:right w:val="none" w:sz="0" w:space="0" w:color="auto"/>
      </w:divBdr>
    </w:div>
    <w:div w:id="1191063864">
      <w:bodyDiv w:val="1"/>
      <w:marLeft w:val="0"/>
      <w:marRight w:val="0"/>
      <w:marTop w:val="0"/>
      <w:marBottom w:val="0"/>
      <w:divBdr>
        <w:top w:val="none" w:sz="0" w:space="0" w:color="auto"/>
        <w:left w:val="none" w:sz="0" w:space="0" w:color="auto"/>
        <w:bottom w:val="none" w:sz="0" w:space="0" w:color="auto"/>
        <w:right w:val="none" w:sz="0" w:space="0" w:color="auto"/>
      </w:divBdr>
    </w:div>
    <w:div w:id="1220047309">
      <w:bodyDiv w:val="1"/>
      <w:marLeft w:val="0"/>
      <w:marRight w:val="0"/>
      <w:marTop w:val="0"/>
      <w:marBottom w:val="0"/>
      <w:divBdr>
        <w:top w:val="none" w:sz="0" w:space="0" w:color="auto"/>
        <w:left w:val="none" w:sz="0" w:space="0" w:color="auto"/>
        <w:bottom w:val="none" w:sz="0" w:space="0" w:color="auto"/>
        <w:right w:val="none" w:sz="0" w:space="0" w:color="auto"/>
      </w:divBdr>
    </w:div>
    <w:div w:id="1407800044">
      <w:bodyDiv w:val="1"/>
      <w:marLeft w:val="0"/>
      <w:marRight w:val="0"/>
      <w:marTop w:val="0"/>
      <w:marBottom w:val="0"/>
      <w:divBdr>
        <w:top w:val="none" w:sz="0" w:space="0" w:color="auto"/>
        <w:left w:val="none" w:sz="0" w:space="0" w:color="auto"/>
        <w:bottom w:val="none" w:sz="0" w:space="0" w:color="auto"/>
        <w:right w:val="none" w:sz="0" w:space="0" w:color="auto"/>
      </w:divBdr>
    </w:div>
    <w:div w:id="1733766857">
      <w:bodyDiv w:val="1"/>
      <w:marLeft w:val="0"/>
      <w:marRight w:val="0"/>
      <w:marTop w:val="0"/>
      <w:marBottom w:val="0"/>
      <w:divBdr>
        <w:top w:val="none" w:sz="0" w:space="0" w:color="auto"/>
        <w:left w:val="none" w:sz="0" w:space="0" w:color="auto"/>
        <w:bottom w:val="none" w:sz="0" w:space="0" w:color="auto"/>
        <w:right w:val="none" w:sz="0" w:space="0" w:color="auto"/>
      </w:divBdr>
    </w:div>
    <w:div w:id="21139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2</cp:revision>
  <dcterms:created xsi:type="dcterms:W3CDTF">2016-01-19T09:26:00Z</dcterms:created>
  <dcterms:modified xsi:type="dcterms:W3CDTF">2016-01-19T09:26:00Z</dcterms:modified>
</cp:coreProperties>
</file>