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8F" w:rsidRPr="00CE68C2" w:rsidRDefault="0062398F">
      <w:pPr>
        <w:rPr>
          <w:rFonts w:ascii="Arial" w:hAnsi="Arial" w:cs="Arial"/>
          <w:b/>
          <w:sz w:val="32"/>
          <w:szCs w:val="32"/>
        </w:rPr>
      </w:pPr>
      <w:r w:rsidRPr="00CE68C2">
        <w:rPr>
          <w:rFonts w:ascii="Arial" w:hAnsi="Arial" w:cs="Arial"/>
          <w:b/>
          <w:sz w:val="32"/>
          <w:szCs w:val="32"/>
        </w:rPr>
        <w:t>Hexagon Housing Association</w:t>
      </w:r>
    </w:p>
    <w:p w:rsidR="0062398F" w:rsidRPr="00CE68C2" w:rsidRDefault="0062398F">
      <w:pPr>
        <w:rPr>
          <w:rFonts w:ascii="Arial" w:hAnsi="Arial" w:cs="Arial"/>
          <w:b/>
          <w:sz w:val="32"/>
          <w:szCs w:val="32"/>
        </w:rPr>
      </w:pPr>
      <w:r w:rsidRPr="00CE68C2">
        <w:rPr>
          <w:rFonts w:ascii="Arial" w:hAnsi="Arial" w:cs="Arial"/>
          <w:b/>
          <w:sz w:val="32"/>
          <w:szCs w:val="32"/>
        </w:rPr>
        <w:t xml:space="preserve">Board of Management </w:t>
      </w:r>
    </w:p>
    <w:p w:rsidR="0062398F" w:rsidRPr="00CE68C2" w:rsidRDefault="0062398F">
      <w:pPr>
        <w:rPr>
          <w:rFonts w:ascii="Arial" w:hAnsi="Arial" w:cs="Arial"/>
          <w:b/>
          <w:sz w:val="32"/>
          <w:szCs w:val="32"/>
        </w:rPr>
      </w:pPr>
      <w:r w:rsidRPr="00CE68C2">
        <w:rPr>
          <w:rFonts w:ascii="Arial" w:hAnsi="Arial" w:cs="Arial"/>
          <w:b/>
          <w:sz w:val="32"/>
          <w:szCs w:val="32"/>
        </w:rPr>
        <w:t>26</w:t>
      </w:r>
      <w:r w:rsidR="00CE68C2" w:rsidRPr="00CE68C2">
        <w:rPr>
          <w:rFonts w:ascii="Arial" w:hAnsi="Arial" w:cs="Arial"/>
          <w:b/>
          <w:sz w:val="32"/>
          <w:szCs w:val="32"/>
          <w:vertAlign w:val="superscript"/>
        </w:rPr>
        <w:t>th</w:t>
      </w:r>
      <w:r w:rsidR="00CE68C2">
        <w:rPr>
          <w:rFonts w:ascii="Arial" w:hAnsi="Arial" w:cs="Arial"/>
          <w:b/>
          <w:sz w:val="32"/>
          <w:szCs w:val="32"/>
        </w:rPr>
        <w:t xml:space="preserve"> </w:t>
      </w:r>
      <w:r w:rsidRPr="00CE68C2">
        <w:rPr>
          <w:rFonts w:ascii="Arial" w:hAnsi="Arial" w:cs="Arial"/>
          <w:b/>
          <w:sz w:val="32"/>
          <w:szCs w:val="32"/>
        </w:rPr>
        <w:t>January 2016</w:t>
      </w:r>
    </w:p>
    <w:p w:rsidR="0062398F" w:rsidRPr="00CE68C2" w:rsidRDefault="0062398F">
      <w:pPr>
        <w:rPr>
          <w:rFonts w:ascii="Arial" w:hAnsi="Arial" w:cs="Arial"/>
          <w:b/>
          <w:sz w:val="32"/>
          <w:szCs w:val="32"/>
        </w:rPr>
      </w:pPr>
      <w:r w:rsidRPr="00CE68C2">
        <w:rPr>
          <w:rFonts w:ascii="Arial" w:hAnsi="Arial" w:cs="Arial"/>
          <w:b/>
          <w:sz w:val="32"/>
          <w:szCs w:val="32"/>
        </w:rPr>
        <w:t xml:space="preserve">Agenda item </w:t>
      </w:r>
      <w:r w:rsidR="00CE68C2" w:rsidRPr="00CE68C2">
        <w:rPr>
          <w:rFonts w:ascii="Arial" w:hAnsi="Arial" w:cs="Arial"/>
          <w:b/>
          <w:sz w:val="32"/>
          <w:szCs w:val="32"/>
        </w:rPr>
        <w:t>11</w:t>
      </w:r>
    </w:p>
    <w:p w:rsidR="0062398F" w:rsidRPr="00CE68C2" w:rsidRDefault="0062398F">
      <w:pPr>
        <w:rPr>
          <w:rFonts w:ascii="Arial" w:hAnsi="Arial" w:cs="Arial"/>
          <w:b/>
          <w:sz w:val="32"/>
          <w:szCs w:val="32"/>
        </w:rPr>
      </w:pPr>
      <w:r w:rsidRPr="00CE68C2">
        <w:rPr>
          <w:rFonts w:ascii="Arial" w:hAnsi="Arial" w:cs="Arial"/>
          <w:b/>
          <w:sz w:val="32"/>
          <w:szCs w:val="32"/>
        </w:rPr>
        <w:t xml:space="preserve">Hexagon’s policy on co-operative development </w:t>
      </w:r>
    </w:p>
    <w:p w:rsidR="0062398F" w:rsidRPr="00F946DA" w:rsidRDefault="0062398F">
      <w:pPr>
        <w:rPr>
          <w:rFonts w:ascii="Arial" w:hAnsi="Arial" w:cs="Arial"/>
          <w:sz w:val="32"/>
          <w:szCs w:val="32"/>
        </w:rPr>
      </w:pPr>
      <w:r w:rsidRPr="00CE68C2">
        <w:rPr>
          <w:rFonts w:ascii="Arial" w:hAnsi="Arial" w:cs="Arial"/>
          <w:b/>
          <w:sz w:val="32"/>
          <w:szCs w:val="32"/>
        </w:rPr>
        <w:t xml:space="preserve">Report by the Operations Director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1023A8" w:rsidRPr="00CE68C2" w:rsidTr="00D2355C">
        <w:tc>
          <w:tcPr>
            <w:tcW w:w="817" w:type="dxa"/>
          </w:tcPr>
          <w:p w:rsidR="001023A8" w:rsidRPr="00CE68C2" w:rsidRDefault="001023A8">
            <w:pPr>
              <w:rPr>
                <w:rFonts w:ascii="Arial" w:hAnsi="Arial" w:cs="Arial"/>
                <w:b/>
                <w:i/>
                <w:sz w:val="28"/>
                <w:szCs w:val="28"/>
              </w:rPr>
            </w:pPr>
            <w:r w:rsidRPr="00CE68C2">
              <w:rPr>
                <w:rFonts w:ascii="Arial" w:hAnsi="Arial" w:cs="Arial"/>
                <w:b/>
                <w:i/>
                <w:sz w:val="28"/>
                <w:szCs w:val="28"/>
              </w:rPr>
              <w:t>1</w:t>
            </w:r>
          </w:p>
        </w:tc>
        <w:tc>
          <w:tcPr>
            <w:tcW w:w="8425" w:type="dxa"/>
          </w:tcPr>
          <w:p w:rsidR="001023A8" w:rsidRPr="00CE68C2" w:rsidRDefault="001023A8" w:rsidP="001023A8">
            <w:pPr>
              <w:rPr>
                <w:rFonts w:ascii="Arial" w:hAnsi="Arial" w:cs="Arial"/>
                <w:b/>
                <w:i/>
                <w:sz w:val="28"/>
                <w:szCs w:val="28"/>
              </w:rPr>
            </w:pPr>
            <w:r w:rsidRPr="00CE68C2">
              <w:rPr>
                <w:rFonts w:ascii="Arial" w:hAnsi="Arial" w:cs="Arial"/>
                <w:b/>
                <w:i/>
                <w:sz w:val="28"/>
                <w:szCs w:val="28"/>
              </w:rPr>
              <w:t>Summary</w:t>
            </w:r>
          </w:p>
          <w:p w:rsidR="001023A8" w:rsidRPr="00CE68C2" w:rsidRDefault="001023A8">
            <w:pPr>
              <w:rPr>
                <w:rFonts w:ascii="Arial" w:hAnsi="Arial" w:cs="Arial"/>
                <w:b/>
                <w:i/>
                <w:sz w:val="20"/>
                <w:szCs w:val="28"/>
              </w:rPr>
            </w:pPr>
          </w:p>
        </w:tc>
      </w:tr>
      <w:tr w:rsidR="001023A8" w:rsidRPr="00F946DA" w:rsidTr="00D2355C">
        <w:tc>
          <w:tcPr>
            <w:tcW w:w="817" w:type="dxa"/>
          </w:tcPr>
          <w:p w:rsidR="001023A8" w:rsidRPr="00F946DA" w:rsidRDefault="001023A8">
            <w:pPr>
              <w:rPr>
                <w:rFonts w:ascii="Arial" w:hAnsi="Arial" w:cs="Arial"/>
                <w:sz w:val="24"/>
                <w:szCs w:val="24"/>
              </w:rPr>
            </w:pPr>
          </w:p>
        </w:tc>
        <w:tc>
          <w:tcPr>
            <w:tcW w:w="8425" w:type="dxa"/>
          </w:tcPr>
          <w:p w:rsidR="001023A8" w:rsidRPr="00F946DA" w:rsidRDefault="001023A8" w:rsidP="001023A8">
            <w:pPr>
              <w:pStyle w:val="ListParagraph"/>
              <w:ind w:left="0"/>
              <w:rPr>
                <w:rFonts w:ascii="Arial" w:hAnsi="Arial" w:cs="Arial"/>
                <w:sz w:val="24"/>
                <w:szCs w:val="24"/>
              </w:rPr>
            </w:pPr>
            <w:r w:rsidRPr="00F946DA">
              <w:rPr>
                <w:rFonts w:ascii="Arial" w:hAnsi="Arial" w:cs="Arial"/>
                <w:sz w:val="24"/>
                <w:szCs w:val="24"/>
              </w:rPr>
              <w:t xml:space="preserve">This report outlines the history of Hexagon’s involvement with co-operative management of our homes and </w:t>
            </w:r>
            <w:r w:rsidR="00122590">
              <w:rPr>
                <w:rFonts w:ascii="Arial" w:hAnsi="Arial" w:cs="Arial"/>
                <w:sz w:val="24"/>
                <w:szCs w:val="24"/>
              </w:rPr>
              <w:t>presents the arguments for and against our current approach to co-op support and development. It is intended as a discussion paper</w:t>
            </w:r>
            <w:r w:rsidR="00D42624">
              <w:rPr>
                <w:rFonts w:ascii="Arial" w:hAnsi="Arial" w:cs="Arial"/>
                <w:sz w:val="24"/>
                <w:szCs w:val="24"/>
              </w:rPr>
              <w:t xml:space="preserve"> as a follow up to the brief discussion at the Away-day. </w:t>
            </w:r>
            <w:r w:rsidR="00122590">
              <w:rPr>
                <w:rFonts w:ascii="Arial" w:hAnsi="Arial" w:cs="Arial"/>
                <w:sz w:val="24"/>
                <w:szCs w:val="24"/>
              </w:rPr>
              <w:t xml:space="preserve"> </w:t>
            </w:r>
            <w:r w:rsidRPr="00F946DA">
              <w:rPr>
                <w:rFonts w:ascii="Arial" w:hAnsi="Arial" w:cs="Arial"/>
                <w:sz w:val="24"/>
                <w:szCs w:val="24"/>
              </w:rPr>
              <w:t xml:space="preserve"> </w:t>
            </w:r>
          </w:p>
          <w:p w:rsidR="001023A8" w:rsidRPr="00F946DA" w:rsidRDefault="001023A8">
            <w:pPr>
              <w:rPr>
                <w:rFonts w:ascii="Arial" w:hAnsi="Arial" w:cs="Arial"/>
                <w:sz w:val="24"/>
                <w:szCs w:val="24"/>
              </w:rPr>
            </w:pPr>
          </w:p>
        </w:tc>
      </w:tr>
      <w:tr w:rsidR="001023A8" w:rsidRPr="00CE68C2" w:rsidTr="00D2355C">
        <w:tc>
          <w:tcPr>
            <w:tcW w:w="817" w:type="dxa"/>
          </w:tcPr>
          <w:p w:rsidR="001023A8" w:rsidRPr="00CE68C2" w:rsidRDefault="001023A8">
            <w:pPr>
              <w:rPr>
                <w:rFonts w:ascii="Arial" w:hAnsi="Arial" w:cs="Arial"/>
                <w:b/>
                <w:i/>
                <w:sz w:val="28"/>
                <w:szCs w:val="28"/>
              </w:rPr>
            </w:pPr>
            <w:r w:rsidRPr="00CE68C2">
              <w:rPr>
                <w:rFonts w:ascii="Arial" w:hAnsi="Arial" w:cs="Arial"/>
                <w:b/>
                <w:i/>
                <w:sz w:val="28"/>
                <w:szCs w:val="28"/>
              </w:rPr>
              <w:t>2</w:t>
            </w:r>
          </w:p>
        </w:tc>
        <w:tc>
          <w:tcPr>
            <w:tcW w:w="8425" w:type="dxa"/>
          </w:tcPr>
          <w:p w:rsidR="001023A8" w:rsidRPr="00CE68C2" w:rsidRDefault="001023A8">
            <w:pPr>
              <w:rPr>
                <w:rFonts w:ascii="Arial" w:hAnsi="Arial" w:cs="Arial"/>
                <w:b/>
                <w:i/>
                <w:sz w:val="28"/>
                <w:szCs w:val="28"/>
              </w:rPr>
            </w:pPr>
            <w:r w:rsidRPr="00CE68C2">
              <w:rPr>
                <w:rFonts w:ascii="Arial" w:hAnsi="Arial" w:cs="Arial"/>
                <w:b/>
                <w:i/>
                <w:sz w:val="28"/>
                <w:szCs w:val="28"/>
              </w:rPr>
              <w:t xml:space="preserve">Recommendations </w:t>
            </w:r>
          </w:p>
          <w:p w:rsidR="00CE68C2" w:rsidRPr="00CE68C2" w:rsidRDefault="00CE68C2">
            <w:pPr>
              <w:rPr>
                <w:rFonts w:ascii="Arial" w:hAnsi="Arial" w:cs="Arial"/>
                <w:b/>
                <w:i/>
                <w:sz w:val="20"/>
                <w:szCs w:val="28"/>
              </w:rPr>
            </w:pPr>
          </w:p>
        </w:tc>
      </w:tr>
      <w:tr w:rsidR="001023A8" w:rsidRPr="00F946DA" w:rsidTr="00D2355C">
        <w:tc>
          <w:tcPr>
            <w:tcW w:w="817" w:type="dxa"/>
          </w:tcPr>
          <w:p w:rsidR="001023A8" w:rsidRPr="00F946DA" w:rsidRDefault="001023A8">
            <w:pPr>
              <w:rPr>
                <w:rFonts w:ascii="Arial" w:hAnsi="Arial" w:cs="Arial"/>
                <w:sz w:val="24"/>
                <w:szCs w:val="24"/>
              </w:rPr>
            </w:pPr>
          </w:p>
        </w:tc>
        <w:tc>
          <w:tcPr>
            <w:tcW w:w="8425" w:type="dxa"/>
          </w:tcPr>
          <w:p w:rsidR="000A6023" w:rsidRDefault="00D42624" w:rsidP="00D42624">
            <w:pPr>
              <w:rPr>
                <w:rFonts w:ascii="Arial" w:hAnsi="Arial" w:cs="Arial"/>
                <w:sz w:val="24"/>
                <w:szCs w:val="24"/>
              </w:rPr>
            </w:pPr>
            <w:r>
              <w:rPr>
                <w:rFonts w:ascii="Arial" w:hAnsi="Arial" w:cs="Arial"/>
                <w:sz w:val="24"/>
                <w:szCs w:val="24"/>
              </w:rPr>
              <w:t xml:space="preserve">The Board </w:t>
            </w:r>
            <w:r w:rsidR="00526FFD">
              <w:rPr>
                <w:rFonts w:ascii="Arial" w:hAnsi="Arial" w:cs="Arial"/>
                <w:sz w:val="24"/>
                <w:szCs w:val="24"/>
              </w:rPr>
              <w:t xml:space="preserve">notes this as a background paper. Board members are invited to comment on </w:t>
            </w:r>
            <w:r>
              <w:rPr>
                <w:rFonts w:ascii="Arial" w:hAnsi="Arial" w:cs="Arial"/>
                <w:sz w:val="24"/>
                <w:szCs w:val="24"/>
              </w:rPr>
              <w:t xml:space="preserve">the issues and </w:t>
            </w:r>
            <w:r w:rsidR="00526FFD">
              <w:rPr>
                <w:rFonts w:ascii="Arial" w:hAnsi="Arial" w:cs="Arial"/>
                <w:sz w:val="24"/>
                <w:szCs w:val="24"/>
              </w:rPr>
              <w:t xml:space="preserve">agree that </w:t>
            </w:r>
            <w:r>
              <w:rPr>
                <w:rFonts w:ascii="Arial" w:hAnsi="Arial" w:cs="Arial"/>
                <w:sz w:val="24"/>
                <w:szCs w:val="24"/>
              </w:rPr>
              <w:t xml:space="preserve">a follow-up report </w:t>
            </w:r>
            <w:r w:rsidR="00526FFD">
              <w:rPr>
                <w:rFonts w:ascii="Arial" w:hAnsi="Arial" w:cs="Arial"/>
                <w:sz w:val="24"/>
                <w:szCs w:val="24"/>
              </w:rPr>
              <w:t xml:space="preserve">with recommendations </w:t>
            </w:r>
            <w:r>
              <w:rPr>
                <w:rFonts w:ascii="Arial" w:hAnsi="Arial" w:cs="Arial"/>
                <w:sz w:val="24"/>
                <w:szCs w:val="24"/>
              </w:rPr>
              <w:t xml:space="preserve">will be done as part of the Chief Executive’s report in March. </w:t>
            </w:r>
          </w:p>
          <w:p w:rsidR="00D42624" w:rsidRPr="00D42624" w:rsidRDefault="00D42624" w:rsidP="00D42624">
            <w:pPr>
              <w:rPr>
                <w:rFonts w:ascii="Arial" w:hAnsi="Arial" w:cs="Arial"/>
                <w:sz w:val="24"/>
                <w:szCs w:val="24"/>
              </w:rPr>
            </w:pPr>
          </w:p>
        </w:tc>
      </w:tr>
      <w:tr w:rsidR="001023A8" w:rsidRPr="00CE68C2" w:rsidTr="00D2355C">
        <w:tc>
          <w:tcPr>
            <w:tcW w:w="817" w:type="dxa"/>
          </w:tcPr>
          <w:p w:rsidR="001023A8" w:rsidRPr="00CE68C2" w:rsidRDefault="001023A8">
            <w:pPr>
              <w:rPr>
                <w:rFonts w:ascii="Arial" w:hAnsi="Arial" w:cs="Arial"/>
                <w:b/>
                <w:i/>
                <w:sz w:val="28"/>
                <w:szCs w:val="28"/>
              </w:rPr>
            </w:pPr>
            <w:r w:rsidRPr="00CE68C2">
              <w:rPr>
                <w:rFonts w:ascii="Arial" w:hAnsi="Arial" w:cs="Arial"/>
                <w:b/>
                <w:i/>
                <w:sz w:val="28"/>
                <w:szCs w:val="28"/>
              </w:rPr>
              <w:t>3</w:t>
            </w:r>
          </w:p>
        </w:tc>
        <w:tc>
          <w:tcPr>
            <w:tcW w:w="8425" w:type="dxa"/>
          </w:tcPr>
          <w:p w:rsidR="001023A8" w:rsidRPr="00CE68C2" w:rsidRDefault="001023A8" w:rsidP="001023A8">
            <w:pPr>
              <w:rPr>
                <w:rFonts w:ascii="Arial" w:hAnsi="Arial" w:cs="Arial"/>
                <w:b/>
                <w:i/>
                <w:sz w:val="28"/>
                <w:szCs w:val="28"/>
              </w:rPr>
            </w:pPr>
            <w:r w:rsidRPr="00CE68C2">
              <w:rPr>
                <w:rFonts w:ascii="Arial" w:hAnsi="Arial" w:cs="Arial"/>
                <w:b/>
                <w:i/>
                <w:sz w:val="28"/>
                <w:szCs w:val="28"/>
              </w:rPr>
              <w:t>Hexagon’s relationship with the co-ops</w:t>
            </w:r>
          </w:p>
          <w:p w:rsidR="001023A8" w:rsidRPr="00CE68C2" w:rsidRDefault="001023A8">
            <w:pPr>
              <w:rPr>
                <w:rFonts w:ascii="Arial" w:hAnsi="Arial" w:cs="Arial"/>
                <w:b/>
                <w:i/>
                <w:sz w:val="20"/>
                <w:szCs w:val="28"/>
              </w:rPr>
            </w:pPr>
          </w:p>
        </w:tc>
      </w:tr>
      <w:tr w:rsidR="001023A8" w:rsidRPr="00F946DA" w:rsidTr="00D2355C">
        <w:tc>
          <w:tcPr>
            <w:tcW w:w="817" w:type="dxa"/>
          </w:tcPr>
          <w:p w:rsidR="001023A8" w:rsidRPr="00F946DA" w:rsidRDefault="001023A8">
            <w:pPr>
              <w:rPr>
                <w:rFonts w:ascii="Arial" w:hAnsi="Arial" w:cs="Arial"/>
                <w:sz w:val="24"/>
                <w:szCs w:val="24"/>
              </w:rPr>
            </w:pPr>
            <w:r w:rsidRPr="00F946DA">
              <w:rPr>
                <w:rFonts w:ascii="Arial" w:hAnsi="Arial" w:cs="Arial"/>
                <w:sz w:val="24"/>
                <w:szCs w:val="24"/>
              </w:rPr>
              <w:t>3.1</w:t>
            </w:r>
          </w:p>
        </w:tc>
        <w:tc>
          <w:tcPr>
            <w:tcW w:w="8425" w:type="dxa"/>
          </w:tcPr>
          <w:p w:rsidR="001023A8" w:rsidRPr="00F946DA" w:rsidRDefault="001023A8" w:rsidP="001023A8">
            <w:pPr>
              <w:pStyle w:val="ListParagraph"/>
              <w:ind w:left="0"/>
              <w:rPr>
                <w:rFonts w:ascii="Arial" w:hAnsi="Arial" w:cs="Arial"/>
                <w:sz w:val="24"/>
                <w:szCs w:val="24"/>
              </w:rPr>
            </w:pPr>
            <w:r w:rsidRPr="00F946DA">
              <w:rPr>
                <w:rFonts w:ascii="Arial" w:hAnsi="Arial" w:cs="Arial"/>
                <w:sz w:val="24"/>
                <w:szCs w:val="24"/>
              </w:rPr>
              <w:t xml:space="preserve">Hexagon as the landlord has a management agreement with each co-operative which sets out the roles and responsibilities of each party. The management agreement follows a nationally devised “model” management agreement originally drawn up in the 1980s/early 1990s when co-op </w:t>
            </w:r>
            <w:r w:rsidR="00122590">
              <w:rPr>
                <w:rFonts w:ascii="Arial" w:hAnsi="Arial" w:cs="Arial"/>
                <w:sz w:val="24"/>
                <w:szCs w:val="24"/>
              </w:rPr>
              <w:t xml:space="preserve">and tenant management organisation </w:t>
            </w:r>
            <w:r w:rsidRPr="00F946DA">
              <w:rPr>
                <w:rFonts w:ascii="Arial" w:hAnsi="Arial" w:cs="Arial"/>
                <w:sz w:val="24"/>
                <w:szCs w:val="24"/>
              </w:rPr>
              <w:t>development was being promoted through Government policy</w:t>
            </w:r>
            <w:r w:rsidR="00122590">
              <w:rPr>
                <w:rFonts w:ascii="Arial" w:hAnsi="Arial" w:cs="Arial"/>
                <w:sz w:val="24"/>
                <w:szCs w:val="24"/>
              </w:rPr>
              <w:t xml:space="preserve"> on the right to manage which applied to local authority tenants</w:t>
            </w:r>
            <w:r w:rsidRPr="00F946DA">
              <w:rPr>
                <w:rFonts w:ascii="Arial" w:hAnsi="Arial" w:cs="Arial"/>
                <w:sz w:val="24"/>
                <w:szCs w:val="24"/>
              </w:rPr>
              <w:t xml:space="preserve">.  </w:t>
            </w:r>
            <w:r w:rsidR="00122590">
              <w:rPr>
                <w:rFonts w:ascii="Arial" w:hAnsi="Arial" w:cs="Arial"/>
                <w:sz w:val="24"/>
                <w:szCs w:val="24"/>
              </w:rPr>
              <w:t>Hexagon remains the landlord and residents are tenants of Hexagon; t</w:t>
            </w:r>
            <w:r w:rsidRPr="00F946DA">
              <w:rPr>
                <w:rFonts w:ascii="Arial" w:hAnsi="Arial" w:cs="Arial"/>
                <w:sz w:val="24"/>
                <w:szCs w:val="24"/>
              </w:rPr>
              <w:t>he co-operative is responsible for day to day management of the homes incl</w:t>
            </w:r>
            <w:r w:rsidR="00122590">
              <w:rPr>
                <w:rFonts w:ascii="Arial" w:hAnsi="Arial" w:cs="Arial"/>
                <w:sz w:val="24"/>
                <w:szCs w:val="24"/>
              </w:rPr>
              <w:t xml:space="preserve">uding collecting the </w:t>
            </w:r>
            <w:r w:rsidR="00D42624">
              <w:rPr>
                <w:rFonts w:ascii="Arial" w:hAnsi="Arial" w:cs="Arial"/>
                <w:sz w:val="24"/>
                <w:szCs w:val="24"/>
              </w:rPr>
              <w:t>rent;</w:t>
            </w:r>
            <w:r w:rsidR="00122590">
              <w:rPr>
                <w:rFonts w:ascii="Arial" w:hAnsi="Arial" w:cs="Arial"/>
                <w:sz w:val="24"/>
                <w:szCs w:val="24"/>
              </w:rPr>
              <w:t xml:space="preserve"> the co-ops</w:t>
            </w:r>
            <w:r w:rsidRPr="00F946DA">
              <w:rPr>
                <w:rFonts w:ascii="Arial" w:hAnsi="Arial" w:cs="Arial"/>
                <w:sz w:val="24"/>
                <w:szCs w:val="24"/>
              </w:rPr>
              <w:t xml:space="preserve"> retain out of the rent income agreed sums for the management and maintenance of the homes and pay the balance to us to meet the other costs such as interest payments and </w:t>
            </w:r>
            <w:r w:rsidR="004E279C" w:rsidRPr="00F946DA">
              <w:rPr>
                <w:rFonts w:ascii="Arial" w:hAnsi="Arial" w:cs="Arial"/>
                <w:sz w:val="24"/>
                <w:szCs w:val="24"/>
              </w:rPr>
              <w:t xml:space="preserve">cyclical and </w:t>
            </w:r>
            <w:r w:rsidRPr="00F946DA">
              <w:rPr>
                <w:rFonts w:ascii="Arial" w:hAnsi="Arial" w:cs="Arial"/>
                <w:sz w:val="24"/>
                <w:szCs w:val="24"/>
              </w:rPr>
              <w:t>major repairs</w:t>
            </w:r>
            <w:r w:rsidR="00122590">
              <w:rPr>
                <w:rFonts w:ascii="Arial" w:hAnsi="Arial" w:cs="Arial"/>
                <w:sz w:val="24"/>
                <w:szCs w:val="24"/>
              </w:rPr>
              <w:t xml:space="preserve">, for which Hexagon retains the responsibility. </w:t>
            </w:r>
            <w:r w:rsidRPr="00F946DA">
              <w:rPr>
                <w:rFonts w:ascii="Arial" w:hAnsi="Arial" w:cs="Arial"/>
                <w:sz w:val="24"/>
                <w:szCs w:val="24"/>
              </w:rPr>
              <w:t xml:space="preserve"> </w:t>
            </w:r>
          </w:p>
          <w:p w:rsidR="001023A8" w:rsidRPr="00F946DA" w:rsidRDefault="001023A8">
            <w:pPr>
              <w:rPr>
                <w:rFonts w:ascii="Arial" w:hAnsi="Arial" w:cs="Arial"/>
                <w:sz w:val="24"/>
                <w:szCs w:val="24"/>
              </w:rPr>
            </w:pPr>
          </w:p>
        </w:tc>
      </w:tr>
      <w:tr w:rsidR="001023A8" w:rsidRPr="00F946DA" w:rsidTr="00D2355C">
        <w:tc>
          <w:tcPr>
            <w:tcW w:w="817" w:type="dxa"/>
          </w:tcPr>
          <w:p w:rsidR="001023A8" w:rsidRPr="00F946DA" w:rsidRDefault="005F56F1">
            <w:pPr>
              <w:rPr>
                <w:rFonts w:ascii="Arial" w:hAnsi="Arial" w:cs="Arial"/>
                <w:sz w:val="24"/>
                <w:szCs w:val="24"/>
              </w:rPr>
            </w:pPr>
            <w:r w:rsidRPr="00F946DA">
              <w:rPr>
                <w:rFonts w:ascii="Arial" w:hAnsi="Arial" w:cs="Arial"/>
                <w:sz w:val="24"/>
                <w:szCs w:val="24"/>
              </w:rPr>
              <w:t>3.2</w:t>
            </w:r>
          </w:p>
        </w:tc>
        <w:tc>
          <w:tcPr>
            <w:tcW w:w="8425" w:type="dxa"/>
          </w:tcPr>
          <w:p w:rsidR="005F56F1" w:rsidRPr="00F946DA" w:rsidRDefault="005F56F1" w:rsidP="005F56F1">
            <w:pPr>
              <w:pStyle w:val="ListParagraph"/>
              <w:ind w:left="0"/>
              <w:rPr>
                <w:rFonts w:ascii="Arial" w:hAnsi="Arial" w:cs="Arial"/>
                <w:sz w:val="24"/>
                <w:szCs w:val="24"/>
              </w:rPr>
            </w:pPr>
            <w:r w:rsidRPr="00F946DA">
              <w:rPr>
                <w:rFonts w:ascii="Arial" w:hAnsi="Arial" w:cs="Arial"/>
                <w:sz w:val="24"/>
                <w:szCs w:val="24"/>
              </w:rPr>
              <w:t xml:space="preserve">Our Resident Involvement team is responsible for the day to day liaison with the co-ops and monitors their performance through a system of quarterly returns and annual visits. The performance monitoring reviews lettings, arrears, repairs, gas safety checks, FRA reviews, and complaints.  </w:t>
            </w:r>
            <w:r w:rsidR="004E279C" w:rsidRPr="00F946DA">
              <w:rPr>
                <w:rFonts w:ascii="Arial" w:hAnsi="Arial" w:cs="Arial"/>
                <w:sz w:val="24"/>
                <w:szCs w:val="24"/>
              </w:rPr>
              <w:t xml:space="preserve">We approve their policies which form part of the management agreement. </w:t>
            </w:r>
            <w:r w:rsidRPr="00F946DA">
              <w:rPr>
                <w:rFonts w:ascii="Arial" w:hAnsi="Arial" w:cs="Arial"/>
                <w:sz w:val="24"/>
                <w:szCs w:val="24"/>
              </w:rPr>
              <w:t>The co-ops also refer decisions on pursuing legal ac</w:t>
            </w:r>
            <w:r w:rsidR="00122590">
              <w:rPr>
                <w:rFonts w:ascii="Arial" w:hAnsi="Arial" w:cs="Arial"/>
                <w:sz w:val="24"/>
                <w:szCs w:val="24"/>
              </w:rPr>
              <w:t xml:space="preserve">tion for tenancy breaches to us as the landlord. </w:t>
            </w:r>
            <w:r w:rsidRPr="00F946DA">
              <w:rPr>
                <w:rFonts w:ascii="Arial" w:hAnsi="Arial" w:cs="Arial"/>
                <w:sz w:val="24"/>
                <w:szCs w:val="24"/>
              </w:rPr>
              <w:t xml:space="preserve"> </w:t>
            </w:r>
            <w:r w:rsidR="00122590">
              <w:rPr>
                <w:rFonts w:ascii="Arial" w:hAnsi="Arial" w:cs="Arial"/>
                <w:sz w:val="24"/>
                <w:szCs w:val="24"/>
              </w:rPr>
              <w:t xml:space="preserve">We also have the right to </w:t>
            </w:r>
            <w:r w:rsidR="004E279C" w:rsidRPr="00F946DA">
              <w:rPr>
                <w:rFonts w:ascii="Arial" w:hAnsi="Arial" w:cs="Arial"/>
                <w:sz w:val="24"/>
                <w:szCs w:val="24"/>
              </w:rPr>
              <w:t xml:space="preserve">attend some of their meetings </w:t>
            </w:r>
            <w:r w:rsidR="004E279C" w:rsidRPr="00F946DA">
              <w:rPr>
                <w:rFonts w:ascii="Arial" w:hAnsi="Arial" w:cs="Arial"/>
                <w:sz w:val="24"/>
                <w:szCs w:val="24"/>
              </w:rPr>
              <w:lastRenderedPageBreak/>
              <w:t xml:space="preserve">and receive the minutes of key meetings like AGMs. </w:t>
            </w:r>
          </w:p>
          <w:p w:rsidR="001023A8" w:rsidRDefault="001023A8" w:rsidP="005F56F1">
            <w:pPr>
              <w:rPr>
                <w:rFonts w:ascii="Arial" w:hAnsi="Arial" w:cs="Arial"/>
                <w:sz w:val="24"/>
                <w:szCs w:val="24"/>
              </w:rPr>
            </w:pPr>
          </w:p>
          <w:p w:rsidR="009D3714" w:rsidRPr="00F946DA" w:rsidRDefault="009D3714" w:rsidP="009D3714">
            <w:pPr>
              <w:rPr>
                <w:rFonts w:ascii="Arial" w:hAnsi="Arial" w:cs="Arial"/>
                <w:sz w:val="24"/>
                <w:szCs w:val="24"/>
              </w:rPr>
            </w:pPr>
            <w:r w:rsidRPr="00F946DA">
              <w:rPr>
                <w:rFonts w:ascii="Arial" w:hAnsi="Arial" w:cs="Arial"/>
                <w:sz w:val="24"/>
                <w:szCs w:val="24"/>
              </w:rPr>
              <w:t>Most of our current co-op managed homes are for general needs residents; one scheme is for men with HIV/Aids and another co-op, Three Boroughs includes 28 shared housing bed</w:t>
            </w:r>
            <w:r>
              <w:rPr>
                <w:rFonts w:ascii="Arial" w:hAnsi="Arial" w:cs="Arial"/>
                <w:sz w:val="24"/>
                <w:szCs w:val="24"/>
              </w:rPr>
              <w:t>-</w:t>
            </w:r>
            <w:r w:rsidRPr="00F946DA">
              <w:rPr>
                <w:rFonts w:ascii="Arial" w:hAnsi="Arial" w:cs="Arial"/>
                <w:sz w:val="24"/>
                <w:szCs w:val="24"/>
              </w:rPr>
              <w:t>spaces</w:t>
            </w:r>
            <w:r>
              <w:rPr>
                <w:rFonts w:ascii="Arial" w:hAnsi="Arial" w:cs="Arial"/>
                <w:sz w:val="24"/>
                <w:szCs w:val="24"/>
              </w:rPr>
              <w:t xml:space="preserve"> representing 34% of the stock that they manage for us</w:t>
            </w:r>
            <w:r w:rsidRPr="00F946DA">
              <w:rPr>
                <w:rFonts w:ascii="Arial" w:hAnsi="Arial" w:cs="Arial"/>
                <w:sz w:val="24"/>
                <w:szCs w:val="24"/>
              </w:rPr>
              <w:t xml:space="preserve">. </w:t>
            </w:r>
          </w:p>
          <w:p w:rsidR="009D3714" w:rsidRPr="00F946DA" w:rsidRDefault="009D3714" w:rsidP="005F56F1">
            <w:pPr>
              <w:rPr>
                <w:rFonts w:ascii="Arial" w:hAnsi="Arial" w:cs="Arial"/>
                <w:sz w:val="24"/>
                <w:szCs w:val="24"/>
              </w:rPr>
            </w:pPr>
          </w:p>
        </w:tc>
      </w:tr>
      <w:tr w:rsidR="002A771B" w:rsidRPr="00F946DA" w:rsidTr="00D2355C">
        <w:tc>
          <w:tcPr>
            <w:tcW w:w="817" w:type="dxa"/>
          </w:tcPr>
          <w:p w:rsidR="002A771B" w:rsidRPr="00F946DA" w:rsidRDefault="002A771B">
            <w:pPr>
              <w:rPr>
                <w:rFonts w:ascii="Arial" w:hAnsi="Arial" w:cs="Arial"/>
                <w:sz w:val="24"/>
                <w:szCs w:val="24"/>
              </w:rPr>
            </w:pPr>
            <w:r>
              <w:rPr>
                <w:rFonts w:ascii="Arial" w:hAnsi="Arial" w:cs="Arial"/>
                <w:sz w:val="24"/>
                <w:szCs w:val="24"/>
              </w:rPr>
              <w:lastRenderedPageBreak/>
              <w:t>3.3</w:t>
            </w:r>
          </w:p>
        </w:tc>
        <w:tc>
          <w:tcPr>
            <w:tcW w:w="8425" w:type="dxa"/>
          </w:tcPr>
          <w:p w:rsidR="002A771B" w:rsidRDefault="002A771B" w:rsidP="002A771B">
            <w:pPr>
              <w:pStyle w:val="ListParagraph"/>
              <w:ind w:left="0"/>
              <w:rPr>
                <w:rFonts w:ascii="Arial" w:hAnsi="Arial" w:cs="Arial"/>
                <w:sz w:val="24"/>
                <w:szCs w:val="24"/>
              </w:rPr>
            </w:pPr>
            <w:r>
              <w:rPr>
                <w:rFonts w:ascii="Arial" w:hAnsi="Arial" w:cs="Arial"/>
                <w:sz w:val="24"/>
                <w:szCs w:val="24"/>
              </w:rPr>
              <w:t xml:space="preserve">Hexagon in the 1990s used to have a team </w:t>
            </w:r>
            <w:r w:rsidR="00D2355C">
              <w:rPr>
                <w:rFonts w:ascii="Arial" w:hAnsi="Arial" w:cs="Arial"/>
                <w:sz w:val="24"/>
                <w:szCs w:val="24"/>
              </w:rPr>
              <w:t xml:space="preserve">– the Co-ops and Tenant Services   team - </w:t>
            </w:r>
            <w:r>
              <w:rPr>
                <w:rFonts w:ascii="Arial" w:hAnsi="Arial" w:cs="Arial"/>
                <w:sz w:val="24"/>
                <w:szCs w:val="24"/>
              </w:rPr>
              <w:t xml:space="preserve">which was dedicated to the development of co-operative housing and working as part of the Development department. It was well-resourced and worked also as a “tenants’ friend” for groups of tenants outside Hexagon who wanted to take more control over their housing often in boroughs where Hexagon had no stock of our own. The team was not making much impact internally and was making a large deficit </w:t>
            </w:r>
            <w:r w:rsidR="00D42624">
              <w:rPr>
                <w:rFonts w:ascii="Arial" w:hAnsi="Arial" w:cs="Arial"/>
                <w:sz w:val="24"/>
                <w:szCs w:val="24"/>
              </w:rPr>
              <w:t>and at</w:t>
            </w:r>
            <w:r>
              <w:rPr>
                <w:rFonts w:ascii="Arial" w:hAnsi="Arial" w:cs="Arial"/>
                <w:sz w:val="24"/>
                <w:szCs w:val="24"/>
              </w:rPr>
              <w:t xml:space="preserve"> the end of 2001, the Board decided to change direction and </w:t>
            </w:r>
            <w:r w:rsidR="00565619">
              <w:rPr>
                <w:rFonts w:ascii="Arial" w:hAnsi="Arial" w:cs="Arial"/>
                <w:sz w:val="24"/>
                <w:szCs w:val="24"/>
              </w:rPr>
              <w:t xml:space="preserve">diverted the resources to two new teams. We </w:t>
            </w:r>
            <w:r>
              <w:rPr>
                <w:rFonts w:ascii="Arial" w:hAnsi="Arial" w:cs="Arial"/>
                <w:sz w:val="24"/>
                <w:szCs w:val="24"/>
              </w:rPr>
              <w:t xml:space="preserve">set up a new </w:t>
            </w:r>
            <w:r w:rsidR="00565619">
              <w:rPr>
                <w:rFonts w:ascii="Arial" w:hAnsi="Arial" w:cs="Arial"/>
                <w:sz w:val="24"/>
                <w:szCs w:val="24"/>
              </w:rPr>
              <w:t xml:space="preserve">resident involvement </w:t>
            </w:r>
            <w:r>
              <w:rPr>
                <w:rFonts w:ascii="Arial" w:hAnsi="Arial" w:cs="Arial"/>
                <w:sz w:val="24"/>
                <w:szCs w:val="24"/>
              </w:rPr>
              <w:t>team which would continue to support the co-ops but would also focus on resident involvement work for Hexagon residents generally.</w:t>
            </w:r>
            <w:r w:rsidR="00565619">
              <w:rPr>
                <w:rFonts w:ascii="Arial" w:hAnsi="Arial" w:cs="Arial"/>
                <w:sz w:val="24"/>
                <w:szCs w:val="24"/>
              </w:rPr>
              <w:t xml:space="preserve"> The remaining co-op team members moved to the Operations Directorate at that time. At the same time, a new team was set up to do Community Development and this later became the Community Investment team. </w:t>
            </w:r>
          </w:p>
          <w:p w:rsidR="00565619" w:rsidRPr="00F946DA" w:rsidRDefault="00565619" w:rsidP="002A771B">
            <w:pPr>
              <w:pStyle w:val="ListParagraph"/>
              <w:ind w:left="0"/>
              <w:rPr>
                <w:rFonts w:ascii="Arial" w:hAnsi="Arial" w:cs="Arial"/>
                <w:sz w:val="24"/>
                <w:szCs w:val="24"/>
              </w:rPr>
            </w:pPr>
          </w:p>
        </w:tc>
      </w:tr>
      <w:tr w:rsidR="001023A8" w:rsidRPr="00CE68C2" w:rsidTr="00D2355C">
        <w:tc>
          <w:tcPr>
            <w:tcW w:w="817" w:type="dxa"/>
          </w:tcPr>
          <w:p w:rsidR="001023A8" w:rsidRPr="00CE68C2" w:rsidRDefault="00450388">
            <w:pPr>
              <w:rPr>
                <w:rFonts w:ascii="Arial" w:hAnsi="Arial" w:cs="Arial"/>
                <w:b/>
                <w:i/>
                <w:sz w:val="28"/>
                <w:szCs w:val="28"/>
              </w:rPr>
            </w:pPr>
            <w:r w:rsidRPr="00CE68C2">
              <w:rPr>
                <w:rFonts w:ascii="Arial" w:hAnsi="Arial" w:cs="Arial"/>
                <w:b/>
                <w:i/>
                <w:sz w:val="28"/>
                <w:szCs w:val="28"/>
              </w:rPr>
              <w:t>4.</w:t>
            </w:r>
          </w:p>
        </w:tc>
        <w:tc>
          <w:tcPr>
            <w:tcW w:w="8425" w:type="dxa"/>
          </w:tcPr>
          <w:p w:rsidR="001023A8" w:rsidRPr="00CE68C2" w:rsidRDefault="00450388">
            <w:pPr>
              <w:rPr>
                <w:rFonts w:ascii="Arial" w:hAnsi="Arial" w:cs="Arial"/>
                <w:b/>
                <w:i/>
                <w:sz w:val="28"/>
                <w:szCs w:val="28"/>
              </w:rPr>
            </w:pPr>
            <w:r w:rsidRPr="00CE68C2">
              <w:rPr>
                <w:rFonts w:ascii="Arial" w:hAnsi="Arial" w:cs="Arial"/>
                <w:b/>
                <w:i/>
                <w:sz w:val="28"/>
                <w:szCs w:val="28"/>
              </w:rPr>
              <w:t xml:space="preserve">The rise and fall of the co-operatives in Hexagon </w:t>
            </w:r>
          </w:p>
          <w:p w:rsidR="00450388" w:rsidRPr="00CE68C2" w:rsidRDefault="00450388">
            <w:pPr>
              <w:rPr>
                <w:rFonts w:ascii="Arial" w:hAnsi="Arial" w:cs="Arial"/>
                <w:b/>
                <w:i/>
                <w:sz w:val="28"/>
                <w:szCs w:val="28"/>
              </w:rPr>
            </w:pPr>
          </w:p>
        </w:tc>
      </w:tr>
      <w:tr w:rsidR="001023A8" w:rsidRPr="00F946DA" w:rsidTr="00D2355C">
        <w:tc>
          <w:tcPr>
            <w:tcW w:w="817" w:type="dxa"/>
          </w:tcPr>
          <w:p w:rsidR="001023A8" w:rsidRPr="00F946DA" w:rsidRDefault="00450388">
            <w:pPr>
              <w:rPr>
                <w:rFonts w:ascii="Arial" w:hAnsi="Arial" w:cs="Arial"/>
                <w:sz w:val="24"/>
                <w:szCs w:val="24"/>
              </w:rPr>
            </w:pPr>
            <w:r w:rsidRPr="00F946DA">
              <w:rPr>
                <w:rFonts w:ascii="Arial" w:hAnsi="Arial" w:cs="Arial"/>
                <w:sz w:val="24"/>
                <w:szCs w:val="24"/>
              </w:rPr>
              <w:t xml:space="preserve">4.1 </w:t>
            </w:r>
          </w:p>
        </w:tc>
        <w:tc>
          <w:tcPr>
            <w:tcW w:w="8425" w:type="dxa"/>
          </w:tcPr>
          <w:p w:rsidR="0036733C" w:rsidRPr="00F946DA" w:rsidRDefault="004F2BC7" w:rsidP="004F2BC7">
            <w:pPr>
              <w:rPr>
                <w:rFonts w:ascii="Arial" w:hAnsi="Arial" w:cs="Arial"/>
                <w:sz w:val="24"/>
                <w:szCs w:val="24"/>
              </w:rPr>
            </w:pPr>
            <w:r w:rsidRPr="00F946DA">
              <w:rPr>
                <w:rFonts w:ascii="Arial" w:hAnsi="Arial" w:cs="Arial"/>
                <w:sz w:val="24"/>
                <w:szCs w:val="24"/>
              </w:rPr>
              <w:t xml:space="preserve">A number of </w:t>
            </w:r>
            <w:r w:rsidR="00F946DA">
              <w:rPr>
                <w:rFonts w:ascii="Arial" w:hAnsi="Arial" w:cs="Arial"/>
                <w:sz w:val="24"/>
                <w:szCs w:val="24"/>
              </w:rPr>
              <w:t xml:space="preserve">homes in co-op management were </w:t>
            </w:r>
            <w:r w:rsidRPr="00F946DA">
              <w:rPr>
                <w:rFonts w:ascii="Arial" w:hAnsi="Arial" w:cs="Arial"/>
                <w:sz w:val="24"/>
                <w:szCs w:val="24"/>
              </w:rPr>
              <w:t>inherited from one of Hexagon’s predecessors</w:t>
            </w:r>
            <w:r w:rsidR="00D42624" w:rsidRPr="00F946DA">
              <w:rPr>
                <w:rFonts w:ascii="Arial" w:hAnsi="Arial" w:cs="Arial"/>
                <w:sz w:val="24"/>
                <w:szCs w:val="24"/>
              </w:rPr>
              <w:t>, Solon</w:t>
            </w:r>
            <w:r w:rsidRPr="00F946DA">
              <w:rPr>
                <w:rFonts w:ascii="Arial" w:hAnsi="Arial" w:cs="Arial"/>
                <w:sz w:val="24"/>
                <w:szCs w:val="24"/>
              </w:rPr>
              <w:t xml:space="preserve"> South East and the numbers </w:t>
            </w:r>
            <w:r w:rsidR="001C2135" w:rsidRPr="00F946DA">
              <w:rPr>
                <w:rFonts w:ascii="Arial" w:hAnsi="Arial" w:cs="Arial"/>
                <w:sz w:val="24"/>
                <w:szCs w:val="24"/>
              </w:rPr>
              <w:t xml:space="preserve">of homes managed by co-ops </w:t>
            </w:r>
            <w:r w:rsidRPr="00F946DA">
              <w:rPr>
                <w:rFonts w:ascii="Arial" w:hAnsi="Arial" w:cs="Arial"/>
                <w:sz w:val="24"/>
                <w:szCs w:val="24"/>
              </w:rPr>
              <w:t>grew for about 10 years until the numbers started to dwindle about 1</w:t>
            </w:r>
            <w:r w:rsidR="00A96CA9" w:rsidRPr="00F946DA">
              <w:rPr>
                <w:rFonts w:ascii="Arial" w:hAnsi="Arial" w:cs="Arial"/>
                <w:sz w:val="24"/>
                <w:szCs w:val="24"/>
              </w:rPr>
              <w:t>5</w:t>
            </w:r>
            <w:r w:rsidRPr="00F946DA">
              <w:rPr>
                <w:rFonts w:ascii="Arial" w:hAnsi="Arial" w:cs="Arial"/>
                <w:sz w:val="24"/>
                <w:szCs w:val="24"/>
              </w:rPr>
              <w:t xml:space="preserve"> years ago </w:t>
            </w:r>
            <w:r w:rsidR="00F946DA">
              <w:rPr>
                <w:rFonts w:ascii="Arial" w:hAnsi="Arial" w:cs="Arial"/>
                <w:sz w:val="24"/>
                <w:szCs w:val="24"/>
              </w:rPr>
              <w:t>(see table below</w:t>
            </w:r>
            <w:r w:rsidR="00171C11">
              <w:rPr>
                <w:rFonts w:ascii="Arial" w:hAnsi="Arial" w:cs="Arial"/>
                <w:sz w:val="24"/>
                <w:szCs w:val="24"/>
              </w:rPr>
              <w:t>.</w:t>
            </w:r>
            <w:r w:rsidR="00F946DA">
              <w:rPr>
                <w:rFonts w:ascii="Arial" w:hAnsi="Arial" w:cs="Arial"/>
                <w:sz w:val="24"/>
                <w:szCs w:val="24"/>
              </w:rPr>
              <w:t xml:space="preserve">) </w:t>
            </w:r>
            <w:r w:rsidR="00A96CA9" w:rsidRPr="00F946DA">
              <w:rPr>
                <w:rFonts w:ascii="Arial" w:hAnsi="Arial" w:cs="Arial"/>
                <w:sz w:val="24"/>
                <w:szCs w:val="24"/>
              </w:rPr>
              <w:t xml:space="preserve">Most of the reductions were because the co-ops ceased to operate; in existing co-ops, a few homes have been sold under the Right to Acquire. </w:t>
            </w:r>
            <w:r w:rsidR="00122590">
              <w:rPr>
                <w:rFonts w:ascii="Arial" w:hAnsi="Arial" w:cs="Arial"/>
                <w:sz w:val="24"/>
                <w:szCs w:val="24"/>
              </w:rPr>
              <w:t xml:space="preserve">Co-ops now manage about 7% of Hexagon’s stock. </w:t>
            </w:r>
          </w:p>
          <w:p w:rsidR="0036733C" w:rsidRPr="00F946DA" w:rsidRDefault="0036733C" w:rsidP="004F2BC7">
            <w:pPr>
              <w:rPr>
                <w:rFonts w:ascii="Arial" w:hAnsi="Arial" w:cs="Arial"/>
                <w:sz w:val="24"/>
                <w:szCs w:val="24"/>
              </w:rPr>
            </w:pPr>
          </w:p>
          <w:tbl>
            <w:tblPr>
              <w:tblW w:w="49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19"/>
              <w:gridCol w:w="1457"/>
              <w:gridCol w:w="1457"/>
            </w:tblGrid>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shd w:val="clear" w:color="auto" w:fill="FFFF99"/>
                  <w:noWrap/>
                  <w:vAlign w:val="bottom"/>
                  <w:hideMark/>
                </w:tcPr>
                <w:p w:rsidR="0036733C" w:rsidRPr="00F946DA" w:rsidRDefault="0036733C" w:rsidP="0036733C">
                  <w:pPr>
                    <w:rPr>
                      <w:rFonts w:ascii="Arial" w:hAnsi="Arial" w:cs="Arial"/>
                      <w:b/>
                      <w:sz w:val="24"/>
                      <w:szCs w:val="24"/>
                    </w:rPr>
                  </w:pPr>
                  <w:r w:rsidRPr="00F946DA">
                    <w:rPr>
                      <w:rFonts w:ascii="Arial" w:hAnsi="Arial" w:cs="Arial"/>
                      <w:b/>
                      <w:sz w:val="24"/>
                      <w:szCs w:val="24"/>
                    </w:rPr>
                    <w:t>Managing Agent/Co-ops</w:t>
                  </w:r>
                </w:p>
              </w:tc>
              <w:tc>
                <w:tcPr>
                  <w:tcW w:w="1374" w:type="dxa"/>
                  <w:tcBorders>
                    <w:top w:val="single" w:sz="2" w:space="0" w:color="auto"/>
                    <w:left w:val="single" w:sz="2" w:space="0" w:color="auto"/>
                    <w:bottom w:val="single" w:sz="2" w:space="0" w:color="auto"/>
                    <w:right w:val="single" w:sz="2" w:space="0" w:color="auto"/>
                  </w:tcBorders>
                  <w:shd w:val="clear" w:color="auto" w:fill="FFFF99"/>
                  <w:noWrap/>
                  <w:vAlign w:val="bottom"/>
                  <w:hideMark/>
                </w:tcPr>
                <w:p w:rsidR="0036733C" w:rsidRPr="00F946DA" w:rsidRDefault="0036733C">
                  <w:pPr>
                    <w:jc w:val="center"/>
                    <w:rPr>
                      <w:rFonts w:ascii="Arial" w:hAnsi="Arial" w:cs="Arial"/>
                      <w:b/>
                      <w:sz w:val="24"/>
                      <w:szCs w:val="24"/>
                      <w:lang w:val="en-US"/>
                    </w:rPr>
                  </w:pPr>
                  <w:r w:rsidRPr="00F946DA">
                    <w:rPr>
                      <w:rFonts w:ascii="Arial" w:hAnsi="Arial" w:cs="Arial"/>
                      <w:b/>
                      <w:sz w:val="24"/>
                      <w:szCs w:val="24"/>
                      <w:lang w:val="en-US"/>
                    </w:rPr>
                    <w:t>Total Permanent units 2015</w:t>
                  </w:r>
                </w:p>
              </w:tc>
              <w:tc>
                <w:tcPr>
                  <w:tcW w:w="1374" w:type="dxa"/>
                  <w:tcBorders>
                    <w:top w:val="single" w:sz="2" w:space="0" w:color="auto"/>
                    <w:left w:val="single" w:sz="2" w:space="0" w:color="auto"/>
                    <w:bottom w:val="single" w:sz="2" w:space="0" w:color="auto"/>
                    <w:right w:val="single" w:sz="2" w:space="0" w:color="auto"/>
                  </w:tcBorders>
                  <w:shd w:val="clear" w:color="auto" w:fill="FFFF99"/>
                </w:tcPr>
                <w:p w:rsidR="0036733C" w:rsidRPr="00F946DA" w:rsidRDefault="00171C11" w:rsidP="00171C11">
                  <w:pPr>
                    <w:jc w:val="center"/>
                    <w:rPr>
                      <w:rFonts w:ascii="Arial" w:hAnsi="Arial" w:cs="Arial"/>
                      <w:b/>
                      <w:sz w:val="24"/>
                      <w:szCs w:val="24"/>
                      <w:lang w:val="en-US"/>
                    </w:rPr>
                  </w:pPr>
                  <w:r>
                    <w:rPr>
                      <w:rFonts w:ascii="Arial" w:hAnsi="Arial" w:cs="Arial"/>
                      <w:b/>
                      <w:sz w:val="24"/>
                      <w:szCs w:val="24"/>
                      <w:lang w:val="en-US"/>
                    </w:rPr>
                    <w:t xml:space="preserve">Max </w:t>
                  </w:r>
                  <w:r w:rsidR="0036733C" w:rsidRPr="00F946DA">
                    <w:rPr>
                      <w:rFonts w:ascii="Arial" w:hAnsi="Arial" w:cs="Arial"/>
                      <w:b/>
                      <w:sz w:val="24"/>
                      <w:szCs w:val="24"/>
                      <w:lang w:val="en-US"/>
                    </w:rPr>
                    <w:t xml:space="preserve">Permanent units </w:t>
                  </w:r>
                  <w:r>
                    <w:rPr>
                      <w:rFonts w:ascii="Arial" w:hAnsi="Arial" w:cs="Arial"/>
                      <w:b/>
                      <w:sz w:val="24"/>
                      <w:szCs w:val="24"/>
                      <w:lang w:val="en-US"/>
                    </w:rPr>
                    <w:t xml:space="preserve"> </w:t>
                  </w:r>
                  <w:r w:rsidR="0036733C" w:rsidRPr="00F946DA">
                    <w:rPr>
                      <w:rFonts w:ascii="Arial" w:hAnsi="Arial" w:cs="Arial"/>
                      <w:b/>
                      <w:sz w:val="24"/>
                      <w:szCs w:val="24"/>
                      <w:lang w:val="en-US"/>
                    </w:rPr>
                    <w:t>200</w:t>
                  </w:r>
                  <w:r w:rsidR="00A96CA9" w:rsidRPr="00F946DA">
                    <w:rPr>
                      <w:rFonts w:ascii="Arial" w:hAnsi="Arial" w:cs="Arial"/>
                      <w:b/>
                      <w:sz w:val="24"/>
                      <w:szCs w:val="24"/>
                      <w:lang w:val="en-US"/>
                    </w:rPr>
                    <w:t>1-</w:t>
                  </w:r>
                  <w:r w:rsidR="00F946DA">
                    <w:rPr>
                      <w:rFonts w:ascii="Arial" w:hAnsi="Arial" w:cs="Arial"/>
                      <w:b/>
                      <w:sz w:val="24"/>
                      <w:szCs w:val="24"/>
                      <w:lang w:val="en-US"/>
                    </w:rPr>
                    <w:t xml:space="preserve"> </w:t>
                  </w:r>
                  <w:r w:rsidR="00D51985" w:rsidRPr="00F946DA">
                    <w:rPr>
                      <w:rFonts w:ascii="Arial" w:hAnsi="Arial" w:cs="Arial"/>
                      <w:b/>
                      <w:sz w:val="24"/>
                      <w:szCs w:val="24"/>
                      <w:lang w:val="en-US"/>
                    </w:rPr>
                    <w:t xml:space="preserve"> 2007</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t>ABC</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37</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rsidP="0036733C">
                  <w:pPr>
                    <w:jc w:val="right"/>
                    <w:rPr>
                      <w:rFonts w:ascii="Arial" w:hAnsi="Arial" w:cs="Arial"/>
                      <w:sz w:val="24"/>
                      <w:szCs w:val="24"/>
                      <w:lang w:val="en-US"/>
                    </w:rPr>
                  </w:pPr>
                  <w:r w:rsidRPr="00F946DA">
                    <w:rPr>
                      <w:rFonts w:ascii="Arial" w:hAnsi="Arial" w:cs="Arial"/>
                      <w:sz w:val="24"/>
                      <w:szCs w:val="24"/>
                      <w:lang w:val="en-US"/>
                    </w:rPr>
                    <w:t>39</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t>Acceptable Face</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8</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8</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t>Balfour St</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21</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21</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t>Brockley Tenants</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72</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76</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proofErr w:type="spellStart"/>
                  <w:r w:rsidRPr="00F946DA">
                    <w:rPr>
                      <w:rFonts w:ascii="Arial" w:hAnsi="Arial" w:cs="Arial"/>
                      <w:sz w:val="24"/>
                      <w:szCs w:val="24"/>
                      <w:lang w:val="en-US"/>
                    </w:rPr>
                    <w:t>Kirkdale</w:t>
                  </w:r>
                  <w:proofErr w:type="spellEnd"/>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14</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15</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proofErr w:type="spellStart"/>
                  <w:r w:rsidRPr="00F946DA">
                    <w:rPr>
                      <w:rFonts w:ascii="Arial" w:hAnsi="Arial" w:cs="Arial"/>
                      <w:sz w:val="24"/>
                      <w:szCs w:val="24"/>
                      <w:lang w:val="en-US"/>
                    </w:rPr>
                    <w:t>Lewisham</w:t>
                  </w:r>
                  <w:proofErr w:type="spellEnd"/>
                  <w:r w:rsidRPr="00F946DA">
                    <w:rPr>
                      <w:rFonts w:ascii="Arial" w:hAnsi="Arial" w:cs="Arial"/>
                      <w:sz w:val="24"/>
                      <w:szCs w:val="24"/>
                      <w:lang w:val="en-US"/>
                    </w:rPr>
                    <w:t xml:space="preserve"> Family</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26</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26</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lastRenderedPageBreak/>
                    <w:t>South Bank</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34</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34</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sz w:val="24"/>
                      <w:szCs w:val="24"/>
                      <w:lang w:val="en-US"/>
                    </w:rPr>
                  </w:pPr>
                  <w:r w:rsidRPr="00F946DA">
                    <w:rPr>
                      <w:rFonts w:ascii="Arial" w:hAnsi="Arial" w:cs="Arial"/>
                      <w:sz w:val="24"/>
                      <w:szCs w:val="24"/>
                      <w:lang w:val="en-US"/>
                    </w:rPr>
                    <w:t>Three Boroughs</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sz w:val="24"/>
                      <w:szCs w:val="24"/>
                      <w:lang w:val="en-US"/>
                    </w:rPr>
                  </w:pPr>
                  <w:r w:rsidRPr="00F946DA">
                    <w:rPr>
                      <w:rFonts w:ascii="Arial" w:hAnsi="Arial" w:cs="Arial"/>
                      <w:sz w:val="24"/>
                      <w:szCs w:val="24"/>
                      <w:lang w:val="en-US"/>
                    </w:rPr>
                    <w:t>82</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C30849">
                  <w:pPr>
                    <w:jc w:val="right"/>
                    <w:rPr>
                      <w:rFonts w:ascii="Arial" w:hAnsi="Arial" w:cs="Arial"/>
                      <w:sz w:val="24"/>
                      <w:szCs w:val="24"/>
                      <w:lang w:val="en-US"/>
                    </w:rPr>
                  </w:pPr>
                  <w:r w:rsidRPr="00F946DA">
                    <w:rPr>
                      <w:rFonts w:ascii="Arial" w:hAnsi="Arial" w:cs="Arial"/>
                      <w:sz w:val="24"/>
                      <w:szCs w:val="24"/>
                      <w:lang w:val="en-US"/>
                    </w:rPr>
                    <w:t>83</w:t>
                  </w:r>
                </w:p>
              </w:tc>
            </w:tr>
            <w:tr w:rsidR="0036733C"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36733C" w:rsidRPr="00F946DA" w:rsidRDefault="00A96CA9">
                  <w:pPr>
                    <w:rPr>
                      <w:rFonts w:ascii="Arial" w:hAnsi="Arial" w:cs="Arial"/>
                      <w:sz w:val="24"/>
                      <w:szCs w:val="24"/>
                      <w:lang w:val="en-US"/>
                    </w:rPr>
                  </w:pPr>
                  <w:proofErr w:type="spellStart"/>
                  <w:r w:rsidRPr="00F946DA">
                    <w:rPr>
                      <w:rFonts w:ascii="Arial" w:hAnsi="Arial" w:cs="Arial"/>
                      <w:sz w:val="24"/>
                      <w:szCs w:val="24"/>
                      <w:lang w:val="en-US"/>
                    </w:rPr>
                    <w:t>CroyTMO</w:t>
                  </w:r>
                  <w:proofErr w:type="spellEnd"/>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36733C" w:rsidRPr="00F946DA" w:rsidRDefault="0036733C">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3</w:t>
                  </w:r>
                  <w:r w:rsidR="00A96CA9" w:rsidRPr="00F946DA">
                    <w:rPr>
                      <w:rFonts w:ascii="Arial" w:hAnsi="Arial" w:cs="Arial"/>
                      <w:sz w:val="24"/>
                      <w:szCs w:val="24"/>
                      <w:lang w:val="en-US"/>
                    </w:rPr>
                    <w:t>2</w:t>
                  </w:r>
                </w:p>
              </w:tc>
            </w:tr>
            <w:tr w:rsidR="00C30849"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C30849" w:rsidRPr="00F946DA" w:rsidRDefault="00C30849">
                  <w:pPr>
                    <w:rPr>
                      <w:rFonts w:ascii="Arial" w:hAnsi="Arial" w:cs="Arial"/>
                      <w:sz w:val="24"/>
                      <w:szCs w:val="24"/>
                      <w:lang w:val="en-US"/>
                    </w:rPr>
                  </w:pPr>
                  <w:r w:rsidRPr="00F946DA">
                    <w:rPr>
                      <w:rFonts w:ascii="Arial" w:hAnsi="Arial" w:cs="Arial"/>
                      <w:sz w:val="24"/>
                      <w:szCs w:val="24"/>
                      <w:lang w:val="en-US"/>
                    </w:rPr>
                    <w:t>SE13 Co-op</w:t>
                  </w:r>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C30849" w:rsidRPr="00F946DA" w:rsidRDefault="00C30849">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C30849"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14</w:t>
                  </w:r>
                </w:p>
              </w:tc>
            </w:tr>
            <w:tr w:rsidR="00C30849"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C30849" w:rsidRPr="00F946DA" w:rsidRDefault="00C30849">
                  <w:pPr>
                    <w:rPr>
                      <w:rFonts w:ascii="Arial" w:hAnsi="Arial" w:cs="Arial"/>
                      <w:sz w:val="24"/>
                      <w:szCs w:val="24"/>
                      <w:lang w:val="en-US"/>
                    </w:rPr>
                  </w:pPr>
                  <w:proofErr w:type="spellStart"/>
                  <w:r w:rsidRPr="00F946DA">
                    <w:rPr>
                      <w:rFonts w:ascii="Arial" w:hAnsi="Arial" w:cs="Arial"/>
                      <w:sz w:val="24"/>
                      <w:szCs w:val="24"/>
                      <w:lang w:val="en-US"/>
                    </w:rPr>
                    <w:t>Tressillian</w:t>
                  </w:r>
                  <w:proofErr w:type="spellEnd"/>
                  <w:r w:rsidRPr="00F946DA">
                    <w:rPr>
                      <w:rFonts w:ascii="Arial" w:hAnsi="Arial" w:cs="Arial"/>
                      <w:sz w:val="24"/>
                      <w:szCs w:val="24"/>
                      <w:lang w:val="en-US"/>
                    </w:rPr>
                    <w:t xml:space="preserve"> CHA</w:t>
                  </w:r>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C30849" w:rsidRPr="00F946DA" w:rsidRDefault="00C30849">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C30849"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3</w:t>
                  </w:r>
                </w:p>
              </w:tc>
            </w:tr>
            <w:tr w:rsidR="00967BFC"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967BFC" w:rsidRPr="00F946DA" w:rsidRDefault="00967BFC">
                  <w:pPr>
                    <w:rPr>
                      <w:rFonts w:ascii="Arial" w:hAnsi="Arial" w:cs="Arial"/>
                      <w:sz w:val="24"/>
                      <w:szCs w:val="24"/>
                      <w:lang w:val="en-US"/>
                    </w:rPr>
                  </w:pPr>
                  <w:proofErr w:type="spellStart"/>
                  <w:r>
                    <w:rPr>
                      <w:rFonts w:ascii="Arial" w:hAnsi="Arial" w:cs="Arial"/>
                      <w:sz w:val="24"/>
                      <w:szCs w:val="24"/>
                      <w:lang w:val="en-US"/>
                    </w:rPr>
                    <w:t>Oxleas</w:t>
                  </w:r>
                  <w:proofErr w:type="spellEnd"/>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967BFC" w:rsidRPr="00F946DA" w:rsidRDefault="00967BFC">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967BFC" w:rsidRPr="00F946DA" w:rsidRDefault="00967BFC" w:rsidP="00C30849">
                  <w:pPr>
                    <w:jc w:val="right"/>
                    <w:rPr>
                      <w:rFonts w:ascii="Arial" w:hAnsi="Arial" w:cs="Arial"/>
                      <w:sz w:val="24"/>
                      <w:szCs w:val="24"/>
                      <w:lang w:val="en-US"/>
                    </w:rPr>
                  </w:pPr>
                  <w:r>
                    <w:rPr>
                      <w:rFonts w:ascii="Arial" w:hAnsi="Arial" w:cs="Arial"/>
                      <w:sz w:val="24"/>
                      <w:szCs w:val="24"/>
                      <w:lang w:val="en-US"/>
                    </w:rPr>
                    <w:t>3</w:t>
                  </w:r>
                </w:p>
              </w:tc>
            </w:tr>
            <w:tr w:rsidR="00C30849"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C30849" w:rsidRPr="00F946DA" w:rsidRDefault="00C30849">
                  <w:pPr>
                    <w:rPr>
                      <w:rFonts w:ascii="Arial" w:hAnsi="Arial" w:cs="Arial"/>
                      <w:sz w:val="24"/>
                      <w:szCs w:val="24"/>
                      <w:lang w:val="en-US"/>
                    </w:rPr>
                  </w:pPr>
                  <w:r w:rsidRPr="00F946DA">
                    <w:rPr>
                      <w:rFonts w:ascii="Arial" w:hAnsi="Arial" w:cs="Arial"/>
                      <w:sz w:val="24"/>
                      <w:szCs w:val="24"/>
                      <w:lang w:val="en-US"/>
                    </w:rPr>
                    <w:t>Woodlands Co-op</w:t>
                  </w:r>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C30849" w:rsidRPr="00F946DA" w:rsidRDefault="00C30849">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C30849"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67</w:t>
                  </w:r>
                </w:p>
              </w:tc>
            </w:tr>
            <w:tr w:rsidR="00C30849"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C30849" w:rsidRPr="00F946DA" w:rsidRDefault="00C30849">
                  <w:pPr>
                    <w:rPr>
                      <w:rFonts w:ascii="Arial" w:hAnsi="Arial" w:cs="Arial"/>
                      <w:sz w:val="24"/>
                      <w:szCs w:val="24"/>
                      <w:lang w:val="en-US"/>
                    </w:rPr>
                  </w:pPr>
                  <w:r w:rsidRPr="00F946DA">
                    <w:rPr>
                      <w:rFonts w:ascii="Arial" w:hAnsi="Arial" w:cs="Arial"/>
                      <w:sz w:val="24"/>
                      <w:szCs w:val="24"/>
                      <w:lang w:val="en-US"/>
                    </w:rPr>
                    <w:t>Goldfinch</w:t>
                  </w:r>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C30849" w:rsidRPr="00F946DA" w:rsidRDefault="00C30849">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C30849"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40</w:t>
                  </w:r>
                </w:p>
              </w:tc>
            </w:tr>
            <w:tr w:rsidR="00C30849" w:rsidRPr="00F946DA" w:rsidTr="00C30849">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tcPr>
                <w:p w:rsidR="00C30849" w:rsidRPr="00F946DA" w:rsidRDefault="00C30849">
                  <w:pPr>
                    <w:rPr>
                      <w:rFonts w:ascii="Arial" w:hAnsi="Arial" w:cs="Arial"/>
                      <w:sz w:val="24"/>
                      <w:szCs w:val="24"/>
                      <w:lang w:val="en-US"/>
                    </w:rPr>
                  </w:pPr>
                  <w:r w:rsidRPr="00F946DA">
                    <w:rPr>
                      <w:rFonts w:ascii="Arial" w:hAnsi="Arial" w:cs="Arial"/>
                      <w:sz w:val="24"/>
                      <w:szCs w:val="24"/>
                      <w:lang w:val="en-US"/>
                    </w:rPr>
                    <w:t>Matrix</w:t>
                  </w:r>
                </w:p>
              </w:tc>
              <w:tc>
                <w:tcPr>
                  <w:tcW w:w="1374" w:type="dxa"/>
                  <w:tcBorders>
                    <w:top w:val="single" w:sz="2" w:space="0" w:color="auto"/>
                    <w:left w:val="single" w:sz="2" w:space="0" w:color="auto"/>
                    <w:bottom w:val="single" w:sz="2" w:space="0" w:color="auto"/>
                    <w:right w:val="single" w:sz="2" w:space="0" w:color="auto"/>
                  </w:tcBorders>
                  <w:shd w:val="clear" w:color="auto" w:fill="A6A6A6" w:themeFill="background1" w:themeFillShade="A6"/>
                  <w:noWrap/>
                  <w:vAlign w:val="bottom"/>
                </w:tcPr>
                <w:p w:rsidR="00C30849" w:rsidRPr="00F946DA" w:rsidRDefault="00C30849">
                  <w:pPr>
                    <w:rPr>
                      <w:rFonts w:ascii="Arial" w:hAnsi="Arial" w:cs="Arial"/>
                      <w:sz w:val="24"/>
                      <w:szCs w:val="24"/>
                      <w:lang w:val="en-US"/>
                    </w:rPr>
                  </w:pPr>
                </w:p>
              </w:tc>
              <w:tc>
                <w:tcPr>
                  <w:tcW w:w="1374" w:type="dxa"/>
                  <w:tcBorders>
                    <w:top w:val="single" w:sz="2" w:space="0" w:color="auto"/>
                    <w:left w:val="single" w:sz="2" w:space="0" w:color="auto"/>
                    <w:bottom w:val="single" w:sz="2" w:space="0" w:color="auto"/>
                    <w:right w:val="single" w:sz="2" w:space="0" w:color="auto"/>
                  </w:tcBorders>
                </w:tcPr>
                <w:p w:rsidR="00C30849" w:rsidRPr="00F946DA" w:rsidRDefault="00C30849" w:rsidP="00C30849">
                  <w:pPr>
                    <w:jc w:val="right"/>
                    <w:rPr>
                      <w:rFonts w:ascii="Arial" w:hAnsi="Arial" w:cs="Arial"/>
                      <w:sz w:val="24"/>
                      <w:szCs w:val="24"/>
                      <w:lang w:val="en-US"/>
                    </w:rPr>
                  </w:pPr>
                  <w:r w:rsidRPr="00F946DA">
                    <w:rPr>
                      <w:rFonts w:ascii="Arial" w:hAnsi="Arial" w:cs="Arial"/>
                      <w:sz w:val="24"/>
                      <w:szCs w:val="24"/>
                      <w:lang w:val="en-US"/>
                    </w:rPr>
                    <w:t>11</w:t>
                  </w:r>
                </w:p>
              </w:tc>
            </w:tr>
            <w:tr w:rsidR="0036733C" w:rsidRPr="00F946DA" w:rsidTr="0036733C">
              <w:trPr>
                <w:trHeight w:val="264"/>
                <w:jc w:val="center"/>
              </w:trPr>
              <w:tc>
                <w:tcPr>
                  <w:tcW w:w="2219"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rPr>
                      <w:rFonts w:ascii="Arial" w:hAnsi="Arial" w:cs="Arial"/>
                      <w:b/>
                      <w:bCs/>
                      <w:sz w:val="24"/>
                      <w:szCs w:val="24"/>
                      <w:lang w:val="en-US"/>
                    </w:rPr>
                  </w:pPr>
                  <w:r w:rsidRPr="00F946DA">
                    <w:rPr>
                      <w:rFonts w:ascii="Arial" w:hAnsi="Arial" w:cs="Arial"/>
                      <w:b/>
                      <w:bCs/>
                      <w:sz w:val="24"/>
                      <w:szCs w:val="24"/>
                      <w:lang w:val="en-US"/>
                    </w:rPr>
                    <w:t>TOTAL</w:t>
                  </w:r>
                </w:p>
              </w:tc>
              <w:tc>
                <w:tcPr>
                  <w:tcW w:w="1374" w:type="dxa"/>
                  <w:tcBorders>
                    <w:top w:val="single" w:sz="2" w:space="0" w:color="auto"/>
                    <w:left w:val="single" w:sz="2" w:space="0" w:color="auto"/>
                    <w:bottom w:val="single" w:sz="2" w:space="0" w:color="auto"/>
                    <w:right w:val="single" w:sz="2" w:space="0" w:color="auto"/>
                  </w:tcBorders>
                  <w:noWrap/>
                  <w:vAlign w:val="bottom"/>
                  <w:hideMark/>
                </w:tcPr>
                <w:p w:rsidR="0036733C" w:rsidRPr="00F946DA" w:rsidRDefault="0036733C">
                  <w:pPr>
                    <w:jc w:val="right"/>
                    <w:rPr>
                      <w:rFonts w:ascii="Arial" w:hAnsi="Arial" w:cs="Arial"/>
                      <w:b/>
                      <w:bCs/>
                      <w:sz w:val="24"/>
                      <w:szCs w:val="24"/>
                      <w:lang w:val="en-US"/>
                    </w:rPr>
                  </w:pPr>
                  <w:r w:rsidRPr="00F946DA">
                    <w:rPr>
                      <w:rFonts w:ascii="Arial" w:hAnsi="Arial" w:cs="Arial"/>
                      <w:b/>
                      <w:bCs/>
                      <w:sz w:val="24"/>
                      <w:szCs w:val="24"/>
                      <w:lang w:val="en-US"/>
                    </w:rPr>
                    <w:t>294</w:t>
                  </w:r>
                </w:p>
              </w:tc>
              <w:tc>
                <w:tcPr>
                  <w:tcW w:w="1374" w:type="dxa"/>
                  <w:tcBorders>
                    <w:top w:val="single" w:sz="2" w:space="0" w:color="auto"/>
                    <w:left w:val="single" w:sz="2" w:space="0" w:color="auto"/>
                    <w:bottom w:val="single" w:sz="2" w:space="0" w:color="auto"/>
                    <w:right w:val="single" w:sz="2" w:space="0" w:color="auto"/>
                  </w:tcBorders>
                </w:tcPr>
                <w:p w:rsidR="0036733C" w:rsidRPr="00F946DA" w:rsidRDefault="00C30849" w:rsidP="00967BFC">
                  <w:pPr>
                    <w:jc w:val="right"/>
                    <w:rPr>
                      <w:rFonts w:ascii="Arial" w:hAnsi="Arial" w:cs="Arial"/>
                      <w:b/>
                      <w:bCs/>
                      <w:sz w:val="24"/>
                      <w:szCs w:val="24"/>
                      <w:lang w:val="en-US"/>
                    </w:rPr>
                  </w:pPr>
                  <w:r w:rsidRPr="00F946DA">
                    <w:rPr>
                      <w:rFonts w:ascii="Arial" w:hAnsi="Arial" w:cs="Arial"/>
                      <w:b/>
                      <w:bCs/>
                      <w:sz w:val="24"/>
                      <w:szCs w:val="24"/>
                      <w:lang w:val="en-US"/>
                    </w:rPr>
                    <w:t>4</w:t>
                  </w:r>
                  <w:r w:rsidR="00967BFC">
                    <w:rPr>
                      <w:rFonts w:ascii="Arial" w:hAnsi="Arial" w:cs="Arial"/>
                      <w:b/>
                      <w:bCs/>
                      <w:sz w:val="24"/>
                      <w:szCs w:val="24"/>
                      <w:lang w:val="en-US"/>
                    </w:rPr>
                    <w:t>72</w:t>
                  </w:r>
                </w:p>
              </w:tc>
            </w:tr>
          </w:tbl>
          <w:p w:rsidR="0036733C" w:rsidRPr="00171C11" w:rsidRDefault="00171C11" w:rsidP="00171C11">
            <w:pPr>
              <w:pStyle w:val="ListParagraph"/>
              <w:ind w:left="0"/>
              <w:rPr>
                <w:rFonts w:ascii="Arial" w:hAnsi="Arial" w:cs="Arial"/>
                <w:sz w:val="18"/>
                <w:szCs w:val="18"/>
              </w:rPr>
            </w:pPr>
            <w:r w:rsidRPr="00171C11">
              <w:rPr>
                <w:rFonts w:ascii="Arial" w:hAnsi="Arial" w:cs="Arial"/>
                <w:sz w:val="18"/>
                <w:szCs w:val="18"/>
              </w:rPr>
              <w:t xml:space="preserve">The column on the right of the table shows the maximum number of homes managed by each co-op in the period 2001-7. It was in this period that numbers started to decline. </w:t>
            </w:r>
          </w:p>
          <w:p w:rsidR="00171C11" w:rsidRDefault="00171C11" w:rsidP="004F2BC7">
            <w:pPr>
              <w:rPr>
                <w:rFonts w:ascii="Arial" w:hAnsi="Arial" w:cs="Arial"/>
                <w:sz w:val="18"/>
                <w:szCs w:val="18"/>
              </w:rPr>
            </w:pPr>
          </w:p>
          <w:p w:rsidR="00526FFD" w:rsidRPr="00526FFD" w:rsidRDefault="00526FFD" w:rsidP="004F2BC7">
            <w:pPr>
              <w:rPr>
                <w:rFonts w:ascii="Arial" w:hAnsi="Arial" w:cs="Arial"/>
                <w:b/>
                <w:sz w:val="24"/>
                <w:szCs w:val="24"/>
              </w:rPr>
            </w:pPr>
            <w:r w:rsidRPr="00526FFD">
              <w:rPr>
                <w:rFonts w:ascii="Arial" w:hAnsi="Arial" w:cs="Arial"/>
                <w:b/>
                <w:sz w:val="24"/>
                <w:szCs w:val="24"/>
              </w:rPr>
              <w:t>Ground – up origins</w:t>
            </w:r>
          </w:p>
          <w:p w:rsidR="00526FFD" w:rsidRDefault="004F2BC7" w:rsidP="004F2BC7">
            <w:pPr>
              <w:rPr>
                <w:rFonts w:ascii="Arial" w:hAnsi="Arial" w:cs="Arial"/>
                <w:sz w:val="24"/>
                <w:szCs w:val="24"/>
              </w:rPr>
            </w:pPr>
            <w:r w:rsidRPr="00F946DA">
              <w:rPr>
                <w:rFonts w:ascii="Arial" w:hAnsi="Arial" w:cs="Arial"/>
                <w:sz w:val="24"/>
                <w:szCs w:val="24"/>
              </w:rPr>
              <w:t xml:space="preserve">Some of the early co-ops were based on the short-life use of former local </w:t>
            </w:r>
            <w:r w:rsidR="00D42624" w:rsidRPr="00F946DA">
              <w:rPr>
                <w:rFonts w:ascii="Arial" w:hAnsi="Arial" w:cs="Arial"/>
                <w:sz w:val="24"/>
                <w:szCs w:val="24"/>
              </w:rPr>
              <w:t>authority street</w:t>
            </w:r>
            <w:r w:rsidRPr="00F946DA">
              <w:rPr>
                <w:rFonts w:ascii="Arial" w:hAnsi="Arial" w:cs="Arial"/>
                <w:sz w:val="24"/>
                <w:szCs w:val="24"/>
              </w:rPr>
              <w:t xml:space="preserve"> properties which the authorities could not afford to rehabilitate properly. Some squatting groups got involved in forming co-ops to manage their own housing. Over time, Hexagon received grant funding to bring the homes up a “30 year” life rehabilitat</w:t>
            </w:r>
            <w:r w:rsidR="001C2135" w:rsidRPr="00F946DA">
              <w:rPr>
                <w:rFonts w:ascii="Arial" w:hAnsi="Arial" w:cs="Arial"/>
                <w:sz w:val="24"/>
                <w:szCs w:val="24"/>
              </w:rPr>
              <w:t>ion</w:t>
            </w:r>
            <w:r w:rsidRPr="00F946DA">
              <w:rPr>
                <w:rFonts w:ascii="Arial" w:hAnsi="Arial" w:cs="Arial"/>
                <w:sz w:val="24"/>
                <w:szCs w:val="24"/>
              </w:rPr>
              <w:t xml:space="preserve"> standard</w:t>
            </w:r>
            <w:r w:rsidR="00F946DA">
              <w:rPr>
                <w:rFonts w:ascii="Arial" w:hAnsi="Arial" w:cs="Arial"/>
                <w:sz w:val="24"/>
                <w:szCs w:val="24"/>
              </w:rPr>
              <w:t xml:space="preserve">, and some of the early street properties were replaced with new build </w:t>
            </w:r>
            <w:r w:rsidR="00D42624">
              <w:rPr>
                <w:rFonts w:ascii="Arial" w:hAnsi="Arial" w:cs="Arial"/>
                <w:sz w:val="24"/>
                <w:szCs w:val="24"/>
              </w:rPr>
              <w:t xml:space="preserve">homes. </w:t>
            </w:r>
          </w:p>
          <w:p w:rsidR="00526FFD" w:rsidRDefault="00526FFD" w:rsidP="004F2BC7">
            <w:pPr>
              <w:rPr>
                <w:rFonts w:ascii="Arial" w:hAnsi="Arial" w:cs="Arial"/>
                <w:sz w:val="24"/>
                <w:szCs w:val="24"/>
              </w:rPr>
            </w:pPr>
          </w:p>
          <w:p w:rsidR="00526FFD" w:rsidRPr="00526FFD" w:rsidRDefault="00526FFD" w:rsidP="004F2BC7">
            <w:pPr>
              <w:rPr>
                <w:rFonts w:ascii="Arial" w:hAnsi="Arial" w:cs="Arial"/>
                <w:b/>
                <w:sz w:val="24"/>
                <w:szCs w:val="24"/>
              </w:rPr>
            </w:pPr>
            <w:r w:rsidRPr="00526FFD">
              <w:rPr>
                <w:rFonts w:ascii="Arial" w:hAnsi="Arial" w:cs="Arial"/>
                <w:b/>
                <w:sz w:val="24"/>
                <w:szCs w:val="24"/>
              </w:rPr>
              <w:t xml:space="preserve">Top-down initiatives </w:t>
            </w:r>
          </w:p>
          <w:p w:rsidR="001023A8" w:rsidRPr="00F946DA" w:rsidRDefault="004F2BC7" w:rsidP="004F2BC7">
            <w:pPr>
              <w:rPr>
                <w:rFonts w:ascii="Arial" w:hAnsi="Arial" w:cs="Arial"/>
                <w:sz w:val="24"/>
                <w:szCs w:val="24"/>
              </w:rPr>
            </w:pPr>
            <w:r w:rsidRPr="00F946DA">
              <w:rPr>
                <w:rFonts w:ascii="Arial" w:hAnsi="Arial" w:cs="Arial"/>
                <w:sz w:val="24"/>
                <w:szCs w:val="24"/>
              </w:rPr>
              <w:t xml:space="preserve">Another phase of development was more top-down when Hexagon </w:t>
            </w:r>
            <w:r w:rsidR="00F1365A" w:rsidRPr="00F946DA">
              <w:rPr>
                <w:rFonts w:ascii="Arial" w:hAnsi="Arial" w:cs="Arial"/>
                <w:sz w:val="24"/>
                <w:szCs w:val="24"/>
              </w:rPr>
              <w:t xml:space="preserve">using its Co-ops and Tenant Services team </w:t>
            </w:r>
            <w:r w:rsidRPr="00F946DA">
              <w:rPr>
                <w:rFonts w:ascii="Arial" w:hAnsi="Arial" w:cs="Arial"/>
                <w:sz w:val="24"/>
                <w:szCs w:val="24"/>
              </w:rPr>
              <w:t xml:space="preserve">promoted the formation of co-ops with the new residents who had been nominated by the local authority in some of our new housing developments in the </w:t>
            </w:r>
            <w:r w:rsidR="00D42624" w:rsidRPr="00F946DA">
              <w:rPr>
                <w:rFonts w:ascii="Arial" w:hAnsi="Arial" w:cs="Arial"/>
                <w:sz w:val="24"/>
                <w:szCs w:val="24"/>
              </w:rPr>
              <w:t>mid-</w:t>
            </w:r>
            <w:r w:rsidR="00D42624">
              <w:rPr>
                <w:rFonts w:ascii="Arial" w:hAnsi="Arial" w:cs="Arial"/>
                <w:sz w:val="24"/>
                <w:szCs w:val="24"/>
              </w:rPr>
              <w:t>1</w:t>
            </w:r>
            <w:r w:rsidR="00D42624" w:rsidRPr="00F946DA">
              <w:rPr>
                <w:rFonts w:ascii="Arial" w:hAnsi="Arial" w:cs="Arial"/>
                <w:sz w:val="24"/>
                <w:szCs w:val="24"/>
              </w:rPr>
              <w:t>990s</w:t>
            </w:r>
            <w:r w:rsidRPr="00F946DA">
              <w:rPr>
                <w:rFonts w:ascii="Arial" w:hAnsi="Arial" w:cs="Arial"/>
                <w:sz w:val="24"/>
                <w:szCs w:val="24"/>
              </w:rPr>
              <w:t>.</w:t>
            </w:r>
            <w:r w:rsidR="00F1365A" w:rsidRPr="00F946DA">
              <w:rPr>
                <w:rFonts w:ascii="Arial" w:hAnsi="Arial" w:cs="Arial"/>
                <w:sz w:val="24"/>
                <w:szCs w:val="24"/>
              </w:rPr>
              <w:t xml:space="preserve"> At one time, there was grant funding from the Government to help meet the cost of developing co-ops but this is no longer available. </w:t>
            </w:r>
            <w:r w:rsidRPr="00F946DA">
              <w:rPr>
                <w:rFonts w:ascii="Arial" w:hAnsi="Arial" w:cs="Arial"/>
                <w:sz w:val="24"/>
                <w:szCs w:val="24"/>
              </w:rPr>
              <w:t>T</w:t>
            </w:r>
            <w:r w:rsidR="000A6023" w:rsidRPr="00F946DA">
              <w:rPr>
                <w:rFonts w:ascii="Arial" w:hAnsi="Arial" w:cs="Arial"/>
                <w:sz w:val="24"/>
                <w:szCs w:val="24"/>
              </w:rPr>
              <w:t xml:space="preserve">hree </w:t>
            </w:r>
            <w:r w:rsidRPr="00F946DA">
              <w:rPr>
                <w:rFonts w:ascii="Arial" w:hAnsi="Arial" w:cs="Arial"/>
                <w:sz w:val="24"/>
                <w:szCs w:val="24"/>
              </w:rPr>
              <w:t xml:space="preserve"> co-ops , </w:t>
            </w:r>
            <w:proofErr w:type="spellStart"/>
            <w:r w:rsidR="00D42624" w:rsidRPr="00F946DA">
              <w:rPr>
                <w:rFonts w:ascii="Arial" w:hAnsi="Arial" w:cs="Arial"/>
                <w:sz w:val="24"/>
                <w:szCs w:val="24"/>
              </w:rPr>
              <w:t>CroyTMO</w:t>
            </w:r>
            <w:proofErr w:type="spellEnd"/>
            <w:r w:rsidRPr="00F946DA">
              <w:rPr>
                <w:rFonts w:ascii="Arial" w:hAnsi="Arial" w:cs="Arial"/>
                <w:sz w:val="24"/>
                <w:szCs w:val="24"/>
              </w:rPr>
              <w:t xml:space="preserve"> (in Croydon) and Goldfinch (in Thamesmead in Greenwich) </w:t>
            </w:r>
            <w:r w:rsidR="000A6023" w:rsidRPr="00F946DA">
              <w:rPr>
                <w:rFonts w:ascii="Arial" w:hAnsi="Arial" w:cs="Arial"/>
                <w:sz w:val="24"/>
                <w:szCs w:val="24"/>
              </w:rPr>
              <w:t xml:space="preserve">and Woodlands in Bexley </w:t>
            </w:r>
            <w:r w:rsidRPr="00F946DA">
              <w:rPr>
                <w:rFonts w:ascii="Arial" w:hAnsi="Arial" w:cs="Arial"/>
                <w:sz w:val="24"/>
                <w:szCs w:val="24"/>
              </w:rPr>
              <w:t xml:space="preserve">came out of this initiative but </w:t>
            </w:r>
            <w:r w:rsidR="00F1365A" w:rsidRPr="00F946DA">
              <w:rPr>
                <w:rFonts w:ascii="Arial" w:hAnsi="Arial" w:cs="Arial"/>
                <w:sz w:val="24"/>
                <w:szCs w:val="24"/>
              </w:rPr>
              <w:t xml:space="preserve">there was no real internal driver for these co-ops and within a few short years, the residents </w:t>
            </w:r>
            <w:r w:rsidR="000A6023" w:rsidRPr="00F946DA">
              <w:rPr>
                <w:rFonts w:ascii="Arial" w:hAnsi="Arial" w:cs="Arial"/>
                <w:sz w:val="24"/>
                <w:szCs w:val="24"/>
              </w:rPr>
              <w:t xml:space="preserve">of two of the co-ops </w:t>
            </w:r>
            <w:r w:rsidR="00F1365A" w:rsidRPr="00F946DA">
              <w:rPr>
                <w:rFonts w:ascii="Arial" w:hAnsi="Arial" w:cs="Arial"/>
                <w:sz w:val="24"/>
                <w:szCs w:val="24"/>
              </w:rPr>
              <w:t xml:space="preserve">asked Hexagon </w:t>
            </w:r>
            <w:r w:rsidR="00F946DA">
              <w:rPr>
                <w:rFonts w:ascii="Arial" w:hAnsi="Arial" w:cs="Arial"/>
                <w:sz w:val="24"/>
                <w:szCs w:val="24"/>
              </w:rPr>
              <w:t xml:space="preserve">in 2001 </w:t>
            </w:r>
            <w:r w:rsidR="00F1365A" w:rsidRPr="00F946DA">
              <w:rPr>
                <w:rFonts w:ascii="Arial" w:hAnsi="Arial" w:cs="Arial"/>
                <w:sz w:val="24"/>
                <w:szCs w:val="24"/>
              </w:rPr>
              <w:t xml:space="preserve">to directly manage their homes. </w:t>
            </w:r>
            <w:r w:rsidR="000A6023" w:rsidRPr="00F946DA">
              <w:rPr>
                <w:rFonts w:ascii="Arial" w:hAnsi="Arial" w:cs="Arial"/>
                <w:sz w:val="24"/>
                <w:szCs w:val="24"/>
              </w:rPr>
              <w:t xml:space="preserve">Woodlands followed in 2005 as a result of </w:t>
            </w:r>
            <w:r w:rsidR="00967BFC">
              <w:rPr>
                <w:rFonts w:ascii="Arial" w:hAnsi="Arial" w:cs="Arial"/>
                <w:sz w:val="24"/>
                <w:szCs w:val="24"/>
              </w:rPr>
              <w:t xml:space="preserve">concerns about </w:t>
            </w:r>
            <w:r w:rsidR="000A6023" w:rsidRPr="00F946DA">
              <w:rPr>
                <w:rFonts w:ascii="Arial" w:hAnsi="Arial" w:cs="Arial"/>
                <w:sz w:val="24"/>
                <w:szCs w:val="24"/>
              </w:rPr>
              <w:t xml:space="preserve">a </w:t>
            </w:r>
            <w:r w:rsidR="00967BFC">
              <w:rPr>
                <w:rFonts w:ascii="Arial" w:hAnsi="Arial" w:cs="Arial"/>
                <w:sz w:val="24"/>
                <w:szCs w:val="24"/>
              </w:rPr>
              <w:t xml:space="preserve">lack of probity and poor governance. </w:t>
            </w:r>
          </w:p>
          <w:p w:rsidR="00F1365A" w:rsidRPr="00F946DA" w:rsidRDefault="00F1365A" w:rsidP="004F2BC7">
            <w:pPr>
              <w:rPr>
                <w:rFonts w:ascii="Arial" w:hAnsi="Arial" w:cs="Arial"/>
                <w:sz w:val="24"/>
                <w:szCs w:val="24"/>
              </w:rPr>
            </w:pPr>
          </w:p>
        </w:tc>
      </w:tr>
      <w:tr w:rsidR="001023A8" w:rsidRPr="00F946DA" w:rsidTr="00D2355C">
        <w:tc>
          <w:tcPr>
            <w:tcW w:w="817" w:type="dxa"/>
          </w:tcPr>
          <w:p w:rsidR="001023A8" w:rsidRPr="00F946DA" w:rsidRDefault="00F1365A">
            <w:pPr>
              <w:rPr>
                <w:rFonts w:ascii="Arial" w:hAnsi="Arial" w:cs="Arial"/>
                <w:sz w:val="24"/>
                <w:szCs w:val="24"/>
              </w:rPr>
            </w:pPr>
            <w:r w:rsidRPr="00F946DA">
              <w:rPr>
                <w:rFonts w:ascii="Arial" w:hAnsi="Arial" w:cs="Arial"/>
                <w:sz w:val="24"/>
                <w:szCs w:val="24"/>
              </w:rPr>
              <w:lastRenderedPageBreak/>
              <w:t>4.2</w:t>
            </w:r>
          </w:p>
        </w:tc>
        <w:tc>
          <w:tcPr>
            <w:tcW w:w="8425" w:type="dxa"/>
          </w:tcPr>
          <w:p w:rsidR="009D3714" w:rsidRPr="009D3714" w:rsidRDefault="00526FFD" w:rsidP="00F1365A">
            <w:pPr>
              <w:rPr>
                <w:rFonts w:ascii="Arial" w:hAnsi="Arial" w:cs="Arial"/>
                <w:b/>
                <w:sz w:val="24"/>
                <w:szCs w:val="24"/>
              </w:rPr>
            </w:pPr>
            <w:r w:rsidRPr="009D3714">
              <w:rPr>
                <w:rFonts w:ascii="Arial" w:hAnsi="Arial" w:cs="Arial"/>
                <w:b/>
                <w:sz w:val="24"/>
                <w:szCs w:val="24"/>
              </w:rPr>
              <w:t xml:space="preserve">Recent </w:t>
            </w:r>
            <w:r w:rsidR="009D3714" w:rsidRPr="009D3714">
              <w:rPr>
                <w:rFonts w:ascii="Arial" w:hAnsi="Arial" w:cs="Arial"/>
                <w:b/>
                <w:sz w:val="24"/>
                <w:szCs w:val="24"/>
              </w:rPr>
              <w:t xml:space="preserve">co-op concerns </w:t>
            </w:r>
          </w:p>
          <w:p w:rsidR="001023A8" w:rsidRPr="00F946DA" w:rsidRDefault="00F1365A" w:rsidP="00F1365A">
            <w:pPr>
              <w:rPr>
                <w:rFonts w:ascii="Arial" w:hAnsi="Arial" w:cs="Arial"/>
                <w:sz w:val="24"/>
                <w:szCs w:val="24"/>
              </w:rPr>
            </w:pPr>
            <w:r w:rsidRPr="00F946DA">
              <w:rPr>
                <w:rFonts w:ascii="Arial" w:hAnsi="Arial" w:cs="Arial"/>
                <w:sz w:val="24"/>
                <w:szCs w:val="24"/>
              </w:rPr>
              <w:t>The most recent failure was Matrix co-op where there were internal divisions amongst the members</w:t>
            </w:r>
            <w:r w:rsidR="000679D2" w:rsidRPr="00F946DA">
              <w:rPr>
                <w:rFonts w:ascii="Arial" w:hAnsi="Arial" w:cs="Arial"/>
                <w:sz w:val="24"/>
                <w:szCs w:val="24"/>
              </w:rPr>
              <w:t xml:space="preserve">. We conducted </w:t>
            </w:r>
            <w:r w:rsidRPr="00F946DA">
              <w:rPr>
                <w:rFonts w:ascii="Arial" w:hAnsi="Arial" w:cs="Arial"/>
                <w:sz w:val="24"/>
                <w:szCs w:val="24"/>
              </w:rPr>
              <w:t xml:space="preserve">an investigation into allegations of </w:t>
            </w:r>
            <w:r w:rsidR="000679D2" w:rsidRPr="00F946DA">
              <w:rPr>
                <w:rFonts w:ascii="Arial" w:hAnsi="Arial" w:cs="Arial"/>
                <w:sz w:val="24"/>
                <w:szCs w:val="24"/>
              </w:rPr>
              <w:t xml:space="preserve">financial </w:t>
            </w:r>
            <w:r w:rsidRPr="00F946DA">
              <w:rPr>
                <w:rFonts w:ascii="Arial" w:hAnsi="Arial" w:cs="Arial"/>
                <w:sz w:val="24"/>
                <w:szCs w:val="24"/>
              </w:rPr>
              <w:t>mismanagement</w:t>
            </w:r>
            <w:r w:rsidR="000679D2" w:rsidRPr="00F946DA">
              <w:rPr>
                <w:rFonts w:ascii="Arial" w:hAnsi="Arial" w:cs="Arial"/>
                <w:sz w:val="24"/>
                <w:szCs w:val="24"/>
              </w:rPr>
              <w:t xml:space="preserve"> and governance </w:t>
            </w:r>
            <w:r w:rsidR="00D42624" w:rsidRPr="00F946DA">
              <w:rPr>
                <w:rFonts w:ascii="Arial" w:hAnsi="Arial" w:cs="Arial"/>
                <w:sz w:val="24"/>
                <w:szCs w:val="24"/>
              </w:rPr>
              <w:t>failure,</w:t>
            </w:r>
            <w:r w:rsidRPr="00F946DA">
              <w:rPr>
                <w:rFonts w:ascii="Arial" w:hAnsi="Arial" w:cs="Arial"/>
                <w:sz w:val="24"/>
                <w:szCs w:val="24"/>
              </w:rPr>
              <w:t xml:space="preserve"> </w:t>
            </w:r>
            <w:r w:rsidR="000679D2" w:rsidRPr="00F946DA">
              <w:rPr>
                <w:rFonts w:ascii="Arial" w:hAnsi="Arial" w:cs="Arial"/>
                <w:sz w:val="24"/>
                <w:szCs w:val="24"/>
              </w:rPr>
              <w:t xml:space="preserve">and this led to the closing down of the co-op in and taking into direct management their units in 2014. </w:t>
            </w:r>
            <w:r w:rsidRPr="00F946DA">
              <w:rPr>
                <w:rFonts w:ascii="Arial" w:hAnsi="Arial" w:cs="Arial"/>
                <w:sz w:val="24"/>
                <w:szCs w:val="24"/>
              </w:rPr>
              <w:t xml:space="preserve">  </w:t>
            </w:r>
          </w:p>
          <w:p w:rsidR="00F1365A" w:rsidRDefault="00F1365A" w:rsidP="00F1365A">
            <w:pPr>
              <w:rPr>
                <w:rFonts w:ascii="Arial" w:hAnsi="Arial" w:cs="Arial"/>
                <w:sz w:val="24"/>
                <w:szCs w:val="24"/>
              </w:rPr>
            </w:pPr>
          </w:p>
          <w:p w:rsidR="00CE68C2" w:rsidRDefault="00CE68C2" w:rsidP="00F1365A">
            <w:pPr>
              <w:rPr>
                <w:rFonts w:ascii="Arial" w:hAnsi="Arial" w:cs="Arial"/>
                <w:sz w:val="24"/>
                <w:szCs w:val="24"/>
              </w:rPr>
            </w:pPr>
          </w:p>
          <w:p w:rsidR="00CE68C2" w:rsidRPr="00F946DA" w:rsidRDefault="00CE68C2" w:rsidP="00F1365A">
            <w:pPr>
              <w:rPr>
                <w:rFonts w:ascii="Arial" w:hAnsi="Arial" w:cs="Arial"/>
                <w:sz w:val="24"/>
                <w:szCs w:val="24"/>
              </w:rPr>
            </w:pPr>
          </w:p>
        </w:tc>
      </w:tr>
      <w:tr w:rsidR="001023A8" w:rsidRPr="00F946DA" w:rsidTr="00D2355C">
        <w:tc>
          <w:tcPr>
            <w:tcW w:w="817" w:type="dxa"/>
          </w:tcPr>
          <w:p w:rsidR="001023A8" w:rsidRPr="00F946DA" w:rsidRDefault="00F1365A">
            <w:pPr>
              <w:rPr>
                <w:rFonts w:ascii="Arial" w:hAnsi="Arial" w:cs="Arial"/>
                <w:sz w:val="24"/>
                <w:szCs w:val="24"/>
              </w:rPr>
            </w:pPr>
            <w:r w:rsidRPr="00F946DA">
              <w:rPr>
                <w:rFonts w:ascii="Arial" w:hAnsi="Arial" w:cs="Arial"/>
                <w:sz w:val="24"/>
                <w:szCs w:val="24"/>
              </w:rPr>
              <w:lastRenderedPageBreak/>
              <w:t>4.3</w:t>
            </w:r>
          </w:p>
        </w:tc>
        <w:tc>
          <w:tcPr>
            <w:tcW w:w="8425" w:type="dxa"/>
          </w:tcPr>
          <w:p w:rsidR="001023A8" w:rsidRPr="00F946DA" w:rsidRDefault="00F1365A" w:rsidP="00F7765D">
            <w:pPr>
              <w:rPr>
                <w:rFonts w:ascii="Arial" w:hAnsi="Arial" w:cs="Arial"/>
                <w:sz w:val="24"/>
                <w:szCs w:val="24"/>
              </w:rPr>
            </w:pPr>
            <w:r w:rsidRPr="00F946DA">
              <w:rPr>
                <w:rFonts w:ascii="Arial" w:hAnsi="Arial" w:cs="Arial"/>
                <w:sz w:val="24"/>
                <w:szCs w:val="24"/>
              </w:rPr>
              <w:t>In the summer</w:t>
            </w:r>
            <w:r w:rsidR="00F7765D" w:rsidRPr="00F946DA">
              <w:rPr>
                <w:rFonts w:ascii="Arial" w:hAnsi="Arial" w:cs="Arial"/>
                <w:sz w:val="24"/>
                <w:szCs w:val="24"/>
              </w:rPr>
              <w:t xml:space="preserve"> of 2015</w:t>
            </w:r>
            <w:r w:rsidRPr="00F946DA">
              <w:rPr>
                <w:rFonts w:ascii="Arial" w:hAnsi="Arial" w:cs="Arial"/>
                <w:sz w:val="24"/>
                <w:szCs w:val="24"/>
              </w:rPr>
              <w:t xml:space="preserve">, we reported to the Board some concerns about the governance and allegations of </w:t>
            </w:r>
            <w:r w:rsidR="00F7765D" w:rsidRPr="00F946DA">
              <w:rPr>
                <w:rFonts w:ascii="Arial" w:hAnsi="Arial" w:cs="Arial"/>
                <w:sz w:val="24"/>
                <w:szCs w:val="24"/>
              </w:rPr>
              <w:t xml:space="preserve">impropriety at </w:t>
            </w:r>
            <w:r w:rsidRPr="00F946DA">
              <w:rPr>
                <w:rFonts w:ascii="Arial" w:hAnsi="Arial" w:cs="Arial"/>
                <w:sz w:val="24"/>
                <w:szCs w:val="24"/>
              </w:rPr>
              <w:t>BTC</w:t>
            </w:r>
            <w:r w:rsidR="000679D2" w:rsidRPr="00F946DA">
              <w:rPr>
                <w:rFonts w:ascii="Arial" w:hAnsi="Arial" w:cs="Arial"/>
                <w:sz w:val="24"/>
                <w:szCs w:val="24"/>
              </w:rPr>
              <w:t>.</w:t>
            </w:r>
            <w:r w:rsidRPr="00F946DA">
              <w:rPr>
                <w:rFonts w:ascii="Arial" w:hAnsi="Arial" w:cs="Arial"/>
                <w:sz w:val="24"/>
                <w:szCs w:val="24"/>
              </w:rPr>
              <w:t xml:space="preserve"> </w:t>
            </w:r>
            <w:r w:rsidR="001C2135" w:rsidRPr="00F946DA">
              <w:rPr>
                <w:rFonts w:ascii="Arial" w:hAnsi="Arial" w:cs="Arial"/>
                <w:sz w:val="24"/>
                <w:szCs w:val="24"/>
              </w:rPr>
              <w:t xml:space="preserve">It was clear to us that the Management Committee </w:t>
            </w:r>
            <w:r w:rsidR="00D42624" w:rsidRPr="00F946DA">
              <w:rPr>
                <w:rFonts w:ascii="Arial" w:hAnsi="Arial" w:cs="Arial"/>
                <w:sz w:val="24"/>
                <w:szCs w:val="24"/>
              </w:rPr>
              <w:t>was</w:t>
            </w:r>
            <w:r w:rsidR="001C2135" w:rsidRPr="00F946DA">
              <w:rPr>
                <w:rFonts w:ascii="Arial" w:hAnsi="Arial" w:cs="Arial"/>
                <w:sz w:val="24"/>
                <w:szCs w:val="24"/>
              </w:rPr>
              <w:t xml:space="preserve"> not dealing with the issues properly. </w:t>
            </w:r>
            <w:r w:rsidR="00F7765D" w:rsidRPr="00F946DA">
              <w:rPr>
                <w:rFonts w:ascii="Arial" w:hAnsi="Arial" w:cs="Arial"/>
                <w:sz w:val="24"/>
                <w:szCs w:val="24"/>
              </w:rPr>
              <w:t>Following our intervention</w:t>
            </w:r>
            <w:r w:rsidR="000679D2" w:rsidRPr="00F946DA">
              <w:rPr>
                <w:rFonts w:ascii="Arial" w:hAnsi="Arial" w:cs="Arial"/>
                <w:sz w:val="24"/>
                <w:szCs w:val="24"/>
              </w:rPr>
              <w:t xml:space="preserve"> and recommendation</w:t>
            </w:r>
            <w:r w:rsidR="00F7765D" w:rsidRPr="00F946DA">
              <w:rPr>
                <w:rFonts w:ascii="Arial" w:hAnsi="Arial" w:cs="Arial"/>
                <w:sz w:val="24"/>
                <w:szCs w:val="24"/>
              </w:rPr>
              <w:t>, the Management Committee agreed to commission two reports from an independent advisor on co-ops – the Confederation of Co-operative Housing. These two reports – one on</w:t>
            </w:r>
            <w:r w:rsidR="001C2135" w:rsidRPr="00F946DA">
              <w:rPr>
                <w:rFonts w:ascii="Arial" w:hAnsi="Arial" w:cs="Arial"/>
                <w:sz w:val="24"/>
                <w:szCs w:val="24"/>
              </w:rPr>
              <w:t xml:space="preserve"> the </w:t>
            </w:r>
            <w:r w:rsidR="00F946DA">
              <w:rPr>
                <w:rFonts w:ascii="Arial" w:hAnsi="Arial" w:cs="Arial"/>
                <w:sz w:val="24"/>
                <w:szCs w:val="24"/>
              </w:rPr>
              <w:t xml:space="preserve">alleged </w:t>
            </w:r>
            <w:r w:rsidR="001C2135" w:rsidRPr="00F946DA">
              <w:rPr>
                <w:rFonts w:ascii="Arial" w:hAnsi="Arial" w:cs="Arial"/>
                <w:sz w:val="24"/>
                <w:szCs w:val="24"/>
              </w:rPr>
              <w:t xml:space="preserve">malpractice and the other on the improvements needed to their governance – </w:t>
            </w:r>
            <w:r w:rsidR="009D3714">
              <w:rPr>
                <w:rFonts w:ascii="Arial" w:hAnsi="Arial" w:cs="Arial"/>
                <w:sz w:val="24"/>
                <w:szCs w:val="24"/>
              </w:rPr>
              <w:t xml:space="preserve">were </w:t>
            </w:r>
            <w:r w:rsidR="001C2135" w:rsidRPr="00F946DA">
              <w:rPr>
                <w:rFonts w:ascii="Arial" w:hAnsi="Arial" w:cs="Arial"/>
                <w:sz w:val="24"/>
                <w:szCs w:val="24"/>
              </w:rPr>
              <w:t xml:space="preserve">considered by their Management Committee in early January. </w:t>
            </w:r>
            <w:r w:rsidR="00F7765D" w:rsidRPr="00F946DA">
              <w:rPr>
                <w:rFonts w:ascii="Arial" w:hAnsi="Arial" w:cs="Arial"/>
                <w:sz w:val="24"/>
                <w:szCs w:val="24"/>
              </w:rPr>
              <w:t xml:space="preserve"> </w:t>
            </w:r>
            <w:r w:rsidR="009D3714">
              <w:rPr>
                <w:rFonts w:ascii="Arial" w:hAnsi="Arial" w:cs="Arial"/>
                <w:sz w:val="24"/>
                <w:szCs w:val="24"/>
              </w:rPr>
              <w:t xml:space="preserve">The meeting agreed the recommendations of the governance report but failed to make a decision on the probity matters, nor did they set a timescale for resolving these issues. </w:t>
            </w:r>
          </w:p>
          <w:p w:rsidR="001C2135" w:rsidRPr="00F946DA" w:rsidRDefault="001C2135" w:rsidP="00F7765D">
            <w:pPr>
              <w:rPr>
                <w:rFonts w:ascii="Arial" w:hAnsi="Arial" w:cs="Arial"/>
                <w:sz w:val="24"/>
                <w:szCs w:val="24"/>
              </w:rPr>
            </w:pPr>
          </w:p>
        </w:tc>
      </w:tr>
      <w:tr w:rsidR="001023A8" w:rsidRPr="00CE68C2" w:rsidTr="00D2355C">
        <w:tc>
          <w:tcPr>
            <w:tcW w:w="817" w:type="dxa"/>
          </w:tcPr>
          <w:p w:rsidR="001023A8" w:rsidRPr="00CE68C2" w:rsidRDefault="00B12079">
            <w:pPr>
              <w:rPr>
                <w:rFonts w:ascii="Arial" w:hAnsi="Arial" w:cs="Arial"/>
                <w:b/>
                <w:i/>
                <w:sz w:val="28"/>
                <w:szCs w:val="28"/>
              </w:rPr>
            </w:pPr>
            <w:r w:rsidRPr="00CE68C2">
              <w:rPr>
                <w:rFonts w:ascii="Arial" w:hAnsi="Arial" w:cs="Arial"/>
                <w:b/>
                <w:i/>
                <w:sz w:val="28"/>
                <w:szCs w:val="28"/>
              </w:rPr>
              <w:t xml:space="preserve">5. </w:t>
            </w:r>
          </w:p>
        </w:tc>
        <w:tc>
          <w:tcPr>
            <w:tcW w:w="8425" w:type="dxa"/>
          </w:tcPr>
          <w:p w:rsidR="001023A8" w:rsidRPr="00CE68C2" w:rsidRDefault="00B12079">
            <w:pPr>
              <w:rPr>
                <w:rFonts w:ascii="Arial" w:hAnsi="Arial" w:cs="Arial"/>
                <w:b/>
                <w:i/>
                <w:sz w:val="28"/>
                <w:szCs w:val="28"/>
              </w:rPr>
            </w:pPr>
            <w:r w:rsidRPr="00CE68C2">
              <w:rPr>
                <w:rFonts w:ascii="Arial" w:hAnsi="Arial" w:cs="Arial"/>
                <w:b/>
                <w:i/>
                <w:sz w:val="28"/>
                <w:szCs w:val="28"/>
              </w:rPr>
              <w:t xml:space="preserve">How are our co-ops performing? </w:t>
            </w:r>
          </w:p>
          <w:p w:rsidR="00A96CA9" w:rsidRPr="00CE68C2" w:rsidRDefault="00A96CA9">
            <w:pPr>
              <w:rPr>
                <w:rFonts w:ascii="Arial" w:hAnsi="Arial" w:cs="Arial"/>
                <w:b/>
                <w:i/>
                <w:sz w:val="28"/>
                <w:szCs w:val="28"/>
              </w:rPr>
            </w:pPr>
          </w:p>
        </w:tc>
      </w:tr>
      <w:tr w:rsidR="00A96CA9" w:rsidRPr="00F946DA" w:rsidTr="00D2355C">
        <w:tc>
          <w:tcPr>
            <w:tcW w:w="817" w:type="dxa"/>
          </w:tcPr>
          <w:p w:rsidR="00A96CA9" w:rsidRPr="00F946DA" w:rsidRDefault="00A96CA9">
            <w:pPr>
              <w:rPr>
                <w:rFonts w:ascii="Arial" w:hAnsi="Arial" w:cs="Arial"/>
                <w:sz w:val="24"/>
                <w:szCs w:val="24"/>
              </w:rPr>
            </w:pPr>
            <w:r w:rsidRPr="00F946DA">
              <w:rPr>
                <w:rFonts w:ascii="Arial" w:hAnsi="Arial" w:cs="Arial"/>
                <w:sz w:val="24"/>
                <w:szCs w:val="24"/>
              </w:rPr>
              <w:t>5.1</w:t>
            </w:r>
          </w:p>
        </w:tc>
        <w:tc>
          <w:tcPr>
            <w:tcW w:w="8425" w:type="dxa"/>
          </w:tcPr>
          <w:p w:rsidR="00A96CA9" w:rsidRDefault="00A96CA9" w:rsidP="000B6BC7">
            <w:pPr>
              <w:rPr>
                <w:rFonts w:ascii="Arial" w:hAnsi="Arial" w:cs="Arial"/>
                <w:sz w:val="24"/>
                <w:szCs w:val="24"/>
              </w:rPr>
            </w:pPr>
            <w:r w:rsidRPr="00F946DA">
              <w:rPr>
                <w:rFonts w:ascii="Arial" w:hAnsi="Arial" w:cs="Arial"/>
                <w:sz w:val="24"/>
                <w:szCs w:val="24"/>
              </w:rPr>
              <w:t xml:space="preserve">The tables below show some of the main performance measures for last year. Performance varies considerably between co-ops especially in relation to collecting the rent. By way of comparison, our general needs directly managed arrears were 4.7% at the end of 2014/15 and Supported housing was 3.6%.   </w:t>
            </w:r>
            <w:r w:rsidR="000B6BC7" w:rsidRPr="00F946DA">
              <w:rPr>
                <w:rFonts w:ascii="Arial" w:hAnsi="Arial" w:cs="Arial"/>
                <w:sz w:val="24"/>
                <w:szCs w:val="24"/>
              </w:rPr>
              <w:t xml:space="preserve">Our directly-managed repairs </w:t>
            </w:r>
            <w:r w:rsidR="00D42624" w:rsidRPr="00F946DA">
              <w:rPr>
                <w:rFonts w:ascii="Arial" w:hAnsi="Arial" w:cs="Arial"/>
                <w:sz w:val="24"/>
                <w:szCs w:val="24"/>
              </w:rPr>
              <w:t>performance (</w:t>
            </w:r>
            <w:r w:rsidR="000B6BC7" w:rsidRPr="00F946DA">
              <w:rPr>
                <w:rFonts w:ascii="Arial" w:hAnsi="Arial" w:cs="Arial"/>
                <w:sz w:val="24"/>
                <w:szCs w:val="24"/>
              </w:rPr>
              <w:t xml:space="preserve">for emergency repairs only so the figures are not really directly comparable) however was down at 93.9%, although it has been 100% this year. We do not ask the co-ops to report on a wide range of measures as this would be too onerous for small organisations reliant largely on volunteer effort. </w:t>
            </w:r>
          </w:p>
          <w:p w:rsidR="009D3714" w:rsidRPr="00F946DA" w:rsidRDefault="009D3714" w:rsidP="000B6BC7">
            <w:pPr>
              <w:rPr>
                <w:rFonts w:ascii="Arial" w:hAnsi="Arial" w:cs="Arial"/>
                <w:sz w:val="24"/>
                <w:szCs w:val="24"/>
              </w:rPr>
            </w:pPr>
          </w:p>
        </w:tc>
      </w:tr>
      <w:tr w:rsidR="001023A8" w:rsidRPr="00F946DA" w:rsidTr="00D2355C">
        <w:trPr>
          <w:trHeight w:val="699"/>
        </w:trPr>
        <w:tc>
          <w:tcPr>
            <w:tcW w:w="817" w:type="dxa"/>
          </w:tcPr>
          <w:p w:rsidR="001023A8" w:rsidRDefault="001023A8">
            <w:pPr>
              <w:rPr>
                <w:rFonts w:ascii="Arial" w:hAnsi="Arial" w:cs="Arial"/>
                <w:sz w:val="24"/>
                <w:szCs w:val="24"/>
              </w:rPr>
            </w:pPr>
          </w:p>
          <w:p w:rsidR="002408D0" w:rsidRDefault="002408D0">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Default="003218A8">
            <w:pPr>
              <w:rPr>
                <w:rFonts w:ascii="Arial" w:hAnsi="Arial" w:cs="Arial"/>
                <w:sz w:val="24"/>
                <w:szCs w:val="24"/>
              </w:rPr>
            </w:pPr>
          </w:p>
          <w:p w:rsidR="003218A8" w:rsidRPr="00F946DA" w:rsidRDefault="003218A8">
            <w:pPr>
              <w:rPr>
                <w:rFonts w:ascii="Arial" w:hAnsi="Arial" w:cs="Arial"/>
                <w:sz w:val="24"/>
                <w:szCs w:val="24"/>
              </w:rPr>
            </w:pPr>
          </w:p>
        </w:tc>
        <w:tc>
          <w:tcPr>
            <w:tcW w:w="8425" w:type="dxa"/>
          </w:tcPr>
          <w:tbl>
            <w:tblPr>
              <w:tblW w:w="3573" w:type="dxa"/>
              <w:tblLook w:val="04A0" w:firstRow="1" w:lastRow="0" w:firstColumn="1" w:lastColumn="0" w:noHBand="0" w:noVBand="1"/>
            </w:tblPr>
            <w:tblGrid>
              <w:gridCol w:w="2200"/>
              <w:gridCol w:w="1373"/>
            </w:tblGrid>
            <w:tr w:rsidR="001739CE" w:rsidRPr="00F946DA" w:rsidTr="001739CE">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1739CE" w:rsidRPr="00F946DA" w:rsidRDefault="001739CE" w:rsidP="001739CE">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lastRenderedPageBreak/>
                    <w:t>Group</w:t>
                  </w:r>
                </w:p>
              </w:tc>
              <w:tc>
                <w:tcPr>
                  <w:tcW w:w="1373" w:type="dxa"/>
                  <w:tcBorders>
                    <w:top w:val="single" w:sz="4" w:space="0" w:color="auto"/>
                    <w:left w:val="single" w:sz="4" w:space="0" w:color="auto"/>
                    <w:bottom w:val="single" w:sz="4" w:space="0" w:color="auto"/>
                    <w:right w:val="nil"/>
                  </w:tcBorders>
                  <w:shd w:val="clear" w:color="000000" w:fill="FFFF99"/>
                  <w:noWrap/>
                  <w:vAlign w:val="bottom"/>
                  <w:hideMark/>
                </w:tcPr>
                <w:p w:rsidR="001739CE" w:rsidRPr="00F946DA" w:rsidRDefault="001739CE" w:rsidP="001739CE">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t>Rent Arrears 2014/15</w:t>
                  </w:r>
                </w:p>
                <w:p w:rsidR="00A96CA9" w:rsidRPr="00F946DA" w:rsidRDefault="00A96CA9" w:rsidP="001739CE">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t>%</w:t>
                  </w:r>
                </w:p>
              </w:tc>
            </w:tr>
            <w:tr w:rsidR="001739CE" w:rsidRPr="00F946DA" w:rsidTr="001739CE">
              <w:trPr>
                <w:trHeight w:val="255"/>
              </w:trPr>
              <w:tc>
                <w:tcPr>
                  <w:tcW w:w="2200" w:type="dxa"/>
                  <w:tcBorders>
                    <w:top w:val="nil"/>
                    <w:left w:val="single" w:sz="4" w:space="0" w:color="auto"/>
                    <w:bottom w:val="nil"/>
                    <w:right w:val="single" w:sz="4" w:space="0" w:color="auto"/>
                  </w:tcBorders>
                  <w:shd w:val="clear" w:color="000000" w:fill="C0C0C0"/>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ABC Southwark </w:t>
                  </w:r>
                </w:p>
              </w:tc>
              <w:tc>
                <w:tcPr>
                  <w:tcW w:w="1373" w:type="dxa"/>
                  <w:tcBorders>
                    <w:top w:val="nil"/>
                    <w:left w:val="nil"/>
                    <w:right w:val="single" w:sz="4" w:space="0" w:color="auto"/>
                  </w:tcBorders>
                  <w:shd w:val="clear" w:color="000000" w:fill="C0C0C0"/>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7.0</w:t>
                  </w:r>
                </w:p>
              </w:tc>
            </w:tr>
            <w:tr w:rsidR="001739CE" w:rsidRPr="00F946DA" w:rsidTr="001739CE">
              <w:trPr>
                <w:trHeight w:val="255"/>
              </w:trPr>
              <w:tc>
                <w:tcPr>
                  <w:tcW w:w="2200" w:type="dxa"/>
                  <w:tcBorders>
                    <w:top w:val="nil"/>
                    <w:left w:val="single" w:sz="4" w:space="0" w:color="auto"/>
                    <w:bottom w:val="nil"/>
                    <w:right w:val="single" w:sz="4" w:space="0" w:color="auto"/>
                  </w:tcBorders>
                  <w:shd w:val="clear" w:color="auto" w:fill="auto"/>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Acceptable Face </w:t>
                  </w:r>
                </w:p>
              </w:tc>
              <w:tc>
                <w:tcPr>
                  <w:tcW w:w="1373" w:type="dxa"/>
                  <w:tcBorders>
                    <w:top w:val="nil"/>
                    <w:left w:val="nil"/>
                    <w:bottom w:val="nil"/>
                    <w:right w:val="single" w:sz="4" w:space="0" w:color="auto"/>
                  </w:tcBorders>
                  <w:shd w:val="clear" w:color="000000" w:fill="auto"/>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3.2</w:t>
                  </w:r>
                </w:p>
              </w:tc>
            </w:tr>
            <w:tr w:rsidR="001739CE" w:rsidRPr="00F946DA" w:rsidTr="001739CE">
              <w:trPr>
                <w:trHeight w:val="255"/>
              </w:trPr>
              <w:tc>
                <w:tcPr>
                  <w:tcW w:w="2200" w:type="dxa"/>
                  <w:tcBorders>
                    <w:top w:val="nil"/>
                    <w:left w:val="single" w:sz="4" w:space="0" w:color="auto"/>
                    <w:bottom w:val="nil"/>
                    <w:right w:val="single" w:sz="4" w:space="0" w:color="auto"/>
                  </w:tcBorders>
                  <w:shd w:val="clear" w:color="000000" w:fill="C0C0C0"/>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Balfour St </w:t>
                  </w:r>
                </w:p>
              </w:tc>
              <w:tc>
                <w:tcPr>
                  <w:tcW w:w="1373" w:type="dxa"/>
                  <w:tcBorders>
                    <w:top w:val="nil"/>
                    <w:left w:val="nil"/>
                    <w:right w:val="single" w:sz="4" w:space="0" w:color="auto"/>
                  </w:tcBorders>
                  <w:shd w:val="clear" w:color="000000" w:fill="C0C0C0"/>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2.9</w:t>
                  </w:r>
                </w:p>
              </w:tc>
            </w:tr>
            <w:tr w:rsidR="001739CE" w:rsidRPr="00F946DA" w:rsidTr="001739CE">
              <w:trPr>
                <w:trHeight w:val="255"/>
              </w:trPr>
              <w:tc>
                <w:tcPr>
                  <w:tcW w:w="2200" w:type="dxa"/>
                  <w:tcBorders>
                    <w:top w:val="nil"/>
                    <w:left w:val="single" w:sz="4" w:space="0" w:color="auto"/>
                    <w:bottom w:val="nil"/>
                    <w:right w:val="single" w:sz="4" w:space="0" w:color="auto"/>
                  </w:tcBorders>
                  <w:shd w:val="clear" w:color="auto" w:fill="auto"/>
                  <w:noWrap/>
                  <w:vAlign w:val="bottom"/>
                  <w:hideMark/>
                </w:tcPr>
                <w:p w:rsidR="001739CE" w:rsidRPr="00F946DA" w:rsidRDefault="001739CE" w:rsidP="001739CE">
                  <w:pPr>
                    <w:spacing w:after="0" w:line="240" w:lineRule="auto"/>
                    <w:rPr>
                      <w:rFonts w:ascii="Arial" w:eastAsia="Times New Roman" w:hAnsi="Arial" w:cs="Arial"/>
                      <w:sz w:val="24"/>
                      <w:szCs w:val="24"/>
                      <w:lang w:eastAsia="en-GB"/>
                    </w:rPr>
                  </w:pPr>
                  <w:r w:rsidRPr="00F946DA">
                    <w:rPr>
                      <w:rFonts w:ascii="Arial" w:eastAsia="Times New Roman" w:hAnsi="Arial" w:cs="Arial"/>
                      <w:sz w:val="24"/>
                      <w:szCs w:val="24"/>
                      <w:lang w:eastAsia="en-GB"/>
                    </w:rPr>
                    <w:t xml:space="preserve">Brockley Tenants </w:t>
                  </w:r>
                </w:p>
              </w:tc>
              <w:tc>
                <w:tcPr>
                  <w:tcW w:w="1373" w:type="dxa"/>
                  <w:tcBorders>
                    <w:top w:val="nil"/>
                    <w:left w:val="nil"/>
                    <w:bottom w:val="nil"/>
                    <w:right w:val="single" w:sz="4" w:space="0" w:color="auto"/>
                  </w:tcBorders>
                  <w:shd w:val="clear" w:color="000000" w:fill="auto"/>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3.7</w:t>
                  </w:r>
                </w:p>
              </w:tc>
            </w:tr>
            <w:tr w:rsidR="001739CE" w:rsidRPr="00F946DA" w:rsidTr="00B71FFC">
              <w:trPr>
                <w:trHeight w:val="255"/>
              </w:trPr>
              <w:tc>
                <w:tcPr>
                  <w:tcW w:w="2200" w:type="dxa"/>
                  <w:tcBorders>
                    <w:top w:val="nil"/>
                    <w:left w:val="single" w:sz="4" w:space="0" w:color="auto"/>
                    <w:right w:val="single" w:sz="4" w:space="0" w:color="auto"/>
                  </w:tcBorders>
                  <w:shd w:val="clear" w:color="000000" w:fill="C0C0C0"/>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Kirkdale</w:t>
                  </w:r>
                  <w:proofErr w:type="spellEnd"/>
                  <w:r>
                    <w:rPr>
                      <w:rFonts w:ascii="Arial" w:eastAsia="Times New Roman" w:hAnsi="Arial" w:cs="Arial"/>
                      <w:sz w:val="24"/>
                      <w:szCs w:val="24"/>
                      <w:lang w:eastAsia="en-GB"/>
                    </w:rPr>
                    <w:t xml:space="preserve"> </w:t>
                  </w:r>
                </w:p>
              </w:tc>
              <w:tc>
                <w:tcPr>
                  <w:tcW w:w="1373" w:type="dxa"/>
                  <w:tcBorders>
                    <w:top w:val="nil"/>
                    <w:left w:val="nil"/>
                    <w:right w:val="single" w:sz="4" w:space="0" w:color="auto"/>
                  </w:tcBorders>
                  <w:shd w:val="clear" w:color="000000" w:fill="C0C0C0"/>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3.35</w:t>
                  </w:r>
                </w:p>
              </w:tc>
            </w:tr>
            <w:tr w:rsidR="001739CE" w:rsidRPr="00F946DA" w:rsidTr="00B71FFC">
              <w:trPr>
                <w:trHeight w:val="255"/>
              </w:trPr>
              <w:tc>
                <w:tcPr>
                  <w:tcW w:w="2200" w:type="dxa"/>
                  <w:tcBorders>
                    <w:top w:val="nil"/>
                    <w:left w:val="single" w:sz="4" w:space="0" w:color="auto"/>
                    <w:right w:val="single" w:sz="4" w:space="0" w:color="auto"/>
                  </w:tcBorders>
                  <w:shd w:val="clear" w:color="auto" w:fill="auto"/>
                  <w:noWrap/>
                  <w:vAlign w:val="bottom"/>
                  <w:hideMark/>
                </w:tcPr>
                <w:p w:rsidR="001739CE" w:rsidRPr="00F946DA" w:rsidRDefault="001739CE" w:rsidP="001739CE">
                  <w:pPr>
                    <w:spacing w:after="0" w:line="240" w:lineRule="auto"/>
                    <w:rPr>
                      <w:rFonts w:ascii="Arial" w:eastAsia="Times New Roman" w:hAnsi="Arial" w:cs="Arial"/>
                      <w:sz w:val="24"/>
                      <w:szCs w:val="24"/>
                      <w:lang w:eastAsia="en-GB"/>
                    </w:rPr>
                  </w:pPr>
                  <w:r w:rsidRPr="00F946DA">
                    <w:rPr>
                      <w:rFonts w:ascii="Arial" w:eastAsia="Times New Roman" w:hAnsi="Arial" w:cs="Arial"/>
                      <w:sz w:val="24"/>
                      <w:szCs w:val="24"/>
                      <w:lang w:eastAsia="en-GB"/>
                    </w:rPr>
                    <w:t>LFSA</w:t>
                  </w:r>
                </w:p>
              </w:tc>
              <w:tc>
                <w:tcPr>
                  <w:tcW w:w="1373" w:type="dxa"/>
                  <w:tcBorders>
                    <w:top w:val="nil"/>
                    <w:left w:val="nil"/>
                    <w:right w:val="single" w:sz="4" w:space="0" w:color="auto"/>
                  </w:tcBorders>
                  <w:shd w:val="clear" w:color="000000" w:fill="auto"/>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7.53</w:t>
                  </w:r>
                </w:p>
              </w:tc>
            </w:tr>
            <w:tr w:rsidR="001739CE" w:rsidRPr="00F946DA" w:rsidTr="00B71FFC">
              <w:trPr>
                <w:trHeight w:val="255"/>
              </w:trPr>
              <w:tc>
                <w:tcPr>
                  <w:tcW w:w="2200" w:type="dxa"/>
                  <w:tcBorders>
                    <w:top w:val="nil"/>
                    <w:left w:val="single" w:sz="4" w:space="0" w:color="auto"/>
                    <w:right w:val="single" w:sz="4" w:space="0" w:color="auto"/>
                  </w:tcBorders>
                  <w:shd w:val="clear" w:color="000000" w:fill="BFBFBF" w:themeFill="background1" w:themeFillShade="BF"/>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South Bank </w:t>
                  </w:r>
                </w:p>
              </w:tc>
              <w:tc>
                <w:tcPr>
                  <w:tcW w:w="1373" w:type="dxa"/>
                  <w:tcBorders>
                    <w:top w:val="nil"/>
                    <w:left w:val="nil"/>
                    <w:right w:val="single" w:sz="4" w:space="0" w:color="auto"/>
                  </w:tcBorders>
                  <w:shd w:val="clear" w:color="000000" w:fill="BFBFBF" w:themeFill="background1" w:themeFillShade="BF"/>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2.99</w:t>
                  </w:r>
                </w:p>
              </w:tc>
            </w:tr>
            <w:tr w:rsidR="001739CE" w:rsidRPr="00F946DA" w:rsidTr="00B71FFC">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739CE" w:rsidRPr="00F946DA" w:rsidRDefault="00F946DA" w:rsidP="001739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Three Boroughs </w:t>
                  </w:r>
                </w:p>
              </w:tc>
              <w:tc>
                <w:tcPr>
                  <w:tcW w:w="1373" w:type="dxa"/>
                  <w:tcBorders>
                    <w:top w:val="nil"/>
                    <w:left w:val="nil"/>
                    <w:bottom w:val="nil"/>
                    <w:right w:val="single" w:sz="4" w:space="0" w:color="auto"/>
                  </w:tcBorders>
                  <w:shd w:val="clear" w:color="auto" w:fill="auto"/>
                  <w:noWrap/>
                  <w:vAlign w:val="bottom"/>
                  <w:hideMark/>
                </w:tcPr>
                <w:p w:rsidR="001739CE" w:rsidRPr="00F946DA" w:rsidRDefault="00A96CA9" w:rsidP="001739CE">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4.89</w:t>
                  </w:r>
                </w:p>
              </w:tc>
            </w:tr>
          </w:tbl>
          <w:p w:rsidR="001023A8" w:rsidRPr="00F946DA" w:rsidRDefault="001023A8">
            <w:pPr>
              <w:rPr>
                <w:rFonts w:ascii="Arial" w:hAnsi="Arial" w:cs="Arial"/>
                <w:i/>
                <w:sz w:val="24"/>
                <w:szCs w:val="24"/>
              </w:rPr>
            </w:pPr>
          </w:p>
          <w:tbl>
            <w:tblPr>
              <w:tblW w:w="3573" w:type="dxa"/>
              <w:tblLook w:val="04A0" w:firstRow="1" w:lastRow="0" w:firstColumn="1" w:lastColumn="0" w:noHBand="0" w:noVBand="1"/>
            </w:tblPr>
            <w:tblGrid>
              <w:gridCol w:w="2200"/>
              <w:gridCol w:w="1373"/>
            </w:tblGrid>
            <w:tr w:rsidR="00B71FFC" w:rsidRPr="00F946DA" w:rsidTr="005474CA">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B71FFC" w:rsidRPr="00F946DA" w:rsidRDefault="00B71FFC" w:rsidP="005474CA">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t>Group</w:t>
                  </w:r>
                </w:p>
              </w:tc>
              <w:tc>
                <w:tcPr>
                  <w:tcW w:w="1373" w:type="dxa"/>
                  <w:tcBorders>
                    <w:top w:val="single" w:sz="4" w:space="0" w:color="auto"/>
                    <w:left w:val="single" w:sz="4" w:space="0" w:color="auto"/>
                    <w:bottom w:val="single" w:sz="4" w:space="0" w:color="auto"/>
                    <w:right w:val="nil"/>
                  </w:tcBorders>
                  <w:shd w:val="clear" w:color="000000" w:fill="FFFF99"/>
                  <w:noWrap/>
                  <w:vAlign w:val="bottom"/>
                  <w:hideMark/>
                </w:tcPr>
                <w:p w:rsidR="00B71FFC" w:rsidRPr="00F946DA" w:rsidRDefault="00B71FFC" w:rsidP="005474CA">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t>Repairs within target 2014/15</w:t>
                  </w:r>
                </w:p>
                <w:p w:rsidR="00CD16E4" w:rsidRPr="00F946DA" w:rsidRDefault="00CD16E4" w:rsidP="005474CA">
                  <w:pPr>
                    <w:spacing w:after="0" w:line="240" w:lineRule="auto"/>
                    <w:rPr>
                      <w:rFonts w:ascii="Arial" w:eastAsia="Times New Roman" w:hAnsi="Arial" w:cs="Arial"/>
                      <w:b/>
                      <w:bCs/>
                      <w:sz w:val="24"/>
                      <w:szCs w:val="24"/>
                      <w:lang w:eastAsia="en-GB"/>
                    </w:rPr>
                  </w:pPr>
                  <w:r w:rsidRPr="00F946DA">
                    <w:rPr>
                      <w:rFonts w:ascii="Arial" w:eastAsia="Times New Roman" w:hAnsi="Arial" w:cs="Arial"/>
                      <w:b/>
                      <w:bCs/>
                      <w:sz w:val="24"/>
                      <w:szCs w:val="24"/>
                      <w:lang w:eastAsia="en-GB"/>
                    </w:rPr>
                    <w:t>%</w:t>
                  </w:r>
                </w:p>
              </w:tc>
            </w:tr>
            <w:tr w:rsidR="00B71FFC" w:rsidRPr="00F946DA" w:rsidTr="005474CA">
              <w:trPr>
                <w:trHeight w:val="255"/>
              </w:trPr>
              <w:tc>
                <w:tcPr>
                  <w:tcW w:w="2200" w:type="dxa"/>
                  <w:tcBorders>
                    <w:top w:val="nil"/>
                    <w:left w:val="single" w:sz="4" w:space="0" w:color="auto"/>
                    <w:bottom w:val="nil"/>
                    <w:right w:val="single" w:sz="4" w:space="0" w:color="auto"/>
                  </w:tcBorders>
                  <w:shd w:val="clear" w:color="000000" w:fill="C0C0C0"/>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ABC Southwark </w:t>
                  </w:r>
                </w:p>
              </w:tc>
              <w:tc>
                <w:tcPr>
                  <w:tcW w:w="1373" w:type="dxa"/>
                  <w:tcBorders>
                    <w:top w:val="nil"/>
                    <w:left w:val="nil"/>
                    <w:right w:val="single" w:sz="4" w:space="0" w:color="auto"/>
                  </w:tcBorders>
                  <w:shd w:val="clear" w:color="000000" w:fill="C0C0C0"/>
                  <w:noWrap/>
                  <w:vAlign w:val="bottom"/>
                  <w:hideMark/>
                </w:tcPr>
                <w:p w:rsidR="00B71FFC" w:rsidRPr="00F946DA" w:rsidRDefault="00CD3D17"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97.5</w:t>
                  </w:r>
                </w:p>
              </w:tc>
            </w:tr>
            <w:tr w:rsidR="00B71FFC" w:rsidRPr="00F946DA" w:rsidTr="005474CA">
              <w:trPr>
                <w:trHeight w:val="255"/>
              </w:trPr>
              <w:tc>
                <w:tcPr>
                  <w:tcW w:w="2200" w:type="dxa"/>
                  <w:tcBorders>
                    <w:top w:val="nil"/>
                    <w:left w:val="single" w:sz="4" w:space="0" w:color="auto"/>
                    <w:bottom w:val="nil"/>
                    <w:right w:val="single" w:sz="4" w:space="0" w:color="auto"/>
                  </w:tcBorders>
                  <w:shd w:val="clear" w:color="auto" w:fill="auto"/>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Acceptable Face </w:t>
                  </w:r>
                </w:p>
              </w:tc>
              <w:tc>
                <w:tcPr>
                  <w:tcW w:w="1373" w:type="dxa"/>
                  <w:tcBorders>
                    <w:top w:val="nil"/>
                    <w:left w:val="nil"/>
                    <w:bottom w:val="nil"/>
                    <w:right w:val="single" w:sz="4" w:space="0" w:color="auto"/>
                  </w:tcBorders>
                  <w:shd w:val="clear" w:color="000000" w:fill="auto"/>
                  <w:noWrap/>
                  <w:vAlign w:val="bottom"/>
                  <w:hideMark/>
                </w:tcPr>
                <w:p w:rsidR="00B71FFC" w:rsidRPr="00F946DA" w:rsidRDefault="00B71FFC"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100</w:t>
                  </w:r>
                </w:p>
              </w:tc>
            </w:tr>
            <w:tr w:rsidR="00B71FFC" w:rsidRPr="00F946DA" w:rsidTr="005474CA">
              <w:trPr>
                <w:trHeight w:val="255"/>
              </w:trPr>
              <w:tc>
                <w:tcPr>
                  <w:tcW w:w="2200" w:type="dxa"/>
                  <w:tcBorders>
                    <w:top w:val="nil"/>
                    <w:left w:val="single" w:sz="4" w:space="0" w:color="auto"/>
                    <w:bottom w:val="nil"/>
                    <w:right w:val="single" w:sz="4" w:space="0" w:color="auto"/>
                  </w:tcBorders>
                  <w:shd w:val="clear" w:color="000000" w:fill="C0C0C0"/>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Balfour St </w:t>
                  </w:r>
                </w:p>
              </w:tc>
              <w:tc>
                <w:tcPr>
                  <w:tcW w:w="1373" w:type="dxa"/>
                  <w:tcBorders>
                    <w:top w:val="nil"/>
                    <w:left w:val="nil"/>
                    <w:right w:val="single" w:sz="4" w:space="0" w:color="auto"/>
                  </w:tcBorders>
                  <w:shd w:val="clear" w:color="000000" w:fill="C0C0C0"/>
                  <w:noWrap/>
                  <w:vAlign w:val="bottom"/>
                  <w:hideMark/>
                </w:tcPr>
                <w:p w:rsidR="00B71FFC" w:rsidRPr="00F946DA" w:rsidRDefault="00B71FFC"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100</w:t>
                  </w:r>
                </w:p>
              </w:tc>
            </w:tr>
            <w:tr w:rsidR="00B71FFC" w:rsidRPr="00F946DA" w:rsidTr="005474CA">
              <w:trPr>
                <w:trHeight w:val="255"/>
              </w:trPr>
              <w:tc>
                <w:tcPr>
                  <w:tcW w:w="2200" w:type="dxa"/>
                  <w:tcBorders>
                    <w:top w:val="nil"/>
                    <w:left w:val="single" w:sz="4" w:space="0" w:color="auto"/>
                    <w:bottom w:val="nil"/>
                    <w:right w:val="single" w:sz="4" w:space="0" w:color="auto"/>
                  </w:tcBorders>
                  <w:shd w:val="clear" w:color="auto" w:fill="auto"/>
                  <w:noWrap/>
                  <w:vAlign w:val="bottom"/>
                  <w:hideMark/>
                </w:tcPr>
                <w:p w:rsidR="00B71FFC" w:rsidRPr="00F946DA" w:rsidRDefault="00B71FFC" w:rsidP="005474CA">
                  <w:pPr>
                    <w:spacing w:after="0" w:line="240" w:lineRule="auto"/>
                    <w:rPr>
                      <w:rFonts w:ascii="Arial" w:eastAsia="Times New Roman" w:hAnsi="Arial" w:cs="Arial"/>
                      <w:sz w:val="24"/>
                      <w:szCs w:val="24"/>
                      <w:lang w:eastAsia="en-GB"/>
                    </w:rPr>
                  </w:pPr>
                  <w:r w:rsidRPr="00F946DA">
                    <w:rPr>
                      <w:rFonts w:ascii="Arial" w:eastAsia="Times New Roman" w:hAnsi="Arial" w:cs="Arial"/>
                      <w:sz w:val="24"/>
                      <w:szCs w:val="24"/>
                      <w:lang w:eastAsia="en-GB"/>
                    </w:rPr>
                    <w:t xml:space="preserve">Brockley Tenants </w:t>
                  </w:r>
                </w:p>
              </w:tc>
              <w:tc>
                <w:tcPr>
                  <w:tcW w:w="1373" w:type="dxa"/>
                  <w:tcBorders>
                    <w:top w:val="nil"/>
                    <w:left w:val="nil"/>
                    <w:bottom w:val="nil"/>
                    <w:right w:val="single" w:sz="4" w:space="0" w:color="auto"/>
                  </w:tcBorders>
                  <w:shd w:val="clear" w:color="000000" w:fill="auto"/>
                  <w:noWrap/>
                  <w:vAlign w:val="bottom"/>
                  <w:hideMark/>
                </w:tcPr>
                <w:p w:rsidR="00B71FFC" w:rsidRPr="00F946DA" w:rsidRDefault="005A3198" w:rsidP="00CD16E4">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96.9</w:t>
                  </w:r>
                </w:p>
              </w:tc>
            </w:tr>
            <w:tr w:rsidR="00B71FFC" w:rsidRPr="00F946DA" w:rsidTr="005474CA">
              <w:trPr>
                <w:trHeight w:val="255"/>
              </w:trPr>
              <w:tc>
                <w:tcPr>
                  <w:tcW w:w="2200" w:type="dxa"/>
                  <w:tcBorders>
                    <w:top w:val="nil"/>
                    <w:left w:val="single" w:sz="4" w:space="0" w:color="auto"/>
                    <w:right w:val="single" w:sz="4" w:space="0" w:color="auto"/>
                  </w:tcBorders>
                  <w:shd w:val="clear" w:color="000000" w:fill="C0C0C0"/>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Kirkdale</w:t>
                  </w:r>
                  <w:proofErr w:type="spellEnd"/>
                  <w:r>
                    <w:rPr>
                      <w:rFonts w:ascii="Arial" w:eastAsia="Times New Roman" w:hAnsi="Arial" w:cs="Arial"/>
                      <w:sz w:val="24"/>
                      <w:szCs w:val="24"/>
                      <w:lang w:eastAsia="en-GB"/>
                    </w:rPr>
                    <w:t xml:space="preserve"> </w:t>
                  </w:r>
                </w:p>
              </w:tc>
              <w:tc>
                <w:tcPr>
                  <w:tcW w:w="1373" w:type="dxa"/>
                  <w:tcBorders>
                    <w:top w:val="nil"/>
                    <w:left w:val="nil"/>
                    <w:right w:val="single" w:sz="4" w:space="0" w:color="auto"/>
                  </w:tcBorders>
                  <w:shd w:val="clear" w:color="000000" w:fill="C0C0C0"/>
                  <w:noWrap/>
                  <w:vAlign w:val="bottom"/>
                  <w:hideMark/>
                </w:tcPr>
                <w:p w:rsidR="00B71FFC" w:rsidRPr="00F946DA" w:rsidRDefault="00B71FFC"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100</w:t>
                  </w:r>
                </w:p>
              </w:tc>
            </w:tr>
            <w:tr w:rsidR="00B71FFC" w:rsidRPr="00F946DA" w:rsidTr="00B71FFC">
              <w:trPr>
                <w:trHeight w:val="255"/>
              </w:trPr>
              <w:tc>
                <w:tcPr>
                  <w:tcW w:w="2200" w:type="dxa"/>
                  <w:tcBorders>
                    <w:top w:val="nil"/>
                    <w:left w:val="single" w:sz="4" w:space="0" w:color="auto"/>
                    <w:right w:val="single" w:sz="4" w:space="0" w:color="auto"/>
                  </w:tcBorders>
                  <w:shd w:val="clear" w:color="auto" w:fill="auto"/>
                  <w:noWrap/>
                  <w:vAlign w:val="bottom"/>
                  <w:hideMark/>
                </w:tcPr>
                <w:p w:rsidR="00B71FFC" w:rsidRPr="00F946DA" w:rsidRDefault="00B71FFC" w:rsidP="005474CA">
                  <w:pPr>
                    <w:spacing w:after="0" w:line="240" w:lineRule="auto"/>
                    <w:rPr>
                      <w:rFonts w:ascii="Arial" w:eastAsia="Times New Roman" w:hAnsi="Arial" w:cs="Arial"/>
                      <w:sz w:val="24"/>
                      <w:szCs w:val="24"/>
                      <w:lang w:eastAsia="en-GB"/>
                    </w:rPr>
                  </w:pPr>
                  <w:r w:rsidRPr="00F946DA">
                    <w:rPr>
                      <w:rFonts w:ascii="Arial" w:eastAsia="Times New Roman" w:hAnsi="Arial" w:cs="Arial"/>
                      <w:sz w:val="24"/>
                      <w:szCs w:val="24"/>
                      <w:lang w:eastAsia="en-GB"/>
                    </w:rPr>
                    <w:t>LFSA</w:t>
                  </w:r>
                </w:p>
              </w:tc>
              <w:tc>
                <w:tcPr>
                  <w:tcW w:w="1373" w:type="dxa"/>
                  <w:tcBorders>
                    <w:top w:val="nil"/>
                    <w:left w:val="nil"/>
                    <w:right w:val="single" w:sz="4" w:space="0" w:color="auto"/>
                  </w:tcBorders>
                  <w:shd w:val="clear" w:color="000000" w:fill="auto"/>
                  <w:noWrap/>
                  <w:vAlign w:val="bottom"/>
                  <w:hideMark/>
                </w:tcPr>
                <w:p w:rsidR="00B71FFC" w:rsidRPr="00F946DA" w:rsidRDefault="00CD16E4"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99.5</w:t>
                  </w:r>
                </w:p>
              </w:tc>
            </w:tr>
            <w:tr w:rsidR="00B71FFC" w:rsidRPr="00F946DA" w:rsidTr="002D3795">
              <w:trPr>
                <w:trHeight w:val="255"/>
              </w:trPr>
              <w:tc>
                <w:tcPr>
                  <w:tcW w:w="2200" w:type="dxa"/>
                  <w:tcBorders>
                    <w:top w:val="nil"/>
                    <w:left w:val="single" w:sz="4" w:space="0" w:color="auto"/>
                    <w:right w:val="single" w:sz="4" w:space="0" w:color="auto"/>
                  </w:tcBorders>
                  <w:shd w:val="clear" w:color="000000" w:fill="BFBFBF" w:themeFill="background1" w:themeFillShade="BF"/>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South Bank </w:t>
                  </w:r>
                </w:p>
              </w:tc>
              <w:tc>
                <w:tcPr>
                  <w:tcW w:w="1373" w:type="dxa"/>
                  <w:tcBorders>
                    <w:top w:val="nil"/>
                    <w:left w:val="nil"/>
                    <w:right w:val="single" w:sz="4" w:space="0" w:color="auto"/>
                  </w:tcBorders>
                  <w:shd w:val="clear" w:color="000000" w:fill="BFBFBF" w:themeFill="background1" w:themeFillShade="BF"/>
                  <w:noWrap/>
                  <w:vAlign w:val="bottom"/>
                  <w:hideMark/>
                </w:tcPr>
                <w:p w:rsidR="00B71FFC" w:rsidRPr="00F946DA" w:rsidRDefault="00CD16E4"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95.6</w:t>
                  </w:r>
                </w:p>
              </w:tc>
            </w:tr>
            <w:tr w:rsidR="00B71FFC" w:rsidRPr="00F946DA" w:rsidTr="002D3795">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71FFC" w:rsidRPr="00F946DA" w:rsidRDefault="00F946DA" w:rsidP="005474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Three Boroughs </w:t>
                  </w:r>
                </w:p>
              </w:tc>
              <w:tc>
                <w:tcPr>
                  <w:tcW w:w="1373" w:type="dxa"/>
                  <w:tcBorders>
                    <w:top w:val="nil"/>
                    <w:left w:val="nil"/>
                    <w:bottom w:val="single" w:sz="4" w:space="0" w:color="auto"/>
                    <w:right w:val="single" w:sz="4" w:space="0" w:color="auto"/>
                  </w:tcBorders>
                  <w:shd w:val="clear" w:color="auto" w:fill="auto"/>
                  <w:noWrap/>
                  <w:vAlign w:val="bottom"/>
                  <w:hideMark/>
                </w:tcPr>
                <w:p w:rsidR="00B71FFC" w:rsidRPr="00F946DA" w:rsidRDefault="005A3198" w:rsidP="005474CA">
                  <w:pPr>
                    <w:spacing w:after="0" w:line="240" w:lineRule="auto"/>
                    <w:jc w:val="right"/>
                    <w:rPr>
                      <w:rFonts w:ascii="Arial" w:eastAsia="Times New Roman" w:hAnsi="Arial" w:cs="Arial"/>
                      <w:sz w:val="24"/>
                      <w:szCs w:val="24"/>
                      <w:lang w:eastAsia="en-GB"/>
                    </w:rPr>
                  </w:pPr>
                  <w:r w:rsidRPr="00F946DA">
                    <w:rPr>
                      <w:rFonts w:ascii="Arial" w:eastAsia="Times New Roman" w:hAnsi="Arial" w:cs="Arial"/>
                      <w:sz w:val="24"/>
                      <w:szCs w:val="24"/>
                      <w:lang w:eastAsia="en-GB"/>
                    </w:rPr>
                    <w:t>99.5</w:t>
                  </w:r>
                </w:p>
              </w:tc>
            </w:tr>
          </w:tbl>
          <w:p w:rsidR="00B71FFC" w:rsidRDefault="00B71FFC">
            <w:pPr>
              <w:rPr>
                <w:rFonts w:ascii="Arial" w:hAnsi="Arial" w:cs="Arial"/>
                <w:sz w:val="24"/>
                <w:szCs w:val="24"/>
              </w:rPr>
            </w:pPr>
          </w:p>
          <w:tbl>
            <w:tblPr>
              <w:tblW w:w="7656" w:type="dxa"/>
              <w:tblLook w:val="04A0" w:firstRow="1" w:lastRow="0" w:firstColumn="1" w:lastColumn="0" w:noHBand="0" w:noVBand="1"/>
            </w:tblPr>
            <w:tblGrid>
              <w:gridCol w:w="605"/>
              <w:gridCol w:w="606"/>
              <w:gridCol w:w="606"/>
              <w:gridCol w:w="717"/>
              <w:gridCol w:w="628"/>
              <w:gridCol w:w="717"/>
              <w:gridCol w:w="717"/>
              <w:gridCol w:w="717"/>
              <w:gridCol w:w="717"/>
              <w:gridCol w:w="717"/>
              <w:gridCol w:w="606"/>
              <w:gridCol w:w="717"/>
            </w:tblGrid>
            <w:tr w:rsidR="002D3795" w:rsidRPr="003218A8" w:rsidTr="002D3795">
              <w:trPr>
                <w:trHeight w:val="450"/>
              </w:trPr>
              <w:tc>
                <w:tcPr>
                  <w:tcW w:w="7656" w:type="dxa"/>
                  <w:gridSpan w:val="12"/>
                  <w:tcBorders>
                    <w:top w:val="single" w:sz="4" w:space="0" w:color="auto"/>
                    <w:left w:val="single" w:sz="4" w:space="0" w:color="auto"/>
                    <w:bottom w:val="single" w:sz="4" w:space="0" w:color="auto"/>
                    <w:right w:val="single" w:sz="4" w:space="0" w:color="000000"/>
                  </w:tcBorders>
                  <w:shd w:val="clear" w:color="auto" w:fill="FFFF99"/>
                  <w:vAlign w:val="bottom"/>
                  <w:hideMark/>
                </w:tcPr>
                <w:p w:rsidR="002D3795" w:rsidRPr="003218A8" w:rsidRDefault="002D3795" w:rsidP="002D3795">
                  <w:pPr>
                    <w:spacing w:after="0" w:line="240" w:lineRule="auto"/>
                    <w:jc w:val="center"/>
                    <w:rPr>
                      <w:rFonts w:ascii="Arial" w:eastAsia="Times New Roman" w:hAnsi="Arial" w:cs="Arial"/>
                      <w:b/>
                      <w:bCs/>
                      <w:sz w:val="20"/>
                      <w:szCs w:val="20"/>
                      <w:lang w:eastAsia="en-GB"/>
                    </w:rPr>
                  </w:pPr>
                  <w:r w:rsidRPr="002D3795">
                    <w:rPr>
                      <w:rFonts w:ascii="Arial" w:eastAsia="Times New Roman" w:hAnsi="Arial" w:cs="Arial"/>
                      <w:b/>
                      <w:sz w:val="20"/>
                      <w:szCs w:val="20"/>
                      <w:lang w:eastAsia="en-GB"/>
                    </w:rPr>
                    <w:t>Co-op Gas Safety Performance over last 12 months</w:t>
                  </w:r>
                  <w:r w:rsidRPr="003218A8">
                    <w:rPr>
                      <w:rFonts w:ascii="Arial" w:eastAsia="Times New Roman" w:hAnsi="Arial" w:cs="Arial"/>
                      <w:b/>
                      <w:bCs/>
                      <w:sz w:val="20"/>
                      <w:szCs w:val="20"/>
                      <w:lang w:eastAsia="en-GB"/>
                    </w:rPr>
                    <w:t> </w:t>
                  </w:r>
                  <w:r>
                    <w:rPr>
                      <w:rFonts w:ascii="Arial" w:eastAsia="Times New Roman" w:hAnsi="Arial" w:cs="Arial"/>
                      <w:b/>
                      <w:bCs/>
                      <w:sz w:val="20"/>
                      <w:szCs w:val="20"/>
                      <w:lang w:eastAsia="en-GB"/>
                    </w:rPr>
                    <w:t>(%)</w:t>
                  </w:r>
                </w:p>
              </w:tc>
            </w:tr>
            <w:tr w:rsidR="002D3795" w:rsidRPr="003218A8" w:rsidTr="002D3795">
              <w:trPr>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Dec-14</w:t>
                  </w:r>
                </w:p>
              </w:tc>
              <w:tc>
                <w:tcPr>
                  <w:tcW w:w="56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Jan-15</w:t>
                  </w:r>
                </w:p>
              </w:tc>
              <w:tc>
                <w:tcPr>
                  <w:tcW w:w="600"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Feb-15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Mar-15</w:t>
                  </w:r>
                </w:p>
              </w:tc>
              <w:tc>
                <w:tcPr>
                  <w:tcW w:w="600"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Apr-15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May-15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Jun-15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Jul-15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Aug-15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Sep-15</w:t>
                  </w:r>
                </w:p>
              </w:tc>
              <w:tc>
                <w:tcPr>
                  <w:tcW w:w="600"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Oct-15</w:t>
                  </w:r>
                </w:p>
              </w:tc>
              <w:tc>
                <w:tcPr>
                  <w:tcW w:w="675" w:type="dxa"/>
                  <w:tcBorders>
                    <w:top w:val="nil"/>
                    <w:left w:val="nil"/>
                    <w:bottom w:val="single" w:sz="4" w:space="0" w:color="auto"/>
                    <w:right w:val="single" w:sz="4" w:space="0" w:color="auto"/>
                  </w:tcBorders>
                  <w:shd w:val="clear" w:color="auto" w:fill="auto"/>
                  <w:noWrap/>
                  <w:vAlign w:val="bottom"/>
                  <w:hideMark/>
                </w:tcPr>
                <w:p w:rsidR="002D3795" w:rsidRPr="003218A8" w:rsidRDefault="002D3795" w:rsidP="003218A8">
                  <w:pPr>
                    <w:spacing w:after="0" w:line="240" w:lineRule="auto"/>
                    <w:jc w:val="right"/>
                    <w:rPr>
                      <w:rFonts w:ascii="Times New Roman" w:eastAsia="Times New Roman" w:hAnsi="Times New Roman" w:cs="Times New Roman"/>
                      <w:b/>
                      <w:bCs/>
                      <w:sz w:val="20"/>
                      <w:szCs w:val="20"/>
                      <w:lang w:eastAsia="en-GB"/>
                    </w:rPr>
                  </w:pPr>
                  <w:r w:rsidRPr="003218A8">
                    <w:rPr>
                      <w:rFonts w:ascii="Times New Roman" w:eastAsia="Times New Roman" w:hAnsi="Times New Roman" w:cs="Times New Roman"/>
                      <w:b/>
                      <w:bCs/>
                      <w:sz w:val="20"/>
                      <w:szCs w:val="20"/>
                      <w:lang w:eastAsia="en-GB"/>
                    </w:rPr>
                    <w:t>Nov-15</w:t>
                  </w:r>
                </w:p>
              </w:tc>
            </w:tr>
            <w:tr w:rsidR="002D3795" w:rsidRPr="003218A8" w:rsidTr="002D3795">
              <w:trPr>
                <w:trHeight w:val="8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56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99.3</w:t>
                  </w:r>
                </w:p>
              </w:tc>
              <w:tc>
                <w:tcPr>
                  <w:tcW w:w="600"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98.9</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00"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99.3</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c>
                <w:tcPr>
                  <w:tcW w:w="600"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99.7</w:t>
                  </w:r>
                </w:p>
              </w:tc>
              <w:tc>
                <w:tcPr>
                  <w:tcW w:w="675" w:type="dxa"/>
                  <w:tcBorders>
                    <w:top w:val="nil"/>
                    <w:left w:val="nil"/>
                    <w:bottom w:val="single" w:sz="4" w:space="0" w:color="auto"/>
                    <w:right w:val="single" w:sz="4" w:space="0" w:color="auto"/>
                  </w:tcBorders>
                  <w:shd w:val="clear" w:color="auto" w:fill="auto"/>
                  <w:vAlign w:val="center"/>
                  <w:hideMark/>
                </w:tcPr>
                <w:p w:rsidR="002D3795" w:rsidRPr="003218A8" w:rsidRDefault="002D3795" w:rsidP="003218A8">
                  <w:pPr>
                    <w:spacing w:after="0" w:line="240" w:lineRule="auto"/>
                    <w:jc w:val="center"/>
                    <w:rPr>
                      <w:rFonts w:ascii="Arial" w:eastAsia="Times New Roman" w:hAnsi="Arial" w:cs="Arial"/>
                      <w:sz w:val="20"/>
                      <w:szCs w:val="20"/>
                      <w:lang w:eastAsia="en-GB"/>
                    </w:rPr>
                  </w:pPr>
                  <w:r w:rsidRPr="003218A8">
                    <w:rPr>
                      <w:rFonts w:ascii="Arial" w:eastAsia="Times New Roman" w:hAnsi="Arial" w:cs="Arial"/>
                      <w:sz w:val="20"/>
                      <w:szCs w:val="20"/>
                      <w:lang w:eastAsia="en-GB"/>
                    </w:rPr>
                    <w:t>100.0</w:t>
                  </w:r>
                </w:p>
              </w:tc>
            </w:tr>
          </w:tbl>
          <w:p w:rsidR="002D3795" w:rsidRDefault="002D3795">
            <w:pPr>
              <w:rPr>
                <w:rFonts w:ascii="Arial" w:hAnsi="Arial" w:cs="Arial"/>
                <w:sz w:val="24"/>
                <w:szCs w:val="24"/>
              </w:rPr>
            </w:pPr>
          </w:p>
          <w:p w:rsidR="002D3795" w:rsidRPr="006B75E1" w:rsidRDefault="006B75E1">
            <w:pPr>
              <w:rPr>
                <w:rFonts w:ascii="Arial" w:hAnsi="Arial" w:cs="Arial"/>
                <w:sz w:val="24"/>
                <w:szCs w:val="24"/>
                <w:vertAlign w:val="subscript"/>
              </w:rPr>
            </w:pPr>
            <w:r>
              <w:rPr>
                <w:rFonts w:ascii="Arial" w:hAnsi="Arial" w:cs="Arial"/>
                <w:sz w:val="24"/>
                <w:szCs w:val="24"/>
              </w:rPr>
              <w:t xml:space="preserve">Co-op performance on gas safety checks has been an ongoing concern over recent years, although recent performance has seen a </w:t>
            </w:r>
            <w:r w:rsidR="00C85FE8">
              <w:rPr>
                <w:rFonts w:ascii="Arial" w:hAnsi="Arial" w:cs="Arial"/>
                <w:sz w:val="24"/>
                <w:szCs w:val="24"/>
              </w:rPr>
              <w:t>significant</w:t>
            </w:r>
            <w:r>
              <w:rPr>
                <w:rFonts w:ascii="Arial" w:hAnsi="Arial" w:cs="Arial"/>
                <w:sz w:val="24"/>
                <w:szCs w:val="24"/>
              </w:rPr>
              <w:t xml:space="preserve"> improvement in this area </w:t>
            </w:r>
            <w:r w:rsidR="00C85FE8">
              <w:rPr>
                <w:rFonts w:ascii="Arial" w:hAnsi="Arial" w:cs="Arial"/>
                <w:sz w:val="24"/>
                <w:szCs w:val="24"/>
              </w:rPr>
              <w:t xml:space="preserve">compared with </w:t>
            </w:r>
            <w:r>
              <w:rPr>
                <w:rFonts w:ascii="Arial" w:hAnsi="Arial" w:cs="Arial"/>
                <w:sz w:val="24"/>
                <w:szCs w:val="24"/>
              </w:rPr>
              <w:t xml:space="preserve">last year. Nevertheless, of the eight co-ops that we work with, all but one (South Bank Co-op) have received Breach Notices in the last 18 months for not submitting valid gas safety certificates. </w:t>
            </w:r>
            <w:r w:rsidR="002130D1">
              <w:rPr>
                <w:rFonts w:ascii="Arial" w:hAnsi="Arial" w:cs="Arial"/>
                <w:sz w:val="24"/>
                <w:szCs w:val="24"/>
              </w:rPr>
              <w:t xml:space="preserve">For the last full year (2014/15) a total of 7 Breach Notices were served on five co-ops (2 co-ops received two separate Notices) relating to late certificates for 19 properties. This picture has seen an improvement for the current year where </w:t>
            </w:r>
            <w:r w:rsidR="00C85FE8">
              <w:rPr>
                <w:rFonts w:ascii="Arial" w:hAnsi="Arial" w:cs="Arial"/>
                <w:sz w:val="24"/>
                <w:szCs w:val="24"/>
              </w:rPr>
              <w:t>by</w:t>
            </w:r>
            <w:r w:rsidR="002130D1">
              <w:rPr>
                <w:rFonts w:ascii="Arial" w:hAnsi="Arial" w:cs="Arial"/>
                <w:sz w:val="24"/>
                <w:szCs w:val="24"/>
              </w:rPr>
              <w:t xml:space="preserve"> the end of Quarter 3 there </w:t>
            </w:r>
            <w:r w:rsidR="00C85FE8">
              <w:rPr>
                <w:rFonts w:ascii="Arial" w:hAnsi="Arial" w:cs="Arial"/>
                <w:sz w:val="24"/>
                <w:szCs w:val="24"/>
              </w:rPr>
              <w:t xml:space="preserve">had been </w:t>
            </w:r>
            <w:r w:rsidR="002130D1">
              <w:rPr>
                <w:rFonts w:ascii="Arial" w:hAnsi="Arial" w:cs="Arial"/>
                <w:sz w:val="24"/>
                <w:szCs w:val="24"/>
              </w:rPr>
              <w:t>2 Breach Notices served on two co-ops for two properties</w:t>
            </w:r>
          </w:p>
          <w:p w:rsidR="002D3795" w:rsidRPr="00F946DA" w:rsidRDefault="002D3795">
            <w:pPr>
              <w:rPr>
                <w:rFonts w:ascii="Arial" w:hAnsi="Arial" w:cs="Arial"/>
                <w:sz w:val="24"/>
                <w:szCs w:val="24"/>
              </w:rPr>
            </w:pPr>
          </w:p>
        </w:tc>
      </w:tr>
      <w:tr w:rsidR="001023A8" w:rsidRPr="00F946DA" w:rsidTr="00D2355C">
        <w:tc>
          <w:tcPr>
            <w:tcW w:w="817" w:type="dxa"/>
          </w:tcPr>
          <w:p w:rsidR="001023A8" w:rsidRPr="00F946DA" w:rsidRDefault="000B6BC7">
            <w:pPr>
              <w:rPr>
                <w:rFonts w:ascii="Arial" w:hAnsi="Arial" w:cs="Arial"/>
                <w:sz w:val="24"/>
                <w:szCs w:val="24"/>
              </w:rPr>
            </w:pPr>
            <w:r w:rsidRPr="00F946DA">
              <w:rPr>
                <w:rFonts w:ascii="Arial" w:hAnsi="Arial" w:cs="Arial"/>
                <w:sz w:val="24"/>
                <w:szCs w:val="24"/>
              </w:rPr>
              <w:lastRenderedPageBreak/>
              <w:t>5.2</w:t>
            </w:r>
          </w:p>
        </w:tc>
        <w:tc>
          <w:tcPr>
            <w:tcW w:w="8425" w:type="dxa"/>
          </w:tcPr>
          <w:p w:rsidR="00A018A3" w:rsidRPr="00F946DA" w:rsidRDefault="000B6BC7" w:rsidP="00A018A3">
            <w:pPr>
              <w:rPr>
                <w:rFonts w:ascii="Arial" w:hAnsi="Arial" w:cs="Arial"/>
                <w:sz w:val="24"/>
                <w:szCs w:val="24"/>
              </w:rPr>
            </w:pPr>
            <w:r w:rsidRPr="00F946DA">
              <w:rPr>
                <w:rFonts w:ascii="Arial" w:hAnsi="Arial" w:cs="Arial"/>
                <w:sz w:val="24"/>
                <w:szCs w:val="24"/>
              </w:rPr>
              <w:t>Our Business Improvement team arranged a survey of co-op residents in the summer of 2015. This showed a marked improvement in the satisfaction rate from the last survey in 2011 up to 81.9% satisfied in 2015. In every area</w:t>
            </w:r>
            <w:r w:rsidR="00A018A3" w:rsidRPr="00F946DA">
              <w:rPr>
                <w:rFonts w:ascii="Arial" w:hAnsi="Arial" w:cs="Arial"/>
                <w:sz w:val="24"/>
                <w:szCs w:val="24"/>
              </w:rPr>
              <w:t xml:space="preserve"> where a comparison with the last survey was possible</w:t>
            </w:r>
            <w:r w:rsidRPr="00F946DA">
              <w:rPr>
                <w:rFonts w:ascii="Arial" w:hAnsi="Arial" w:cs="Arial"/>
                <w:sz w:val="24"/>
                <w:szCs w:val="24"/>
              </w:rPr>
              <w:t>, satisfaction levels had improved</w:t>
            </w:r>
            <w:r w:rsidR="00A018A3" w:rsidRPr="00F946DA">
              <w:rPr>
                <w:rFonts w:ascii="Arial" w:hAnsi="Arial" w:cs="Arial"/>
                <w:sz w:val="24"/>
                <w:szCs w:val="24"/>
              </w:rPr>
              <w:t xml:space="preserve">. The results showed: </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Quality</w:t>
            </w:r>
            <w:r w:rsidR="000B6BC7" w:rsidRPr="00F946DA">
              <w:rPr>
                <w:rFonts w:ascii="Arial" w:hAnsi="Arial" w:cs="Arial"/>
                <w:sz w:val="24"/>
                <w:szCs w:val="24"/>
              </w:rPr>
              <w:t xml:space="preserve"> of home (82.7%), </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Neighbourhood</w:t>
            </w:r>
            <w:r w:rsidR="000B6BC7" w:rsidRPr="00F946DA">
              <w:rPr>
                <w:rFonts w:ascii="Arial" w:hAnsi="Arial" w:cs="Arial"/>
                <w:sz w:val="24"/>
                <w:szCs w:val="24"/>
              </w:rPr>
              <w:t xml:space="preserve"> </w:t>
            </w:r>
            <w:r w:rsidR="00A018A3" w:rsidRPr="00F946DA">
              <w:rPr>
                <w:rFonts w:ascii="Arial" w:hAnsi="Arial" w:cs="Arial"/>
                <w:sz w:val="24"/>
                <w:szCs w:val="24"/>
              </w:rPr>
              <w:t xml:space="preserve">as a place to </w:t>
            </w:r>
            <w:r w:rsidRPr="00F946DA">
              <w:rPr>
                <w:rFonts w:ascii="Arial" w:hAnsi="Arial" w:cs="Arial"/>
                <w:sz w:val="24"/>
                <w:szCs w:val="24"/>
              </w:rPr>
              <w:t>live (</w:t>
            </w:r>
            <w:r w:rsidR="00A018A3" w:rsidRPr="00F946DA">
              <w:rPr>
                <w:rFonts w:ascii="Arial" w:hAnsi="Arial" w:cs="Arial"/>
                <w:sz w:val="24"/>
                <w:szCs w:val="24"/>
              </w:rPr>
              <w:t xml:space="preserve">89%), </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Value</w:t>
            </w:r>
            <w:r w:rsidR="00A018A3" w:rsidRPr="00F946DA">
              <w:rPr>
                <w:rFonts w:ascii="Arial" w:hAnsi="Arial" w:cs="Arial"/>
                <w:sz w:val="24"/>
                <w:szCs w:val="24"/>
              </w:rPr>
              <w:t xml:space="preserve"> for money of rent (78.7%),</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Repairs</w:t>
            </w:r>
            <w:r w:rsidR="00A018A3" w:rsidRPr="00F946DA">
              <w:rPr>
                <w:rFonts w:ascii="Arial" w:hAnsi="Arial" w:cs="Arial"/>
                <w:sz w:val="24"/>
                <w:szCs w:val="24"/>
              </w:rPr>
              <w:t xml:space="preserve"> and maintenance (81.1%), </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The</w:t>
            </w:r>
            <w:r w:rsidR="00A018A3" w:rsidRPr="00F946DA">
              <w:rPr>
                <w:rFonts w:ascii="Arial" w:hAnsi="Arial" w:cs="Arial"/>
                <w:sz w:val="24"/>
                <w:szCs w:val="24"/>
              </w:rPr>
              <w:t xml:space="preserve"> way in which residents’ views are listened to and acted upon (77%), </w:t>
            </w:r>
          </w:p>
          <w:p w:rsidR="000A6023" w:rsidRPr="00F946DA" w:rsidRDefault="00A018A3" w:rsidP="00A018A3">
            <w:pPr>
              <w:pStyle w:val="ListParagraph"/>
              <w:numPr>
                <w:ilvl w:val="0"/>
                <w:numId w:val="6"/>
              </w:numPr>
              <w:rPr>
                <w:rFonts w:ascii="Arial" w:hAnsi="Arial" w:cs="Arial"/>
                <w:sz w:val="24"/>
                <w:szCs w:val="24"/>
              </w:rPr>
            </w:pPr>
            <w:r w:rsidRPr="00F946DA">
              <w:rPr>
                <w:rFonts w:ascii="Arial" w:hAnsi="Arial" w:cs="Arial"/>
                <w:sz w:val="24"/>
                <w:szCs w:val="24"/>
              </w:rPr>
              <w:t xml:space="preserve"> </w:t>
            </w:r>
            <w:r w:rsidR="00D42624" w:rsidRPr="00F946DA">
              <w:rPr>
                <w:rFonts w:ascii="Arial" w:hAnsi="Arial" w:cs="Arial"/>
                <w:sz w:val="24"/>
                <w:szCs w:val="24"/>
              </w:rPr>
              <w:t>Ease</w:t>
            </w:r>
            <w:r w:rsidRPr="00F946DA">
              <w:rPr>
                <w:rFonts w:ascii="Arial" w:hAnsi="Arial" w:cs="Arial"/>
                <w:sz w:val="24"/>
                <w:szCs w:val="24"/>
              </w:rPr>
              <w:t xml:space="preserve"> of reporting an </w:t>
            </w:r>
            <w:r w:rsidR="00D42624" w:rsidRPr="00F946DA">
              <w:rPr>
                <w:rFonts w:ascii="Arial" w:hAnsi="Arial" w:cs="Arial"/>
                <w:sz w:val="24"/>
                <w:szCs w:val="24"/>
              </w:rPr>
              <w:t>issue (</w:t>
            </w:r>
            <w:r w:rsidRPr="00F946DA">
              <w:rPr>
                <w:rFonts w:ascii="Arial" w:hAnsi="Arial" w:cs="Arial"/>
                <w:sz w:val="24"/>
                <w:szCs w:val="24"/>
              </w:rPr>
              <w:t>80.2%)</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Satisfaction</w:t>
            </w:r>
            <w:r w:rsidR="00A018A3" w:rsidRPr="00F946DA">
              <w:rPr>
                <w:rFonts w:ascii="Arial" w:hAnsi="Arial" w:cs="Arial"/>
                <w:sz w:val="24"/>
                <w:szCs w:val="24"/>
              </w:rPr>
              <w:t xml:space="preserve"> with last contact (85.6%) </w:t>
            </w:r>
          </w:p>
          <w:p w:rsidR="00A018A3" w:rsidRPr="00F946DA" w:rsidRDefault="00D42624" w:rsidP="00A018A3">
            <w:pPr>
              <w:pStyle w:val="ListParagraph"/>
              <w:numPr>
                <w:ilvl w:val="0"/>
                <w:numId w:val="6"/>
              </w:numPr>
              <w:rPr>
                <w:rFonts w:ascii="Arial" w:hAnsi="Arial" w:cs="Arial"/>
                <w:sz w:val="24"/>
                <w:szCs w:val="24"/>
              </w:rPr>
            </w:pPr>
            <w:r w:rsidRPr="00F946DA">
              <w:rPr>
                <w:rFonts w:ascii="Arial" w:hAnsi="Arial" w:cs="Arial"/>
                <w:sz w:val="24"/>
                <w:szCs w:val="24"/>
              </w:rPr>
              <w:t>Satisfaction</w:t>
            </w:r>
            <w:r w:rsidR="00A018A3" w:rsidRPr="00F946DA">
              <w:rPr>
                <w:rFonts w:ascii="Arial" w:hAnsi="Arial" w:cs="Arial"/>
                <w:sz w:val="24"/>
                <w:szCs w:val="24"/>
              </w:rPr>
              <w:t xml:space="preserve"> with opportunities to get involved (78.6%) </w:t>
            </w:r>
          </w:p>
          <w:p w:rsidR="00A018A3" w:rsidRPr="00F946DA" w:rsidRDefault="00A018A3" w:rsidP="00A018A3">
            <w:pPr>
              <w:rPr>
                <w:rFonts w:ascii="Arial" w:hAnsi="Arial" w:cs="Arial"/>
                <w:sz w:val="24"/>
                <w:szCs w:val="24"/>
              </w:rPr>
            </w:pPr>
          </w:p>
          <w:p w:rsidR="00A018A3" w:rsidRPr="00F946DA" w:rsidRDefault="00A018A3" w:rsidP="00A018A3">
            <w:pPr>
              <w:rPr>
                <w:rFonts w:ascii="Arial" w:hAnsi="Arial" w:cs="Arial"/>
                <w:sz w:val="24"/>
                <w:szCs w:val="24"/>
              </w:rPr>
            </w:pPr>
            <w:r w:rsidRPr="00F946DA">
              <w:rPr>
                <w:rFonts w:ascii="Arial" w:hAnsi="Arial" w:cs="Arial"/>
                <w:sz w:val="24"/>
                <w:szCs w:val="24"/>
              </w:rPr>
              <w:t>These are good results</w:t>
            </w:r>
            <w:r w:rsidR="009D3714">
              <w:rPr>
                <w:rFonts w:ascii="Arial" w:hAnsi="Arial" w:cs="Arial"/>
                <w:sz w:val="24"/>
                <w:szCs w:val="24"/>
              </w:rPr>
              <w:t xml:space="preserve"> for the 127 residents who responded (a 40% response rate)</w:t>
            </w:r>
            <w:r w:rsidRPr="00F946DA">
              <w:rPr>
                <w:rFonts w:ascii="Arial" w:hAnsi="Arial" w:cs="Arial"/>
                <w:sz w:val="24"/>
                <w:szCs w:val="24"/>
              </w:rPr>
              <w:t xml:space="preserve">. We also asked about involvement with the co-op and 28.6% of respondents had had no involvement in the last 12 months which suggests that 71.4% had had. </w:t>
            </w:r>
            <w:r w:rsidR="00565619">
              <w:rPr>
                <w:rFonts w:ascii="Arial" w:hAnsi="Arial" w:cs="Arial"/>
                <w:sz w:val="24"/>
                <w:szCs w:val="24"/>
              </w:rPr>
              <w:t xml:space="preserve">There were variations between co-ops but </w:t>
            </w:r>
            <w:r w:rsidR="009D3714">
              <w:rPr>
                <w:rFonts w:ascii="Arial" w:hAnsi="Arial" w:cs="Arial"/>
                <w:sz w:val="24"/>
                <w:szCs w:val="24"/>
              </w:rPr>
              <w:t>analysis of results at co-op level would not be statistically reliable.</w:t>
            </w:r>
            <w:r w:rsidR="00565619">
              <w:rPr>
                <w:rFonts w:ascii="Arial" w:hAnsi="Arial" w:cs="Arial"/>
                <w:sz w:val="24"/>
                <w:szCs w:val="24"/>
              </w:rPr>
              <w:t xml:space="preserve"> </w:t>
            </w:r>
          </w:p>
          <w:p w:rsidR="00A018A3" w:rsidRPr="00F946DA" w:rsidRDefault="00A018A3" w:rsidP="00A018A3">
            <w:pPr>
              <w:pStyle w:val="ListParagraph"/>
              <w:ind w:left="770"/>
              <w:rPr>
                <w:rFonts w:ascii="Arial" w:hAnsi="Arial" w:cs="Arial"/>
                <w:sz w:val="24"/>
                <w:szCs w:val="24"/>
              </w:rPr>
            </w:pPr>
          </w:p>
        </w:tc>
      </w:tr>
      <w:tr w:rsidR="001023A8" w:rsidRPr="00CE68C2" w:rsidTr="00D2355C">
        <w:tc>
          <w:tcPr>
            <w:tcW w:w="817" w:type="dxa"/>
          </w:tcPr>
          <w:p w:rsidR="001023A8" w:rsidRPr="00CE68C2" w:rsidRDefault="00D30713">
            <w:pPr>
              <w:rPr>
                <w:rFonts w:ascii="Arial" w:hAnsi="Arial" w:cs="Arial"/>
                <w:b/>
                <w:i/>
                <w:sz w:val="28"/>
                <w:szCs w:val="28"/>
              </w:rPr>
            </w:pPr>
            <w:r w:rsidRPr="00CE68C2">
              <w:rPr>
                <w:rFonts w:ascii="Arial" w:hAnsi="Arial" w:cs="Arial"/>
                <w:b/>
                <w:i/>
                <w:sz w:val="28"/>
                <w:szCs w:val="28"/>
              </w:rPr>
              <w:t>6.</w:t>
            </w:r>
          </w:p>
        </w:tc>
        <w:tc>
          <w:tcPr>
            <w:tcW w:w="8425" w:type="dxa"/>
          </w:tcPr>
          <w:p w:rsidR="001023A8" w:rsidRPr="00CE68C2" w:rsidRDefault="00D30713">
            <w:pPr>
              <w:rPr>
                <w:rFonts w:ascii="Arial" w:hAnsi="Arial" w:cs="Arial"/>
                <w:b/>
                <w:i/>
                <w:sz w:val="28"/>
                <w:szCs w:val="28"/>
              </w:rPr>
            </w:pPr>
            <w:r w:rsidRPr="00CE68C2">
              <w:rPr>
                <w:rFonts w:ascii="Arial" w:hAnsi="Arial" w:cs="Arial"/>
                <w:b/>
                <w:i/>
                <w:sz w:val="28"/>
                <w:szCs w:val="28"/>
              </w:rPr>
              <w:t xml:space="preserve">Policy discussion </w:t>
            </w:r>
          </w:p>
          <w:p w:rsidR="00F946DA" w:rsidRPr="00CE68C2" w:rsidRDefault="00F946DA">
            <w:pPr>
              <w:rPr>
                <w:rFonts w:ascii="Arial" w:hAnsi="Arial" w:cs="Arial"/>
                <w:b/>
                <w:i/>
                <w:sz w:val="28"/>
                <w:szCs w:val="28"/>
              </w:rPr>
            </w:pPr>
          </w:p>
        </w:tc>
      </w:tr>
      <w:tr w:rsidR="001023A8" w:rsidRPr="00F946DA" w:rsidTr="00D2355C">
        <w:tc>
          <w:tcPr>
            <w:tcW w:w="817" w:type="dxa"/>
          </w:tcPr>
          <w:p w:rsidR="001023A8" w:rsidRPr="00F946DA" w:rsidRDefault="00D30713">
            <w:pPr>
              <w:rPr>
                <w:rFonts w:ascii="Arial" w:hAnsi="Arial" w:cs="Arial"/>
                <w:sz w:val="24"/>
                <w:szCs w:val="24"/>
              </w:rPr>
            </w:pPr>
            <w:r w:rsidRPr="00F946DA">
              <w:rPr>
                <w:rFonts w:ascii="Arial" w:hAnsi="Arial" w:cs="Arial"/>
                <w:sz w:val="24"/>
                <w:szCs w:val="24"/>
              </w:rPr>
              <w:t xml:space="preserve">6.1 </w:t>
            </w:r>
          </w:p>
        </w:tc>
        <w:tc>
          <w:tcPr>
            <w:tcW w:w="8425" w:type="dxa"/>
          </w:tcPr>
          <w:p w:rsidR="001023A8" w:rsidRPr="00F946DA" w:rsidRDefault="00D30713" w:rsidP="00D30713">
            <w:pPr>
              <w:rPr>
                <w:rFonts w:ascii="Arial" w:hAnsi="Arial" w:cs="Arial"/>
                <w:sz w:val="24"/>
                <w:szCs w:val="24"/>
              </w:rPr>
            </w:pPr>
            <w:r w:rsidRPr="00F946DA">
              <w:rPr>
                <w:rFonts w:ascii="Arial" w:hAnsi="Arial" w:cs="Arial"/>
                <w:sz w:val="24"/>
                <w:szCs w:val="24"/>
              </w:rPr>
              <w:t>The arguments in favour of promoting co-ops can be broadly summarised as</w:t>
            </w:r>
            <w:r w:rsidR="00C85FE8">
              <w:rPr>
                <w:rFonts w:ascii="Arial" w:hAnsi="Arial" w:cs="Arial"/>
                <w:sz w:val="24"/>
                <w:szCs w:val="24"/>
              </w:rPr>
              <w:t xml:space="preserve">: </w:t>
            </w:r>
          </w:p>
          <w:p w:rsidR="00D30713" w:rsidRPr="00F946DA" w:rsidRDefault="00D30713" w:rsidP="00D30713">
            <w:pPr>
              <w:pStyle w:val="ListParagraph"/>
              <w:numPr>
                <w:ilvl w:val="0"/>
                <w:numId w:val="3"/>
              </w:numPr>
              <w:rPr>
                <w:rFonts w:ascii="Arial" w:hAnsi="Arial" w:cs="Arial"/>
                <w:sz w:val="24"/>
                <w:szCs w:val="24"/>
              </w:rPr>
            </w:pPr>
            <w:r w:rsidRPr="00F946DA">
              <w:rPr>
                <w:rFonts w:ascii="Arial" w:hAnsi="Arial" w:cs="Arial"/>
                <w:sz w:val="24"/>
                <w:szCs w:val="24"/>
              </w:rPr>
              <w:t xml:space="preserve">Co-ops provide a means by which tenants can be empowered to take more control over their housing conditions  and by extension, their lives </w:t>
            </w:r>
          </w:p>
          <w:p w:rsidR="00D30713" w:rsidRPr="00F946DA" w:rsidRDefault="00D30713" w:rsidP="00D30713">
            <w:pPr>
              <w:pStyle w:val="ListParagraph"/>
              <w:numPr>
                <w:ilvl w:val="0"/>
                <w:numId w:val="3"/>
              </w:numPr>
              <w:rPr>
                <w:rFonts w:ascii="Arial" w:hAnsi="Arial" w:cs="Arial"/>
                <w:sz w:val="24"/>
                <w:szCs w:val="24"/>
              </w:rPr>
            </w:pPr>
            <w:r w:rsidRPr="00F946DA">
              <w:rPr>
                <w:rFonts w:ascii="Arial" w:hAnsi="Arial" w:cs="Arial"/>
                <w:sz w:val="24"/>
                <w:szCs w:val="24"/>
              </w:rPr>
              <w:t xml:space="preserve">Co-ops </w:t>
            </w:r>
            <w:r w:rsidRPr="00852412">
              <w:rPr>
                <w:rFonts w:ascii="Arial" w:hAnsi="Arial" w:cs="Arial"/>
                <w:i/>
                <w:sz w:val="24"/>
                <w:szCs w:val="24"/>
              </w:rPr>
              <w:t>on average</w:t>
            </w:r>
            <w:r w:rsidRPr="00F946DA">
              <w:rPr>
                <w:rFonts w:ascii="Arial" w:hAnsi="Arial" w:cs="Arial"/>
                <w:sz w:val="24"/>
                <w:szCs w:val="24"/>
              </w:rPr>
              <w:t xml:space="preserve"> perform better than landlord –run services </w:t>
            </w:r>
            <w:r w:rsidR="000679D2" w:rsidRPr="00F946DA">
              <w:rPr>
                <w:rFonts w:ascii="Arial" w:hAnsi="Arial" w:cs="Arial"/>
                <w:sz w:val="24"/>
                <w:szCs w:val="24"/>
              </w:rPr>
              <w:t>with residents expressi</w:t>
            </w:r>
            <w:r w:rsidR="00852412">
              <w:rPr>
                <w:rFonts w:ascii="Arial" w:hAnsi="Arial" w:cs="Arial"/>
                <w:sz w:val="24"/>
                <w:szCs w:val="24"/>
              </w:rPr>
              <w:t>ng higher rates of satisfaction. This comparison applied to co-ops comparing themselves with small landlords</w:t>
            </w:r>
            <w:r w:rsidR="00D755DC">
              <w:rPr>
                <w:rFonts w:ascii="Arial" w:hAnsi="Arial" w:cs="Arial"/>
                <w:sz w:val="24"/>
                <w:szCs w:val="24"/>
              </w:rPr>
              <w:t>.</w:t>
            </w:r>
            <w:r w:rsidR="00852412">
              <w:rPr>
                <w:rFonts w:ascii="Arial" w:hAnsi="Arial" w:cs="Arial"/>
                <w:sz w:val="24"/>
                <w:szCs w:val="24"/>
              </w:rPr>
              <w:t xml:space="preserve"> </w:t>
            </w:r>
          </w:p>
          <w:p w:rsidR="00C66505" w:rsidRDefault="00C85FE8" w:rsidP="00C62EC9">
            <w:pPr>
              <w:pStyle w:val="ListParagraph"/>
              <w:numPr>
                <w:ilvl w:val="0"/>
                <w:numId w:val="3"/>
              </w:numPr>
              <w:rPr>
                <w:rFonts w:ascii="Arial" w:hAnsi="Arial" w:cs="Arial"/>
                <w:sz w:val="24"/>
                <w:szCs w:val="24"/>
              </w:rPr>
            </w:pPr>
            <w:r>
              <w:rPr>
                <w:rFonts w:ascii="Arial" w:hAnsi="Arial" w:cs="Arial"/>
                <w:sz w:val="24"/>
                <w:szCs w:val="24"/>
              </w:rPr>
              <w:lastRenderedPageBreak/>
              <w:t>T</w:t>
            </w:r>
            <w:r w:rsidR="00C62EC9" w:rsidRPr="00F946DA">
              <w:rPr>
                <w:rFonts w:ascii="Arial" w:hAnsi="Arial" w:cs="Arial"/>
                <w:sz w:val="24"/>
                <w:szCs w:val="24"/>
              </w:rPr>
              <w:t xml:space="preserve">he benefits of co-operative and mutual housing </w:t>
            </w:r>
            <w:r>
              <w:rPr>
                <w:rFonts w:ascii="Arial" w:hAnsi="Arial" w:cs="Arial"/>
                <w:sz w:val="24"/>
                <w:szCs w:val="24"/>
              </w:rPr>
              <w:t>as expressed by the Confederation of Co-operative Housing</w:t>
            </w:r>
            <w:r w:rsidRPr="00F946DA">
              <w:rPr>
                <w:rFonts w:ascii="Arial" w:hAnsi="Arial" w:cs="Arial"/>
                <w:sz w:val="24"/>
                <w:szCs w:val="24"/>
              </w:rPr>
              <w:t xml:space="preserve"> </w:t>
            </w:r>
            <w:r w:rsidR="00C62EC9" w:rsidRPr="00F946DA">
              <w:rPr>
                <w:rFonts w:ascii="Arial" w:hAnsi="Arial" w:cs="Arial"/>
                <w:i/>
                <w:sz w:val="24"/>
                <w:szCs w:val="24"/>
              </w:rPr>
              <w:t>can</w:t>
            </w:r>
            <w:r w:rsidR="00C62EC9" w:rsidRPr="00F946DA">
              <w:rPr>
                <w:rFonts w:ascii="Arial" w:hAnsi="Arial" w:cs="Arial"/>
                <w:sz w:val="24"/>
                <w:szCs w:val="24"/>
              </w:rPr>
              <w:t xml:space="preserve"> include </w:t>
            </w:r>
            <w:r w:rsidR="004C5F14" w:rsidRPr="00F946DA">
              <w:rPr>
                <w:rFonts w:ascii="Arial" w:hAnsi="Arial" w:cs="Arial"/>
                <w:sz w:val="24"/>
                <w:szCs w:val="24"/>
              </w:rPr>
              <w:t>establishing effective local community businesses</w:t>
            </w:r>
            <w:r w:rsidR="00C62EC9" w:rsidRPr="00F946DA">
              <w:rPr>
                <w:rFonts w:ascii="Arial" w:hAnsi="Arial" w:cs="Arial"/>
                <w:sz w:val="24"/>
                <w:szCs w:val="24"/>
              </w:rPr>
              <w:t xml:space="preserve">, </w:t>
            </w:r>
            <w:r w:rsidR="000679D2" w:rsidRPr="00F946DA">
              <w:rPr>
                <w:rFonts w:ascii="Arial" w:hAnsi="Arial" w:cs="Arial"/>
                <w:sz w:val="24"/>
                <w:szCs w:val="24"/>
              </w:rPr>
              <w:t xml:space="preserve">and </w:t>
            </w:r>
            <w:r w:rsidR="00C62EC9" w:rsidRPr="00F946DA">
              <w:rPr>
                <w:rFonts w:ascii="Arial" w:hAnsi="Arial" w:cs="Arial"/>
                <w:sz w:val="24"/>
                <w:szCs w:val="24"/>
              </w:rPr>
              <w:t>th</w:t>
            </w:r>
            <w:r w:rsidR="004C5F14" w:rsidRPr="00F946DA">
              <w:rPr>
                <w:rFonts w:ascii="Arial" w:hAnsi="Arial" w:cs="Arial"/>
                <w:sz w:val="24"/>
                <w:szCs w:val="24"/>
              </w:rPr>
              <w:t>e development of strong and sustainable local communities</w:t>
            </w:r>
            <w:r w:rsidR="000679D2" w:rsidRPr="00F946DA">
              <w:rPr>
                <w:rFonts w:ascii="Arial" w:hAnsi="Arial" w:cs="Arial"/>
                <w:sz w:val="24"/>
                <w:szCs w:val="24"/>
              </w:rPr>
              <w:t xml:space="preserve"> and the potential for local support for the development of new housing schemes</w:t>
            </w:r>
          </w:p>
          <w:p w:rsidR="00852412" w:rsidRPr="00F946DA" w:rsidRDefault="00852412" w:rsidP="00C62EC9">
            <w:pPr>
              <w:pStyle w:val="ListParagraph"/>
              <w:numPr>
                <w:ilvl w:val="0"/>
                <w:numId w:val="3"/>
              </w:numPr>
              <w:rPr>
                <w:rFonts w:ascii="Arial" w:hAnsi="Arial" w:cs="Arial"/>
                <w:sz w:val="24"/>
                <w:szCs w:val="24"/>
              </w:rPr>
            </w:pPr>
            <w:r>
              <w:rPr>
                <w:rFonts w:ascii="Arial" w:hAnsi="Arial" w:cs="Arial"/>
                <w:sz w:val="24"/>
                <w:szCs w:val="24"/>
              </w:rPr>
              <w:t>Hexagon’s support of Co-ops is potentially a USP for Hexagon</w:t>
            </w:r>
          </w:p>
          <w:p w:rsidR="001E6150" w:rsidRPr="00F946DA" w:rsidRDefault="001E6150" w:rsidP="001E6150">
            <w:pPr>
              <w:pStyle w:val="ListParagraph"/>
              <w:rPr>
                <w:rFonts w:ascii="Arial" w:hAnsi="Arial" w:cs="Arial"/>
                <w:sz w:val="24"/>
                <w:szCs w:val="24"/>
              </w:rPr>
            </w:pPr>
          </w:p>
          <w:p w:rsidR="00D30713" w:rsidRPr="00F946DA" w:rsidRDefault="001E6150" w:rsidP="00AE2250">
            <w:pPr>
              <w:rPr>
                <w:rFonts w:ascii="Arial" w:hAnsi="Arial" w:cs="Arial"/>
                <w:b/>
                <w:sz w:val="24"/>
                <w:szCs w:val="24"/>
              </w:rPr>
            </w:pPr>
            <w:r w:rsidRPr="00F946DA">
              <w:rPr>
                <w:rFonts w:ascii="Arial" w:hAnsi="Arial" w:cs="Arial"/>
                <w:b/>
                <w:sz w:val="24"/>
                <w:szCs w:val="24"/>
              </w:rPr>
              <w:t xml:space="preserve">A range of opportunities for empowerment </w:t>
            </w:r>
          </w:p>
          <w:p w:rsidR="00AE2250" w:rsidRPr="00F946DA" w:rsidRDefault="00AE2250" w:rsidP="00543E9A">
            <w:pPr>
              <w:rPr>
                <w:rFonts w:ascii="Arial" w:hAnsi="Arial" w:cs="Arial"/>
                <w:sz w:val="24"/>
                <w:szCs w:val="24"/>
              </w:rPr>
            </w:pPr>
            <w:r w:rsidRPr="00F946DA">
              <w:rPr>
                <w:rFonts w:ascii="Arial" w:hAnsi="Arial" w:cs="Arial"/>
                <w:sz w:val="24"/>
                <w:szCs w:val="24"/>
              </w:rPr>
              <w:t xml:space="preserve">The involvement with their co-op </w:t>
            </w:r>
            <w:r w:rsidR="004077FC" w:rsidRPr="00F946DA">
              <w:rPr>
                <w:rFonts w:ascii="Arial" w:hAnsi="Arial" w:cs="Arial"/>
                <w:sz w:val="24"/>
                <w:szCs w:val="24"/>
              </w:rPr>
              <w:t xml:space="preserve">will potentially enable residents to learn new skills and be able to take more control over some aspects of their lives. </w:t>
            </w:r>
            <w:r w:rsidR="001E6150" w:rsidRPr="00F946DA">
              <w:rPr>
                <w:rFonts w:ascii="Arial" w:hAnsi="Arial" w:cs="Arial"/>
                <w:sz w:val="24"/>
                <w:szCs w:val="24"/>
              </w:rPr>
              <w:t>It is recognised that i</w:t>
            </w:r>
            <w:r w:rsidR="004077FC" w:rsidRPr="00F946DA">
              <w:rPr>
                <w:rFonts w:ascii="Arial" w:hAnsi="Arial" w:cs="Arial"/>
                <w:sz w:val="24"/>
                <w:szCs w:val="24"/>
              </w:rPr>
              <w:t>nvolvement in a co-operative is only attractive to some people</w:t>
            </w:r>
            <w:r w:rsidR="001E6150" w:rsidRPr="00F946DA">
              <w:rPr>
                <w:rFonts w:ascii="Arial" w:hAnsi="Arial" w:cs="Arial"/>
                <w:sz w:val="24"/>
                <w:szCs w:val="24"/>
              </w:rPr>
              <w:t xml:space="preserve">. </w:t>
            </w:r>
            <w:r w:rsidR="00C85FE8">
              <w:rPr>
                <w:rFonts w:ascii="Arial" w:hAnsi="Arial" w:cs="Arial"/>
                <w:sz w:val="24"/>
                <w:szCs w:val="24"/>
              </w:rPr>
              <w:t xml:space="preserve">However, this is not the only route </w:t>
            </w:r>
            <w:r w:rsidR="00852412">
              <w:rPr>
                <w:rFonts w:ascii="Arial" w:hAnsi="Arial" w:cs="Arial"/>
                <w:sz w:val="24"/>
                <w:szCs w:val="24"/>
              </w:rPr>
              <w:t xml:space="preserve">we offer </w:t>
            </w:r>
            <w:r w:rsidR="00C85FE8">
              <w:rPr>
                <w:rFonts w:ascii="Arial" w:hAnsi="Arial" w:cs="Arial"/>
                <w:sz w:val="24"/>
                <w:szCs w:val="24"/>
              </w:rPr>
              <w:t>to “empowerment.” M</w:t>
            </w:r>
            <w:r w:rsidR="00543E9A" w:rsidRPr="00F946DA">
              <w:rPr>
                <w:rFonts w:ascii="Arial" w:hAnsi="Arial" w:cs="Arial"/>
                <w:sz w:val="24"/>
                <w:szCs w:val="24"/>
              </w:rPr>
              <w:t>any</w:t>
            </w:r>
            <w:r w:rsidR="004077FC" w:rsidRPr="00F946DA">
              <w:rPr>
                <w:rFonts w:ascii="Arial" w:hAnsi="Arial" w:cs="Arial"/>
                <w:sz w:val="24"/>
                <w:szCs w:val="24"/>
              </w:rPr>
              <w:t xml:space="preserve"> of the residents who have benefitted from our community investment programmes have </w:t>
            </w:r>
            <w:r w:rsidR="001E6150" w:rsidRPr="00C85FE8">
              <w:rPr>
                <w:rFonts w:ascii="Arial" w:hAnsi="Arial" w:cs="Arial"/>
                <w:sz w:val="24"/>
                <w:szCs w:val="24"/>
              </w:rPr>
              <w:t>also</w:t>
            </w:r>
            <w:r w:rsidR="001E6150" w:rsidRPr="00F946DA">
              <w:rPr>
                <w:rFonts w:ascii="Arial" w:hAnsi="Arial" w:cs="Arial"/>
                <w:sz w:val="24"/>
                <w:szCs w:val="24"/>
              </w:rPr>
              <w:t xml:space="preserve"> </w:t>
            </w:r>
            <w:r w:rsidR="004077FC" w:rsidRPr="00F946DA">
              <w:rPr>
                <w:rFonts w:ascii="Arial" w:hAnsi="Arial" w:cs="Arial"/>
                <w:sz w:val="24"/>
                <w:szCs w:val="24"/>
              </w:rPr>
              <w:t>been able to be empowered through</w:t>
            </w:r>
            <w:r w:rsidR="001E6150" w:rsidRPr="00F946DA">
              <w:rPr>
                <w:rFonts w:ascii="Arial" w:hAnsi="Arial" w:cs="Arial"/>
                <w:sz w:val="24"/>
                <w:szCs w:val="24"/>
              </w:rPr>
              <w:t>,</w:t>
            </w:r>
            <w:r w:rsidR="004077FC" w:rsidRPr="00F946DA">
              <w:rPr>
                <w:rFonts w:ascii="Arial" w:hAnsi="Arial" w:cs="Arial"/>
                <w:sz w:val="24"/>
                <w:szCs w:val="24"/>
              </w:rPr>
              <w:t xml:space="preserve"> </w:t>
            </w:r>
            <w:r w:rsidR="001E6150" w:rsidRPr="00F946DA">
              <w:rPr>
                <w:rFonts w:ascii="Arial" w:hAnsi="Arial" w:cs="Arial"/>
                <w:sz w:val="24"/>
                <w:szCs w:val="24"/>
              </w:rPr>
              <w:t xml:space="preserve">for example, our employment support and business start-up </w:t>
            </w:r>
            <w:r w:rsidR="004077FC" w:rsidRPr="00F946DA">
              <w:rPr>
                <w:rFonts w:ascii="Arial" w:hAnsi="Arial" w:cs="Arial"/>
                <w:sz w:val="24"/>
                <w:szCs w:val="24"/>
              </w:rPr>
              <w:t>programme</w:t>
            </w:r>
            <w:r w:rsidR="001E6150" w:rsidRPr="00F946DA">
              <w:rPr>
                <w:rFonts w:ascii="Arial" w:hAnsi="Arial" w:cs="Arial"/>
                <w:sz w:val="24"/>
                <w:szCs w:val="24"/>
              </w:rPr>
              <w:t>s</w:t>
            </w:r>
            <w:r w:rsidR="004077FC" w:rsidRPr="00F946DA">
              <w:rPr>
                <w:rFonts w:ascii="Arial" w:hAnsi="Arial" w:cs="Arial"/>
                <w:sz w:val="24"/>
                <w:szCs w:val="24"/>
              </w:rPr>
              <w:t xml:space="preserve"> to change their lives in a very direct way</w:t>
            </w:r>
            <w:r w:rsidR="00543E9A" w:rsidRPr="00F946DA">
              <w:rPr>
                <w:rFonts w:ascii="Arial" w:hAnsi="Arial" w:cs="Arial"/>
                <w:sz w:val="24"/>
                <w:szCs w:val="24"/>
              </w:rPr>
              <w:t xml:space="preserve"> which also increases their income-earning potential</w:t>
            </w:r>
            <w:r w:rsidR="004077FC" w:rsidRPr="00F946DA">
              <w:rPr>
                <w:rFonts w:ascii="Arial" w:hAnsi="Arial" w:cs="Arial"/>
                <w:sz w:val="24"/>
                <w:szCs w:val="24"/>
              </w:rPr>
              <w:t>. There are also opportunities through some of our other resident involvement activities</w:t>
            </w:r>
            <w:r w:rsidR="001E6150" w:rsidRPr="00F946DA">
              <w:rPr>
                <w:rFonts w:ascii="Arial" w:hAnsi="Arial" w:cs="Arial"/>
                <w:sz w:val="24"/>
                <w:szCs w:val="24"/>
              </w:rPr>
              <w:t xml:space="preserve"> (outside co-ops</w:t>
            </w:r>
            <w:r w:rsidR="00D42624" w:rsidRPr="00F946DA">
              <w:rPr>
                <w:rFonts w:ascii="Arial" w:hAnsi="Arial" w:cs="Arial"/>
                <w:sz w:val="24"/>
                <w:szCs w:val="24"/>
              </w:rPr>
              <w:t>) to</w:t>
            </w:r>
            <w:r w:rsidR="004077FC" w:rsidRPr="00F946DA">
              <w:rPr>
                <w:rFonts w:ascii="Arial" w:hAnsi="Arial" w:cs="Arial"/>
                <w:sz w:val="24"/>
                <w:szCs w:val="24"/>
              </w:rPr>
              <w:t xml:space="preserve"> </w:t>
            </w:r>
            <w:r w:rsidR="00543E9A" w:rsidRPr="00F946DA">
              <w:rPr>
                <w:rFonts w:ascii="Arial" w:hAnsi="Arial" w:cs="Arial"/>
                <w:sz w:val="24"/>
                <w:szCs w:val="24"/>
              </w:rPr>
              <w:t xml:space="preserve">influence their housing conditions and potentially </w:t>
            </w:r>
            <w:r w:rsidR="004077FC" w:rsidRPr="00F946DA">
              <w:rPr>
                <w:rFonts w:ascii="Arial" w:hAnsi="Arial" w:cs="Arial"/>
                <w:sz w:val="24"/>
                <w:szCs w:val="24"/>
              </w:rPr>
              <w:t xml:space="preserve">gain </w:t>
            </w:r>
            <w:r w:rsidR="00D42624" w:rsidRPr="00F946DA">
              <w:rPr>
                <w:rFonts w:ascii="Arial" w:hAnsi="Arial" w:cs="Arial"/>
                <w:sz w:val="24"/>
                <w:szCs w:val="24"/>
              </w:rPr>
              <w:t>useful experience</w:t>
            </w:r>
            <w:r w:rsidR="001E6150" w:rsidRPr="00F946DA">
              <w:rPr>
                <w:rFonts w:ascii="Arial" w:hAnsi="Arial" w:cs="Arial"/>
                <w:sz w:val="24"/>
                <w:szCs w:val="24"/>
              </w:rPr>
              <w:t xml:space="preserve"> through contributing to our scrutiny panel, estate grading schemes etc.  </w:t>
            </w:r>
            <w:r w:rsidR="00F946DA">
              <w:rPr>
                <w:rFonts w:ascii="Arial" w:hAnsi="Arial" w:cs="Arial"/>
                <w:sz w:val="24"/>
                <w:szCs w:val="24"/>
              </w:rPr>
              <w:t xml:space="preserve">Some of our co-op residents are very active members of resident involvement panels and groups. </w:t>
            </w:r>
          </w:p>
          <w:p w:rsidR="001E6150" w:rsidRPr="00F946DA" w:rsidRDefault="001E6150" w:rsidP="001E6150">
            <w:pPr>
              <w:rPr>
                <w:rFonts w:ascii="Arial" w:hAnsi="Arial" w:cs="Arial"/>
                <w:b/>
                <w:sz w:val="24"/>
                <w:szCs w:val="24"/>
              </w:rPr>
            </w:pPr>
          </w:p>
          <w:p w:rsidR="001E6150" w:rsidRPr="00F946DA" w:rsidRDefault="00852412" w:rsidP="001E6150">
            <w:pPr>
              <w:rPr>
                <w:rFonts w:ascii="Arial" w:hAnsi="Arial" w:cs="Arial"/>
                <w:b/>
                <w:sz w:val="24"/>
                <w:szCs w:val="24"/>
              </w:rPr>
            </w:pPr>
            <w:r>
              <w:rPr>
                <w:rFonts w:ascii="Arial" w:hAnsi="Arial" w:cs="Arial"/>
                <w:b/>
                <w:sz w:val="24"/>
                <w:szCs w:val="24"/>
              </w:rPr>
              <w:t xml:space="preserve">Performance - </w:t>
            </w:r>
            <w:r w:rsidR="001E6150" w:rsidRPr="00F946DA">
              <w:rPr>
                <w:rFonts w:ascii="Arial" w:hAnsi="Arial" w:cs="Arial"/>
                <w:b/>
                <w:sz w:val="24"/>
                <w:szCs w:val="24"/>
              </w:rPr>
              <w:t xml:space="preserve">Hexagon’s experience </w:t>
            </w:r>
          </w:p>
          <w:p w:rsidR="00543E9A" w:rsidRPr="00F946DA" w:rsidRDefault="00543E9A" w:rsidP="00543E9A">
            <w:pPr>
              <w:rPr>
                <w:rFonts w:ascii="Arial" w:hAnsi="Arial" w:cs="Arial"/>
                <w:sz w:val="24"/>
                <w:szCs w:val="24"/>
              </w:rPr>
            </w:pPr>
            <w:r w:rsidRPr="00F946DA">
              <w:rPr>
                <w:rFonts w:ascii="Arial" w:hAnsi="Arial" w:cs="Arial"/>
                <w:sz w:val="24"/>
                <w:szCs w:val="24"/>
              </w:rPr>
              <w:t xml:space="preserve">Our experience of our own co-ops is that their performance </w:t>
            </w:r>
            <w:r w:rsidR="001E6150" w:rsidRPr="00F946DA">
              <w:rPr>
                <w:rFonts w:ascii="Arial" w:hAnsi="Arial" w:cs="Arial"/>
                <w:sz w:val="24"/>
                <w:szCs w:val="24"/>
              </w:rPr>
              <w:t xml:space="preserve">in delivering the housing service </w:t>
            </w:r>
            <w:r w:rsidRPr="00F946DA">
              <w:rPr>
                <w:rFonts w:ascii="Arial" w:hAnsi="Arial" w:cs="Arial"/>
                <w:sz w:val="24"/>
                <w:szCs w:val="24"/>
              </w:rPr>
              <w:t xml:space="preserve">is very variable – compared with each other, over time and in comparison with Hexagon’s directly managed homes. We cannot say that our co-ops have consistently performed better or worse than Hexagon. Their performance in relation to the coverage of gas safety checks was not good enough for a long while but after a management –led drive from us, coupled with enforcement action under the management agreement, their performance has improved considerably. </w:t>
            </w:r>
          </w:p>
          <w:p w:rsidR="00543E9A" w:rsidRPr="00F946DA" w:rsidRDefault="00543E9A" w:rsidP="00543E9A">
            <w:pPr>
              <w:rPr>
                <w:rFonts w:ascii="Arial" w:hAnsi="Arial" w:cs="Arial"/>
                <w:sz w:val="24"/>
                <w:szCs w:val="24"/>
              </w:rPr>
            </w:pPr>
          </w:p>
          <w:p w:rsidR="001E6150" w:rsidRPr="00F946DA" w:rsidRDefault="001E6150" w:rsidP="00543E9A">
            <w:pPr>
              <w:rPr>
                <w:rFonts w:ascii="Arial" w:hAnsi="Arial" w:cs="Arial"/>
                <w:b/>
                <w:sz w:val="24"/>
                <w:szCs w:val="24"/>
              </w:rPr>
            </w:pPr>
            <w:r w:rsidRPr="00F946DA">
              <w:rPr>
                <w:rFonts w:ascii="Arial" w:hAnsi="Arial" w:cs="Arial"/>
                <w:b/>
                <w:sz w:val="24"/>
                <w:szCs w:val="24"/>
              </w:rPr>
              <w:t xml:space="preserve">Co-ops contributing to local communities </w:t>
            </w:r>
          </w:p>
          <w:p w:rsidR="00543E9A" w:rsidRPr="00F946DA" w:rsidRDefault="00543E9A" w:rsidP="00543E9A">
            <w:pPr>
              <w:rPr>
                <w:rFonts w:ascii="Arial" w:hAnsi="Arial" w:cs="Arial"/>
                <w:sz w:val="24"/>
                <w:szCs w:val="24"/>
              </w:rPr>
            </w:pPr>
            <w:r w:rsidRPr="00F946DA">
              <w:rPr>
                <w:rFonts w:ascii="Arial" w:hAnsi="Arial" w:cs="Arial"/>
                <w:sz w:val="24"/>
                <w:szCs w:val="24"/>
              </w:rPr>
              <w:t>We are not aware of any evidence that our co-ops</w:t>
            </w:r>
            <w:r w:rsidR="000C3E94" w:rsidRPr="00F946DA">
              <w:rPr>
                <w:rFonts w:ascii="Arial" w:hAnsi="Arial" w:cs="Arial"/>
                <w:sz w:val="24"/>
                <w:szCs w:val="24"/>
              </w:rPr>
              <w:t>,</w:t>
            </w:r>
            <w:r w:rsidRPr="00F946DA">
              <w:rPr>
                <w:rFonts w:ascii="Arial" w:hAnsi="Arial" w:cs="Arial"/>
                <w:sz w:val="24"/>
                <w:szCs w:val="24"/>
              </w:rPr>
              <w:t xml:space="preserve"> which are mostly small and not si</w:t>
            </w:r>
            <w:r w:rsidR="000C3E94" w:rsidRPr="00F946DA">
              <w:rPr>
                <w:rFonts w:ascii="Arial" w:hAnsi="Arial" w:cs="Arial"/>
                <w:sz w:val="24"/>
                <w:szCs w:val="24"/>
              </w:rPr>
              <w:t>gnificant in the local business economy,</w:t>
            </w:r>
            <w:r w:rsidRPr="00F946DA">
              <w:rPr>
                <w:rFonts w:ascii="Arial" w:hAnsi="Arial" w:cs="Arial"/>
                <w:sz w:val="24"/>
                <w:szCs w:val="24"/>
              </w:rPr>
              <w:t xml:space="preserve"> are making much of a contribution to the local business community although they are probably using small local contractors</w:t>
            </w:r>
            <w:r w:rsidR="000C3E94" w:rsidRPr="00F946DA">
              <w:rPr>
                <w:rFonts w:ascii="Arial" w:hAnsi="Arial" w:cs="Arial"/>
                <w:sz w:val="24"/>
                <w:szCs w:val="24"/>
              </w:rPr>
              <w:t xml:space="preserve">. We are aware that a number of individual co-op residents are making contributions to their local communities through volunteering </w:t>
            </w:r>
            <w:r w:rsidR="00D42624" w:rsidRPr="00F946DA">
              <w:rPr>
                <w:rFonts w:ascii="Arial" w:hAnsi="Arial" w:cs="Arial"/>
                <w:sz w:val="24"/>
                <w:szCs w:val="24"/>
              </w:rPr>
              <w:t>etc.</w:t>
            </w:r>
            <w:r w:rsidR="000C3E94" w:rsidRPr="00F946DA">
              <w:rPr>
                <w:rFonts w:ascii="Arial" w:hAnsi="Arial" w:cs="Arial"/>
                <w:sz w:val="24"/>
                <w:szCs w:val="24"/>
              </w:rPr>
              <w:t xml:space="preserve"> but this seems to be an individual effort by community-minded people, rather than a product of the operation of the co-op per se.  </w:t>
            </w:r>
            <w:r w:rsidRPr="00F946DA">
              <w:rPr>
                <w:rFonts w:ascii="Arial" w:hAnsi="Arial" w:cs="Arial"/>
                <w:sz w:val="24"/>
                <w:szCs w:val="24"/>
              </w:rPr>
              <w:t xml:space="preserve"> </w:t>
            </w:r>
            <w:r w:rsidR="000C3E94" w:rsidRPr="00F946DA">
              <w:rPr>
                <w:rFonts w:ascii="Arial" w:hAnsi="Arial" w:cs="Arial"/>
                <w:sz w:val="24"/>
                <w:szCs w:val="24"/>
              </w:rPr>
              <w:t xml:space="preserve">We are not aware that any of our co-ops have led the way in supporting new housing developments. </w:t>
            </w:r>
          </w:p>
          <w:p w:rsidR="00543E9A" w:rsidRDefault="00543E9A" w:rsidP="00543E9A">
            <w:pPr>
              <w:rPr>
                <w:rFonts w:ascii="Arial" w:hAnsi="Arial" w:cs="Arial"/>
                <w:sz w:val="24"/>
                <w:szCs w:val="24"/>
              </w:rPr>
            </w:pPr>
          </w:p>
          <w:p w:rsidR="00852412" w:rsidRPr="0029057D" w:rsidRDefault="00852412" w:rsidP="00852412">
            <w:pPr>
              <w:rPr>
                <w:rFonts w:ascii="Arial" w:hAnsi="Arial" w:cs="Arial"/>
                <w:b/>
                <w:sz w:val="24"/>
                <w:szCs w:val="24"/>
              </w:rPr>
            </w:pPr>
            <w:r w:rsidRPr="0029057D">
              <w:rPr>
                <w:rFonts w:ascii="Arial" w:hAnsi="Arial" w:cs="Arial"/>
                <w:b/>
                <w:sz w:val="24"/>
                <w:szCs w:val="24"/>
              </w:rPr>
              <w:t xml:space="preserve">Co-ops as a USP for Hexagon </w:t>
            </w:r>
          </w:p>
          <w:p w:rsidR="00852412" w:rsidRDefault="00852412" w:rsidP="00852412">
            <w:pPr>
              <w:rPr>
                <w:rFonts w:ascii="Arial" w:hAnsi="Arial" w:cs="Arial"/>
                <w:sz w:val="24"/>
                <w:szCs w:val="24"/>
              </w:rPr>
            </w:pPr>
            <w:r>
              <w:rPr>
                <w:rFonts w:ascii="Arial" w:hAnsi="Arial" w:cs="Arial"/>
                <w:sz w:val="24"/>
                <w:szCs w:val="24"/>
              </w:rPr>
              <w:t xml:space="preserve">It is rare for landlords to continue to support co-ops in the way which Hexagon has done so there is theoretically a competitive advantage when dealing with local authorities to be derived from having our relationship with the co-ops. However, we are no longer actively involved in bidding for regeneration schemes where this USP may have benefitted us at one time. </w:t>
            </w:r>
          </w:p>
          <w:p w:rsidR="00852412" w:rsidRPr="00F946DA" w:rsidRDefault="00852412" w:rsidP="00852412">
            <w:pPr>
              <w:rPr>
                <w:rFonts w:ascii="Arial" w:hAnsi="Arial" w:cs="Arial"/>
                <w:sz w:val="24"/>
                <w:szCs w:val="24"/>
              </w:rPr>
            </w:pPr>
          </w:p>
        </w:tc>
      </w:tr>
      <w:tr w:rsidR="001023A8" w:rsidRPr="00F946DA" w:rsidTr="00D2355C">
        <w:tc>
          <w:tcPr>
            <w:tcW w:w="817" w:type="dxa"/>
          </w:tcPr>
          <w:p w:rsidR="001023A8" w:rsidRPr="00F946DA" w:rsidRDefault="000679D2">
            <w:pPr>
              <w:rPr>
                <w:rFonts w:ascii="Arial" w:hAnsi="Arial" w:cs="Arial"/>
                <w:sz w:val="24"/>
                <w:szCs w:val="24"/>
              </w:rPr>
            </w:pPr>
            <w:r w:rsidRPr="00F946DA">
              <w:rPr>
                <w:rFonts w:ascii="Arial" w:hAnsi="Arial" w:cs="Arial"/>
                <w:sz w:val="24"/>
                <w:szCs w:val="24"/>
              </w:rPr>
              <w:lastRenderedPageBreak/>
              <w:t>6.2</w:t>
            </w:r>
          </w:p>
        </w:tc>
        <w:tc>
          <w:tcPr>
            <w:tcW w:w="8425" w:type="dxa"/>
          </w:tcPr>
          <w:p w:rsidR="001E6150" w:rsidRPr="00F946DA" w:rsidRDefault="001E6150" w:rsidP="00517CC0">
            <w:pPr>
              <w:rPr>
                <w:rFonts w:ascii="Arial" w:hAnsi="Arial" w:cs="Arial"/>
                <w:b/>
                <w:sz w:val="24"/>
                <w:szCs w:val="24"/>
              </w:rPr>
            </w:pPr>
            <w:r w:rsidRPr="00F946DA">
              <w:rPr>
                <w:rFonts w:ascii="Arial" w:hAnsi="Arial" w:cs="Arial"/>
                <w:b/>
                <w:sz w:val="24"/>
                <w:szCs w:val="24"/>
              </w:rPr>
              <w:t xml:space="preserve">Current policy on co-ops </w:t>
            </w:r>
          </w:p>
          <w:p w:rsidR="000A6023" w:rsidRPr="00F946DA" w:rsidRDefault="000679D2" w:rsidP="00517CC0">
            <w:pPr>
              <w:rPr>
                <w:rFonts w:ascii="Arial" w:hAnsi="Arial" w:cs="Arial"/>
                <w:sz w:val="24"/>
                <w:szCs w:val="24"/>
              </w:rPr>
            </w:pPr>
            <w:r w:rsidRPr="00F946DA">
              <w:rPr>
                <w:rFonts w:ascii="Arial" w:hAnsi="Arial" w:cs="Arial"/>
                <w:sz w:val="24"/>
                <w:szCs w:val="24"/>
              </w:rPr>
              <w:t>Hexagon’s current position is that we will continue to support</w:t>
            </w:r>
            <w:r w:rsidR="00517CC0" w:rsidRPr="00F946DA">
              <w:rPr>
                <w:rFonts w:ascii="Arial" w:hAnsi="Arial" w:cs="Arial"/>
                <w:sz w:val="24"/>
                <w:szCs w:val="24"/>
              </w:rPr>
              <w:t xml:space="preserve"> our co</w:t>
            </w:r>
            <w:r w:rsidRPr="00F946DA">
              <w:rPr>
                <w:rFonts w:ascii="Arial" w:hAnsi="Arial" w:cs="Arial"/>
                <w:sz w:val="24"/>
                <w:szCs w:val="24"/>
              </w:rPr>
              <w:t xml:space="preserve">-ops </w:t>
            </w:r>
            <w:r w:rsidR="00517CC0" w:rsidRPr="00F946DA">
              <w:rPr>
                <w:rFonts w:ascii="Arial" w:hAnsi="Arial" w:cs="Arial"/>
                <w:sz w:val="24"/>
                <w:szCs w:val="24"/>
              </w:rPr>
              <w:t xml:space="preserve">providing they are well-run </w:t>
            </w:r>
            <w:r w:rsidRPr="00F946DA">
              <w:rPr>
                <w:rFonts w:ascii="Arial" w:hAnsi="Arial" w:cs="Arial"/>
                <w:sz w:val="24"/>
                <w:szCs w:val="24"/>
              </w:rPr>
              <w:t>but we do not proactively seek to promote the development of new co-ops</w:t>
            </w:r>
            <w:r w:rsidR="00517CC0" w:rsidRPr="00F946DA">
              <w:rPr>
                <w:rFonts w:ascii="Arial" w:hAnsi="Arial" w:cs="Arial"/>
                <w:sz w:val="24"/>
                <w:szCs w:val="24"/>
              </w:rPr>
              <w:t xml:space="preserve">. </w:t>
            </w:r>
            <w:r w:rsidR="001E6150" w:rsidRPr="00F946DA">
              <w:rPr>
                <w:rFonts w:ascii="Arial" w:hAnsi="Arial" w:cs="Arial"/>
                <w:sz w:val="24"/>
                <w:szCs w:val="24"/>
              </w:rPr>
              <w:t xml:space="preserve">This is largely based on the failure rate in the late 90s and early 2000’s plus the </w:t>
            </w:r>
            <w:r w:rsidR="00EA1FC6">
              <w:rPr>
                <w:rFonts w:ascii="Arial" w:hAnsi="Arial" w:cs="Arial"/>
                <w:sz w:val="24"/>
                <w:szCs w:val="24"/>
              </w:rPr>
              <w:t xml:space="preserve">very high </w:t>
            </w:r>
            <w:r w:rsidR="001E6150" w:rsidRPr="00F946DA">
              <w:rPr>
                <w:rFonts w:ascii="Arial" w:hAnsi="Arial" w:cs="Arial"/>
                <w:sz w:val="24"/>
                <w:szCs w:val="24"/>
              </w:rPr>
              <w:t xml:space="preserve">cost of doing so. </w:t>
            </w:r>
            <w:r w:rsidR="00EA1FC6">
              <w:rPr>
                <w:rFonts w:ascii="Arial" w:hAnsi="Arial" w:cs="Arial"/>
                <w:sz w:val="24"/>
                <w:szCs w:val="24"/>
              </w:rPr>
              <w:t xml:space="preserve">For example, £32k of staff time was budgeted to be spent on a single co-op, the </w:t>
            </w:r>
            <w:proofErr w:type="spellStart"/>
            <w:r w:rsidR="00EA1FC6">
              <w:rPr>
                <w:rFonts w:ascii="Arial" w:hAnsi="Arial" w:cs="Arial"/>
                <w:sz w:val="24"/>
                <w:szCs w:val="24"/>
              </w:rPr>
              <w:t>CroyTMO</w:t>
            </w:r>
            <w:proofErr w:type="spellEnd"/>
            <w:r w:rsidR="00EA1FC6">
              <w:rPr>
                <w:rFonts w:ascii="Arial" w:hAnsi="Arial" w:cs="Arial"/>
                <w:sz w:val="24"/>
                <w:szCs w:val="24"/>
              </w:rPr>
              <w:t xml:space="preserve"> in 2001, and as it turned out this was the year in which it decided not to continue. </w:t>
            </w:r>
            <w:r w:rsidR="00517CC0" w:rsidRPr="00F946DA">
              <w:rPr>
                <w:rFonts w:ascii="Arial" w:hAnsi="Arial" w:cs="Arial"/>
                <w:sz w:val="24"/>
                <w:szCs w:val="24"/>
              </w:rPr>
              <w:t xml:space="preserve">However, we take the view that we would consider any proposal from a group of residents to form a co-operative.  </w:t>
            </w:r>
          </w:p>
          <w:p w:rsidR="001023A8" w:rsidRPr="00F946DA" w:rsidRDefault="00517CC0" w:rsidP="00517CC0">
            <w:pPr>
              <w:rPr>
                <w:rFonts w:ascii="Arial" w:hAnsi="Arial" w:cs="Arial"/>
                <w:sz w:val="24"/>
                <w:szCs w:val="24"/>
              </w:rPr>
            </w:pPr>
            <w:r w:rsidRPr="00F946DA">
              <w:rPr>
                <w:rFonts w:ascii="Arial" w:hAnsi="Arial" w:cs="Arial"/>
                <w:sz w:val="24"/>
                <w:szCs w:val="24"/>
              </w:rPr>
              <w:t xml:space="preserve">We monitor the Co-ops and provide Housing management and governance advice where required. We also have a role in managing the major repairs required to co-op properties. </w:t>
            </w:r>
          </w:p>
          <w:p w:rsidR="00517CC0" w:rsidRPr="00F946DA" w:rsidRDefault="00517CC0" w:rsidP="00517CC0">
            <w:pPr>
              <w:rPr>
                <w:rFonts w:ascii="Arial" w:hAnsi="Arial" w:cs="Arial"/>
                <w:sz w:val="24"/>
                <w:szCs w:val="24"/>
              </w:rPr>
            </w:pPr>
          </w:p>
        </w:tc>
      </w:tr>
      <w:tr w:rsidR="001023A8" w:rsidRPr="00F946DA" w:rsidTr="00D2355C">
        <w:tc>
          <w:tcPr>
            <w:tcW w:w="817" w:type="dxa"/>
          </w:tcPr>
          <w:p w:rsidR="001023A8" w:rsidRPr="00F946DA" w:rsidRDefault="00517CC0">
            <w:pPr>
              <w:rPr>
                <w:rFonts w:ascii="Arial" w:hAnsi="Arial" w:cs="Arial"/>
                <w:sz w:val="24"/>
                <w:szCs w:val="24"/>
              </w:rPr>
            </w:pPr>
            <w:r w:rsidRPr="00F946DA">
              <w:rPr>
                <w:rFonts w:ascii="Arial" w:hAnsi="Arial" w:cs="Arial"/>
                <w:sz w:val="24"/>
                <w:szCs w:val="24"/>
              </w:rPr>
              <w:t xml:space="preserve">6.3 </w:t>
            </w:r>
          </w:p>
        </w:tc>
        <w:tc>
          <w:tcPr>
            <w:tcW w:w="8425" w:type="dxa"/>
          </w:tcPr>
          <w:p w:rsidR="001023A8" w:rsidRPr="00F946DA" w:rsidRDefault="00517CC0">
            <w:pPr>
              <w:rPr>
                <w:rFonts w:ascii="Arial" w:hAnsi="Arial" w:cs="Arial"/>
                <w:sz w:val="24"/>
                <w:szCs w:val="24"/>
              </w:rPr>
            </w:pPr>
            <w:r w:rsidRPr="00F946DA">
              <w:rPr>
                <w:rFonts w:ascii="Arial" w:hAnsi="Arial" w:cs="Arial"/>
                <w:sz w:val="24"/>
                <w:szCs w:val="24"/>
              </w:rPr>
              <w:t>The arguments against changing our stance are as follows:</w:t>
            </w:r>
          </w:p>
          <w:p w:rsidR="00517CC0" w:rsidRPr="00F946DA" w:rsidRDefault="00517CC0" w:rsidP="00517CC0">
            <w:pPr>
              <w:pStyle w:val="ListParagraph"/>
              <w:numPr>
                <w:ilvl w:val="0"/>
                <w:numId w:val="5"/>
              </w:numPr>
              <w:rPr>
                <w:rFonts w:ascii="Arial" w:hAnsi="Arial" w:cs="Arial"/>
                <w:sz w:val="24"/>
                <w:szCs w:val="24"/>
              </w:rPr>
            </w:pPr>
            <w:r w:rsidRPr="00F946DA">
              <w:rPr>
                <w:rFonts w:ascii="Arial" w:hAnsi="Arial" w:cs="Arial"/>
                <w:sz w:val="24"/>
                <w:szCs w:val="24"/>
              </w:rPr>
              <w:t>There is no apparent drive or demand from residents to set up co-ops</w:t>
            </w:r>
          </w:p>
          <w:p w:rsidR="00517CC0" w:rsidRPr="00F946DA" w:rsidRDefault="00517CC0" w:rsidP="00517CC0">
            <w:pPr>
              <w:pStyle w:val="ListParagraph"/>
              <w:numPr>
                <w:ilvl w:val="0"/>
                <w:numId w:val="5"/>
              </w:numPr>
              <w:rPr>
                <w:rFonts w:ascii="Arial" w:hAnsi="Arial" w:cs="Arial"/>
                <w:sz w:val="24"/>
                <w:szCs w:val="24"/>
              </w:rPr>
            </w:pPr>
            <w:r w:rsidRPr="00F946DA">
              <w:rPr>
                <w:rFonts w:ascii="Arial" w:hAnsi="Arial" w:cs="Arial"/>
                <w:sz w:val="24"/>
                <w:szCs w:val="24"/>
              </w:rPr>
              <w:t xml:space="preserve">Our co-ops sometimes complain to us about the low level of involvement in running the co-op by some of their newer residents, leaving a few long-standing members to do all the work. Some have had  intermittent issues with low attendance and sometimes inquorate general meetings </w:t>
            </w:r>
          </w:p>
          <w:p w:rsidR="00517CC0" w:rsidRPr="00F946DA" w:rsidRDefault="00D42624" w:rsidP="00517CC0">
            <w:pPr>
              <w:pStyle w:val="ListParagraph"/>
              <w:numPr>
                <w:ilvl w:val="0"/>
                <w:numId w:val="5"/>
              </w:numPr>
              <w:rPr>
                <w:rFonts w:ascii="Arial" w:hAnsi="Arial" w:cs="Arial"/>
                <w:sz w:val="24"/>
                <w:szCs w:val="24"/>
              </w:rPr>
            </w:pPr>
            <w:r w:rsidRPr="00F946DA">
              <w:rPr>
                <w:rFonts w:ascii="Arial" w:hAnsi="Arial" w:cs="Arial"/>
                <w:sz w:val="24"/>
                <w:szCs w:val="24"/>
              </w:rPr>
              <w:t xml:space="preserve">There would be a risk of diverting our resources into promoting a co-op for a relatively small number of potential beneficiaries. </w:t>
            </w:r>
            <w:r w:rsidR="00517CC0" w:rsidRPr="00F946DA">
              <w:rPr>
                <w:rFonts w:ascii="Arial" w:hAnsi="Arial" w:cs="Arial"/>
                <w:sz w:val="24"/>
                <w:szCs w:val="24"/>
              </w:rPr>
              <w:t xml:space="preserve">Promoting and developing a co-op to be able to set up and run itself is very time-consuming, intensive work </w:t>
            </w:r>
            <w:r w:rsidR="00AE2250" w:rsidRPr="00F946DA">
              <w:rPr>
                <w:rFonts w:ascii="Arial" w:hAnsi="Arial" w:cs="Arial"/>
                <w:sz w:val="24"/>
                <w:szCs w:val="24"/>
              </w:rPr>
              <w:t xml:space="preserve">and is probably best done by people with considerable experience in the field. We are not geared up to do this sort of work now. There is no external funding to do it, and we are entering into a period when our income will gradually reduce over the next few years and we are looking for efficiency savings. </w:t>
            </w:r>
            <w:r>
              <w:rPr>
                <w:rFonts w:ascii="Arial" w:hAnsi="Arial" w:cs="Arial"/>
                <w:sz w:val="24"/>
                <w:szCs w:val="24"/>
              </w:rPr>
              <w:t>As set out in section 3.3,</w:t>
            </w:r>
            <w:r w:rsidRPr="00F946DA">
              <w:rPr>
                <w:rFonts w:ascii="Arial" w:hAnsi="Arial" w:cs="Arial"/>
                <w:sz w:val="24"/>
                <w:szCs w:val="24"/>
              </w:rPr>
              <w:t xml:space="preserve"> </w:t>
            </w:r>
            <w:r>
              <w:rPr>
                <w:rFonts w:ascii="Arial" w:hAnsi="Arial" w:cs="Arial"/>
                <w:sz w:val="24"/>
                <w:szCs w:val="24"/>
              </w:rPr>
              <w:t>w</w:t>
            </w:r>
            <w:r w:rsidR="00AE2250" w:rsidRPr="00F946DA">
              <w:rPr>
                <w:rFonts w:ascii="Arial" w:hAnsi="Arial" w:cs="Arial"/>
                <w:sz w:val="24"/>
                <w:szCs w:val="24"/>
              </w:rPr>
              <w:t xml:space="preserve">hen our former Co-ops and Tenant Services team did this sort of work more than </w:t>
            </w:r>
            <w:r w:rsidR="00EA1FC6">
              <w:rPr>
                <w:rFonts w:ascii="Arial" w:hAnsi="Arial" w:cs="Arial"/>
                <w:sz w:val="24"/>
                <w:szCs w:val="24"/>
              </w:rPr>
              <w:t xml:space="preserve">fifteen </w:t>
            </w:r>
            <w:r w:rsidR="00AE2250" w:rsidRPr="00F946DA">
              <w:rPr>
                <w:rFonts w:ascii="Arial" w:hAnsi="Arial" w:cs="Arial"/>
                <w:sz w:val="24"/>
                <w:szCs w:val="24"/>
              </w:rPr>
              <w:t>years ago, they were not providing support to our mainstream resident involvement activities which have developed with a new team since we stopped promoting co-ops</w:t>
            </w:r>
            <w:r>
              <w:rPr>
                <w:rFonts w:ascii="Arial" w:hAnsi="Arial" w:cs="Arial"/>
                <w:sz w:val="24"/>
                <w:szCs w:val="24"/>
              </w:rPr>
              <w:t>.</w:t>
            </w:r>
          </w:p>
          <w:p w:rsidR="00AE2250" w:rsidRPr="00F946DA" w:rsidRDefault="00AE2250" w:rsidP="00517CC0">
            <w:pPr>
              <w:pStyle w:val="ListParagraph"/>
              <w:numPr>
                <w:ilvl w:val="0"/>
                <w:numId w:val="5"/>
              </w:numPr>
              <w:rPr>
                <w:rFonts w:ascii="Arial" w:hAnsi="Arial" w:cs="Arial"/>
                <w:sz w:val="24"/>
                <w:szCs w:val="24"/>
              </w:rPr>
            </w:pPr>
            <w:r w:rsidRPr="00F946DA">
              <w:rPr>
                <w:rFonts w:ascii="Arial" w:hAnsi="Arial" w:cs="Arial"/>
                <w:sz w:val="24"/>
                <w:szCs w:val="24"/>
              </w:rPr>
              <w:t xml:space="preserve">Having </w:t>
            </w:r>
            <w:r w:rsidR="00EA1FC6">
              <w:rPr>
                <w:rFonts w:ascii="Arial" w:hAnsi="Arial" w:cs="Arial"/>
                <w:sz w:val="24"/>
                <w:szCs w:val="24"/>
              </w:rPr>
              <w:t>nearly 300</w:t>
            </w:r>
            <w:r w:rsidRPr="00F946DA">
              <w:rPr>
                <w:rFonts w:ascii="Arial" w:hAnsi="Arial" w:cs="Arial"/>
                <w:sz w:val="24"/>
                <w:szCs w:val="24"/>
              </w:rPr>
              <w:t xml:space="preserve"> of our homes managed by co-operatives brings an added layer of complexity </w:t>
            </w:r>
            <w:r w:rsidR="00687D00">
              <w:rPr>
                <w:rFonts w:ascii="Arial" w:hAnsi="Arial" w:cs="Arial"/>
                <w:sz w:val="24"/>
                <w:szCs w:val="24"/>
              </w:rPr>
              <w:t xml:space="preserve">(and therefore cost) </w:t>
            </w:r>
            <w:r w:rsidRPr="00F946DA">
              <w:rPr>
                <w:rFonts w:ascii="Arial" w:hAnsi="Arial" w:cs="Arial"/>
                <w:sz w:val="24"/>
                <w:szCs w:val="24"/>
              </w:rPr>
              <w:t>to our work</w:t>
            </w:r>
            <w:r w:rsidR="00687D00">
              <w:rPr>
                <w:rFonts w:ascii="Arial" w:hAnsi="Arial" w:cs="Arial"/>
                <w:sz w:val="24"/>
                <w:szCs w:val="24"/>
              </w:rPr>
              <w:t xml:space="preserve"> across several departments – mainly in Housing Services and Resident Involvement, Stock Improvement, Finance and IT. </w:t>
            </w:r>
            <w:r w:rsidRPr="00F946DA">
              <w:rPr>
                <w:rFonts w:ascii="Arial" w:hAnsi="Arial" w:cs="Arial"/>
                <w:sz w:val="24"/>
                <w:szCs w:val="24"/>
              </w:rPr>
              <w:t xml:space="preserve"> This results from the monitoring arrangements, the split responsibilities for repairs, and the need for exceptions to some of our policies to accommodate the co-op position on for example, “affordable” rents, </w:t>
            </w:r>
            <w:r w:rsidR="00EA1FC6">
              <w:rPr>
                <w:rFonts w:ascii="Arial" w:hAnsi="Arial" w:cs="Arial"/>
                <w:sz w:val="24"/>
                <w:szCs w:val="24"/>
              </w:rPr>
              <w:t xml:space="preserve">and </w:t>
            </w:r>
            <w:r w:rsidRPr="00F946DA">
              <w:rPr>
                <w:rFonts w:ascii="Arial" w:hAnsi="Arial" w:cs="Arial"/>
                <w:sz w:val="24"/>
                <w:szCs w:val="24"/>
              </w:rPr>
              <w:t xml:space="preserve">asset management especially in relation to disposals. </w:t>
            </w:r>
          </w:p>
          <w:p w:rsidR="006D19B8" w:rsidRPr="00F946DA" w:rsidRDefault="006D19B8" w:rsidP="006D19B8">
            <w:pPr>
              <w:pStyle w:val="ListParagraph"/>
              <w:numPr>
                <w:ilvl w:val="0"/>
                <w:numId w:val="5"/>
              </w:numPr>
              <w:rPr>
                <w:rFonts w:ascii="Arial" w:hAnsi="Arial" w:cs="Arial"/>
                <w:sz w:val="24"/>
                <w:szCs w:val="24"/>
              </w:rPr>
            </w:pPr>
            <w:r w:rsidRPr="00F946DA">
              <w:rPr>
                <w:rFonts w:ascii="Arial" w:hAnsi="Arial" w:cs="Arial"/>
                <w:sz w:val="24"/>
                <w:szCs w:val="24"/>
              </w:rPr>
              <w:t>Very small co-ops usually cannot afford to employ</w:t>
            </w:r>
            <w:r w:rsidR="00EA1FC6">
              <w:rPr>
                <w:rFonts w:ascii="Arial" w:hAnsi="Arial" w:cs="Arial"/>
                <w:sz w:val="24"/>
                <w:szCs w:val="24"/>
              </w:rPr>
              <w:t xml:space="preserve"> professional housing managers </w:t>
            </w:r>
            <w:r w:rsidRPr="00F946DA">
              <w:rPr>
                <w:rFonts w:ascii="Arial" w:hAnsi="Arial" w:cs="Arial"/>
                <w:sz w:val="24"/>
                <w:szCs w:val="24"/>
              </w:rPr>
              <w:t xml:space="preserve">and the lack of this skill poses an increased risk of service failures or a lack of </w:t>
            </w:r>
            <w:r w:rsidR="00EA1FC6">
              <w:rPr>
                <w:rFonts w:ascii="Arial" w:hAnsi="Arial" w:cs="Arial"/>
                <w:sz w:val="24"/>
                <w:szCs w:val="24"/>
              </w:rPr>
              <w:t xml:space="preserve">appropriate </w:t>
            </w:r>
            <w:r w:rsidR="00D42624" w:rsidRPr="00F946DA">
              <w:rPr>
                <w:rFonts w:ascii="Arial" w:hAnsi="Arial" w:cs="Arial"/>
                <w:sz w:val="24"/>
                <w:szCs w:val="24"/>
              </w:rPr>
              <w:t>response.</w:t>
            </w:r>
          </w:p>
          <w:p w:rsidR="00AE2250" w:rsidRPr="00F946DA" w:rsidRDefault="006D19B8" w:rsidP="000A6023">
            <w:pPr>
              <w:pStyle w:val="ListParagraph"/>
              <w:rPr>
                <w:rFonts w:ascii="Arial" w:hAnsi="Arial" w:cs="Arial"/>
                <w:sz w:val="24"/>
                <w:szCs w:val="24"/>
              </w:rPr>
            </w:pPr>
            <w:r w:rsidRPr="00F946DA">
              <w:rPr>
                <w:rFonts w:ascii="Arial" w:hAnsi="Arial" w:cs="Arial"/>
                <w:sz w:val="24"/>
                <w:szCs w:val="24"/>
              </w:rPr>
              <w:t xml:space="preserve"> </w:t>
            </w:r>
          </w:p>
        </w:tc>
      </w:tr>
      <w:tr w:rsidR="001023A8" w:rsidRPr="00F946DA" w:rsidTr="00D2355C">
        <w:tc>
          <w:tcPr>
            <w:tcW w:w="817" w:type="dxa"/>
          </w:tcPr>
          <w:p w:rsidR="001023A8" w:rsidRPr="00F946DA" w:rsidRDefault="006D19B8">
            <w:pPr>
              <w:rPr>
                <w:rFonts w:ascii="Arial" w:hAnsi="Arial" w:cs="Arial"/>
                <w:sz w:val="24"/>
                <w:szCs w:val="24"/>
              </w:rPr>
            </w:pPr>
            <w:r w:rsidRPr="00F946DA">
              <w:rPr>
                <w:rFonts w:ascii="Arial" w:hAnsi="Arial" w:cs="Arial"/>
                <w:sz w:val="24"/>
                <w:szCs w:val="24"/>
              </w:rPr>
              <w:t xml:space="preserve">6.4 </w:t>
            </w:r>
          </w:p>
        </w:tc>
        <w:tc>
          <w:tcPr>
            <w:tcW w:w="8425" w:type="dxa"/>
          </w:tcPr>
          <w:p w:rsidR="001023A8" w:rsidRPr="00F946DA" w:rsidRDefault="006D19B8" w:rsidP="00687D00">
            <w:pPr>
              <w:rPr>
                <w:rFonts w:ascii="Arial" w:hAnsi="Arial" w:cs="Arial"/>
                <w:sz w:val="24"/>
                <w:szCs w:val="24"/>
              </w:rPr>
            </w:pPr>
            <w:r w:rsidRPr="00F946DA">
              <w:rPr>
                <w:rFonts w:ascii="Arial" w:hAnsi="Arial" w:cs="Arial"/>
                <w:sz w:val="24"/>
                <w:szCs w:val="24"/>
              </w:rPr>
              <w:t xml:space="preserve">The Board is </w:t>
            </w:r>
            <w:r w:rsidR="003A6302" w:rsidRPr="00F946DA">
              <w:rPr>
                <w:rFonts w:ascii="Arial" w:hAnsi="Arial" w:cs="Arial"/>
                <w:sz w:val="24"/>
                <w:szCs w:val="24"/>
              </w:rPr>
              <w:t>asked to d</w:t>
            </w:r>
            <w:r w:rsidR="00687D00">
              <w:rPr>
                <w:rFonts w:ascii="Arial" w:hAnsi="Arial" w:cs="Arial"/>
                <w:sz w:val="24"/>
                <w:szCs w:val="24"/>
              </w:rPr>
              <w:t xml:space="preserve">iscuss and comment on the report at this stage. Following this, a recommendation will be made in the Chief Executive’s report to the March Board on the way forward. </w:t>
            </w:r>
          </w:p>
        </w:tc>
      </w:tr>
    </w:tbl>
    <w:p w:rsidR="001023A8" w:rsidRPr="00F946DA" w:rsidRDefault="001023A8">
      <w:pPr>
        <w:rPr>
          <w:rFonts w:ascii="Arial" w:hAnsi="Arial" w:cs="Arial"/>
          <w:sz w:val="24"/>
          <w:szCs w:val="24"/>
        </w:rPr>
      </w:pPr>
    </w:p>
    <w:p w:rsidR="003A2A5D" w:rsidRPr="003218A8" w:rsidRDefault="003A2A5D" w:rsidP="003218A8">
      <w:pPr>
        <w:rPr>
          <w:rFonts w:ascii="Arial" w:hAnsi="Arial" w:cs="Arial"/>
          <w:sz w:val="24"/>
          <w:szCs w:val="24"/>
        </w:rPr>
      </w:pPr>
      <w:bookmarkStart w:id="0" w:name="_GoBack"/>
      <w:bookmarkEnd w:id="0"/>
    </w:p>
    <w:sectPr w:rsidR="003A2A5D" w:rsidRPr="003218A8" w:rsidSect="002D37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D2" w:rsidRDefault="00961FD2" w:rsidP="00B87B2D">
      <w:pPr>
        <w:spacing w:after="0" w:line="240" w:lineRule="auto"/>
      </w:pPr>
      <w:r>
        <w:separator/>
      </w:r>
    </w:p>
  </w:endnote>
  <w:endnote w:type="continuationSeparator" w:id="0">
    <w:p w:rsidR="00961FD2" w:rsidRDefault="00961FD2" w:rsidP="00B8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2D" w:rsidRPr="00B87B2D" w:rsidRDefault="00B87B2D">
    <w:pPr>
      <w:pStyle w:val="Footer"/>
      <w:pBdr>
        <w:top w:val="thinThickSmallGap" w:sz="24" w:space="1" w:color="622423" w:themeColor="accent2" w:themeShade="7F"/>
      </w:pBdr>
      <w:rPr>
        <w:rFonts w:ascii="Arial" w:eastAsiaTheme="majorEastAsia" w:hAnsi="Arial" w:cs="Arial"/>
        <w:sz w:val="20"/>
        <w:szCs w:val="20"/>
      </w:rPr>
    </w:pPr>
    <w:r w:rsidRPr="00B87B2D">
      <w:rPr>
        <w:rFonts w:ascii="Arial" w:eastAsiaTheme="majorEastAsia" w:hAnsi="Arial" w:cs="Arial"/>
        <w:sz w:val="20"/>
        <w:szCs w:val="20"/>
      </w:rPr>
      <w:t xml:space="preserve">Policy on co-operative development- Board January 2016 </w:t>
    </w:r>
    <w:r w:rsidRPr="00B87B2D">
      <w:rPr>
        <w:rFonts w:ascii="Arial" w:eastAsiaTheme="majorEastAsia" w:hAnsi="Arial" w:cs="Arial"/>
        <w:sz w:val="20"/>
        <w:szCs w:val="20"/>
      </w:rPr>
      <w:tab/>
      <w:t xml:space="preserve">Page </w:t>
    </w:r>
    <w:r w:rsidRPr="00B87B2D">
      <w:rPr>
        <w:rFonts w:ascii="Arial" w:eastAsiaTheme="minorEastAsia" w:hAnsi="Arial" w:cs="Arial"/>
        <w:sz w:val="20"/>
        <w:szCs w:val="20"/>
      </w:rPr>
      <w:fldChar w:fldCharType="begin"/>
    </w:r>
    <w:r w:rsidRPr="00B87B2D">
      <w:rPr>
        <w:rFonts w:ascii="Arial" w:hAnsi="Arial" w:cs="Arial"/>
        <w:sz w:val="20"/>
        <w:szCs w:val="20"/>
      </w:rPr>
      <w:instrText xml:space="preserve"> PAGE   \* MERGEFORMAT </w:instrText>
    </w:r>
    <w:r w:rsidRPr="00B87B2D">
      <w:rPr>
        <w:rFonts w:ascii="Arial" w:eastAsiaTheme="minorEastAsia" w:hAnsi="Arial" w:cs="Arial"/>
        <w:sz w:val="20"/>
        <w:szCs w:val="20"/>
      </w:rPr>
      <w:fldChar w:fldCharType="separate"/>
    </w:r>
    <w:r w:rsidR="00CE68C2" w:rsidRPr="00CE68C2">
      <w:rPr>
        <w:rFonts w:ascii="Arial" w:eastAsiaTheme="majorEastAsia" w:hAnsi="Arial" w:cs="Arial"/>
        <w:noProof/>
        <w:sz w:val="20"/>
        <w:szCs w:val="20"/>
      </w:rPr>
      <w:t>7</w:t>
    </w:r>
    <w:r w:rsidRPr="00B87B2D">
      <w:rPr>
        <w:rFonts w:ascii="Arial" w:eastAsiaTheme="majorEastAsia" w:hAnsi="Arial" w:cs="Arial"/>
        <w:noProof/>
        <w:sz w:val="20"/>
        <w:szCs w:val="20"/>
      </w:rPr>
      <w:fldChar w:fldCharType="end"/>
    </w:r>
  </w:p>
  <w:p w:rsidR="00B87B2D" w:rsidRPr="00B87B2D" w:rsidRDefault="00B87B2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D2" w:rsidRDefault="00961FD2" w:rsidP="00B87B2D">
      <w:pPr>
        <w:spacing w:after="0" w:line="240" w:lineRule="auto"/>
      </w:pPr>
      <w:r>
        <w:separator/>
      </w:r>
    </w:p>
  </w:footnote>
  <w:footnote w:type="continuationSeparator" w:id="0">
    <w:p w:rsidR="00961FD2" w:rsidRDefault="00961FD2" w:rsidP="00B8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3CB"/>
    <w:multiLevelType w:val="hybridMultilevel"/>
    <w:tmpl w:val="226291F0"/>
    <w:lvl w:ilvl="0" w:tplc="9614E9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965FD"/>
    <w:multiLevelType w:val="hybridMultilevel"/>
    <w:tmpl w:val="EFD8CC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87C04C0"/>
    <w:multiLevelType w:val="hybridMultilevel"/>
    <w:tmpl w:val="BD9A36F6"/>
    <w:lvl w:ilvl="0" w:tplc="9608512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A5864"/>
    <w:multiLevelType w:val="hybridMultilevel"/>
    <w:tmpl w:val="9696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A1D7A"/>
    <w:multiLevelType w:val="hybridMultilevel"/>
    <w:tmpl w:val="2C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661ED"/>
    <w:multiLevelType w:val="hybridMultilevel"/>
    <w:tmpl w:val="24564CD6"/>
    <w:lvl w:ilvl="0" w:tplc="FFDAED70">
      <w:start w:val="1"/>
      <w:numFmt w:val="bullet"/>
      <w:lvlText w:val="•"/>
      <w:lvlJc w:val="left"/>
      <w:pPr>
        <w:tabs>
          <w:tab w:val="num" w:pos="720"/>
        </w:tabs>
        <w:ind w:left="720" w:hanging="360"/>
      </w:pPr>
      <w:rPr>
        <w:rFonts w:ascii="Arial" w:hAnsi="Arial" w:hint="default"/>
      </w:rPr>
    </w:lvl>
    <w:lvl w:ilvl="1" w:tplc="8F08B130" w:tentative="1">
      <w:start w:val="1"/>
      <w:numFmt w:val="bullet"/>
      <w:lvlText w:val="•"/>
      <w:lvlJc w:val="left"/>
      <w:pPr>
        <w:tabs>
          <w:tab w:val="num" w:pos="1440"/>
        </w:tabs>
        <w:ind w:left="1440" w:hanging="360"/>
      </w:pPr>
      <w:rPr>
        <w:rFonts w:ascii="Arial" w:hAnsi="Arial" w:hint="default"/>
      </w:rPr>
    </w:lvl>
    <w:lvl w:ilvl="2" w:tplc="2DC8B670" w:tentative="1">
      <w:start w:val="1"/>
      <w:numFmt w:val="bullet"/>
      <w:lvlText w:val="•"/>
      <w:lvlJc w:val="left"/>
      <w:pPr>
        <w:tabs>
          <w:tab w:val="num" w:pos="2160"/>
        </w:tabs>
        <w:ind w:left="2160" w:hanging="360"/>
      </w:pPr>
      <w:rPr>
        <w:rFonts w:ascii="Arial" w:hAnsi="Arial" w:hint="default"/>
      </w:rPr>
    </w:lvl>
    <w:lvl w:ilvl="3" w:tplc="53C04D62" w:tentative="1">
      <w:start w:val="1"/>
      <w:numFmt w:val="bullet"/>
      <w:lvlText w:val="•"/>
      <w:lvlJc w:val="left"/>
      <w:pPr>
        <w:tabs>
          <w:tab w:val="num" w:pos="2880"/>
        </w:tabs>
        <w:ind w:left="2880" w:hanging="360"/>
      </w:pPr>
      <w:rPr>
        <w:rFonts w:ascii="Arial" w:hAnsi="Arial" w:hint="default"/>
      </w:rPr>
    </w:lvl>
    <w:lvl w:ilvl="4" w:tplc="240E8854" w:tentative="1">
      <w:start w:val="1"/>
      <w:numFmt w:val="bullet"/>
      <w:lvlText w:val="•"/>
      <w:lvlJc w:val="left"/>
      <w:pPr>
        <w:tabs>
          <w:tab w:val="num" w:pos="3600"/>
        </w:tabs>
        <w:ind w:left="3600" w:hanging="360"/>
      </w:pPr>
      <w:rPr>
        <w:rFonts w:ascii="Arial" w:hAnsi="Arial" w:hint="default"/>
      </w:rPr>
    </w:lvl>
    <w:lvl w:ilvl="5" w:tplc="A7109FA4" w:tentative="1">
      <w:start w:val="1"/>
      <w:numFmt w:val="bullet"/>
      <w:lvlText w:val="•"/>
      <w:lvlJc w:val="left"/>
      <w:pPr>
        <w:tabs>
          <w:tab w:val="num" w:pos="4320"/>
        </w:tabs>
        <w:ind w:left="4320" w:hanging="360"/>
      </w:pPr>
      <w:rPr>
        <w:rFonts w:ascii="Arial" w:hAnsi="Arial" w:hint="default"/>
      </w:rPr>
    </w:lvl>
    <w:lvl w:ilvl="6" w:tplc="BD808B16" w:tentative="1">
      <w:start w:val="1"/>
      <w:numFmt w:val="bullet"/>
      <w:lvlText w:val="•"/>
      <w:lvlJc w:val="left"/>
      <w:pPr>
        <w:tabs>
          <w:tab w:val="num" w:pos="5040"/>
        </w:tabs>
        <w:ind w:left="5040" w:hanging="360"/>
      </w:pPr>
      <w:rPr>
        <w:rFonts w:ascii="Arial" w:hAnsi="Arial" w:hint="default"/>
      </w:rPr>
    </w:lvl>
    <w:lvl w:ilvl="7" w:tplc="47B0B480" w:tentative="1">
      <w:start w:val="1"/>
      <w:numFmt w:val="bullet"/>
      <w:lvlText w:val="•"/>
      <w:lvlJc w:val="left"/>
      <w:pPr>
        <w:tabs>
          <w:tab w:val="num" w:pos="5760"/>
        </w:tabs>
        <w:ind w:left="5760" w:hanging="360"/>
      </w:pPr>
      <w:rPr>
        <w:rFonts w:ascii="Arial" w:hAnsi="Arial" w:hint="default"/>
      </w:rPr>
    </w:lvl>
    <w:lvl w:ilvl="8" w:tplc="29C6E354" w:tentative="1">
      <w:start w:val="1"/>
      <w:numFmt w:val="bullet"/>
      <w:lvlText w:val="•"/>
      <w:lvlJc w:val="left"/>
      <w:pPr>
        <w:tabs>
          <w:tab w:val="num" w:pos="6480"/>
        </w:tabs>
        <w:ind w:left="6480" w:hanging="360"/>
      </w:pPr>
      <w:rPr>
        <w:rFonts w:ascii="Arial" w:hAnsi="Arial" w:hint="default"/>
      </w:rPr>
    </w:lvl>
  </w:abstractNum>
  <w:abstractNum w:abstractNumId="6">
    <w:nsid w:val="70065F0A"/>
    <w:multiLevelType w:val="hybridMultilevel"/>
    <w:tmpl w:val="A97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676550"/>
    <w:multiLevelType w:val="hybridMultilevel"/>
    <w:tmpl w:val="C20E1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8F"/>
    <w:rsid w:val="000679D2"/>
    <w:rsid w:val="000A6023"/>
    <w:rsid w:val="000B6BC7"/>
    <w:rsid w:val="000C3E94"/>
    <w:rsid w:val="001023A8"/>
    <w:rsid w:val="00122590"/>
    <w:rsid w:val="00171C11"/>
    <w:rsid w:val="001739CE"/>
    <w:rsid w:val="001C2135"/>
    <w:rsid w:val="001E6150"/>
    <w:rsid w:val="002130D1"/>
    <w:rsid w:val="0021670E"/>
    <w:rsid w:val="002408D0"/>
    <w:rsid w:val="0025164B"/>
    <w:rsid w:val="0029057D"/>
    <w:rsid w:val="002A771B"/>
    <w:rsid w:val="002D3795"/>
    <w:rsid w:val="003218A8"/>
    <w:rsid w:val="00330064"/>
    <w:rsid w:val="0036733C"/>
    <w:rsid w:val="003A2A5D"/>
    <w:rsid w:val="003A6302"/>
    <w:rsid w:val="004077FC"/>
    <w:rsid w:val="00450388"/>
    <w:rsid w:val="004C5F14"/>
    <w:rsid w:val="004E279C"/>
    <w:rsid w:val="004F176A"/>
    <w:rsid w:val="004F2BC7"/>
    <w:rsid w:val="00517CC0"/>
    <w:rsid w:val="00526FFD"/>
    <w:rsid w:val="00543E9A"/>
    <w:rsid w:val="00565619"/>
    <w:rsid w:val="005A3198"/>
    <w:rsid w:val="005F56F1"/>
    <w:rsid w:val="0062398F"/>
    <w:rsid w:val="00687D00"/>
    <w:rsid w:val="006B75E1"/>
    <w:rsid w:val="006D19B8"/>
    <w:rsid w:val="00761E42"/>
    <w:rsid w:val="007A0B29"/>
    <w:rsid w:val="007B5CB6"/>
    <w:rsid w:val="00852412"/>
    <w:rsid w:val="00961FD2"/>
    <w:rsid w:val="00967BFC"/>
    <w:rsid w:val="009D3714"/>
    <w:rsid w:val="00A018A3"/>
    <w:rsid w:val="00A96CA9"/>
    <w:rsid w:val="00AE2250"/>
    <w:rsid w:val="00B12079"/>
    <w:rsid w:val="00B677CB"/>
    <w:rsid w:val="00B71FFC"/>
    <w:rsid w:val="00B87B2D"/>
    <w:rsid w:val="00C30849"/>
    <w:rsid w:val="00C62EC9"/>
    <w:rsid w:val="00C66505"/>
    <w:rsid w:val="00C85FE8"/>
    <w:rsid w:val="00CB6D54"/>
    <w:rsid w:val="00CD16E4"/>
    <w:rsid w:val="00CD3D17"/>
    <w:rsid w:val="00CE68C2"/>
    <w:rsid w:val="00D2355C"/>
    <w:rsid w:val="00D30713"/>
    <w:rsid w:val="00D42624"/>
    <w:rsid w:val="00D51985"/>
    <w:rsid w:val="00D56BD9"/>
    <w:rsid w:val="00D755DC"/>
    <w:rsid w:val="00DD3194"/>
    <w:rsid w:val="00EA1FC6"/>
    <w:rsid w:val="00F1365A"/>
    <w:rsid w:val="00F7765D"/>
    <w:rsid w:val="00F9404D"/>
    <w:rsid w:val="00F9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8F"/>
    <w:pPr>
      <w:ind w:left="720"/>
      <w:contextualSpacing/>
    </w:pPr>
  </w:style>
  <w:style w:type="table" w:styleId="TableGrid">
    <w:name w:val="Table Grid"/>
    <w:basedOn w:val="TableNormal"/>
    <w:uiPriority w:val="59"/>
    <w:rsid w:val="0010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2D"/>
  </w:style>
  <w:style w:type="paragraph" w:styleId="Footer">
    <w:name w:val="footer"/>
    <w:basedOn w:val="Normal"/>
    <w:link w:val="FooterChar"/>
    <w:uiPriority w:val="99"/>
    <w:unhideWhenUsed/>
    <w:rsid w:val="00B8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2D"/>
  </w:style>
  <w:style w:type="paragraph" w:styleId="BalloonText">
    <w:name w:val="Balloon Text"/>
    <w:basedOn w:val="Normal"/>
    <w:link w:val="BalloonTextChar"/>
    <w:uiPriority w:val="99"/>
    <w:semiHidden/>
    <w:unhideWhenUsed/>
    <w:rsid w:val="00B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8F"/>
    <w:pPr>
      <w:ind w:left="720"/>
      <w:contextualSpacing/>
    </w:pPr>
  </w:style>
  <w:style w:type="table" w:styleId="TableGrid">
    <w:name w:val="Table Grid"/>
    <w:basedOn w:val="TableNormal"/>
    <w:uiPriority w:val="59"/>
    <w:rsid w:val="0010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2D"/>
  </w:style>
  <w:style w:type="paragraph" w:styleId="Footer">
    <w:name w:val="footer"/>
    <w:basedOn w:val="Normal"/>
    <w:link w:val="FooterChar"/>
    <w:uiPriority w:val="99"/>
    <w:unhideWhenUsed/>
    <w:rsid w:val="00B8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2D"/>
  </w:style>
  <w:style w:type="paragraph" w:styleId="BalloonText">
    <w:name w:val="Balloon Text"/>
    <w:basedOn w:val="Normal"/>
    <w:link w:val="BalloonTextChar"/>
    <w:uiPriority w:val="99"/>
    <w:semiHidden/>
    <w:unhideWhenUsed/>
    <w:rsid w:val="00B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1928">
      <w:bodyDiv w:val="1"/>
      <w:marLeft w:val="0"/>
      <w:marRight w:val="0"/>
      <w:marTop w:val="0"/>
      <w:marBottom w:val="0"/>
      <w:divBdr>
        <w:top w:val="none" w:sz="0" w:space="0" w:color="auto"/>
        <w:left w:val="none" w:sz="0" w:space="0" w:color="auto"/>
        <w:bottom w:val="none" w:sz="0" w:space="0" w:color="auto"/>
        <w:right w:val="none" w:sz="0" w:space="0" w:color="auto"/>
      </w:divBdr>
    </w:div>
    <w:div w:id="940793813">
      <w:bodyDiv w:val="1"/>
      <w:marLeft w:val="0"/>
      <w:marRight w:val="0"/>
      <w:marTop w:val="0"/>
      <w:marBottom w:val="0"/>
      <w:divBdr>
        <w:top w:val="none" w:sz="0" w:space="0" w:color="auto"/>
        <w:left w:val="none" w:sz="0" w:space="0" w:color="auto"/>
        <w:bottom w:val="none" w:sz="0" w:space="0" w:color="auto"/>
        <w:right w:val="none" w:sz="0" w:space="0" w:color="auto"/>
      </w:divBdr>
    </w:div>
    <w:div w:id="1491209523">
      <w:bodyDiv w:val="1"/>
      <w:marLeft w:val="0"/>
      <w:marRight w:val="0"/>
      <w:marTop w:val="0"/>
      <w:marBottom w:val="0"/>
      <w:divBdr>
        <w:top w:val="none" w:sz="0" w:space="0" w:color="auto"/>
        <w:left w:val="none" w:sz="0" w:space="0" w:color="auto"/>
        <w:bottom w:val="none" w:sz="0" w:space="0" w:color="auto"/>
        <w:right w:val="none" w:sz="0" w:space="0" w:color="auto"/>
      </w:divBdr>
    </w:div>
    <w:div w:id="1955550230">
      <w:bodyDiv w:val="1"/>
      <w:marLeft w:val="0"/>
      <w:marRight w:val="0"/>
      <w:marTop w:val="0"/>
      <w:marBottom w:val="0"/>
      <w:divBdr>
        <w:top w:val="none" w:sz="0" w:space="0" w:color="auto"/>
        <w:left w:val="none" w:sz="0" w:space="0" w:color="auto"/>
        <w:bottom w:val="none" w:sz="0" w:space="0" w:color="auto"/>
        <w:right w:val="none" w:sz="0" w:space="0" w:color="auto"/>
      </w:divBdr>
    </w:div>
    <w:div w:id="20905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Valerie Sharpe</cp:lastModifiedBy>
  <cp:revision>3</cp:revision>
  <cp:lastPrinted>2016-01-18T10:10:00Z</cp:lastPrinted>
  <dcterms:created xsi:type="dcterms:W3CDTF">2016-01-11T15:20:00Z</dcterms:created>
  <dcterms:modified xsi:type="dcterms:W3CDTF">2016-01-18T10:10:00Z</dcterms:modified>
</cp:coreProperties>
</file>