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4C" w:rsidRPr="00DC1631" w:rsidRDefault="00C2284C" w:rsidP="00C2284C">
      <w:pPr>
        <w:jc w:val="both"/>
        <w:rPr>
          <w:rFonts w:ascii="Arial" w:hAnsi="Arial"/>
          <w:b/>
          <w:sz w:val="24"/>
          <w:u w:val="single"/>
        </w:rPr>
      </w:pPr>
      <w:bookmarkStart w:id="0" w:name="_GoBack"/>
      <w:bookmarkEnd w:id="0"/>
      <w:r w:rsidRPr="00DC1631">
        <w:rPr>
          <w:rFonts w:ascii="Arial" w:hAnsi="Arial"/>
          <w:b/>
          <w:sz w:val="24"/>
          <w:u w:val="single"/>
        </w:rPr>
        <w:t xml:space="preserve">Appendix 1 to support Management Accounts for </w:t>
      </w:r>
      <w:r>
        <w:rPr>
          <w:rFonts w:ascii="Arial" w:hAnsi="Arial"/>
          <w:b/>
          <w:sz w:val="24"/>
          <w:u w:val="single"/>
        </w:rPr>
        <w:t xml:space="preserve">Period </w:t>
      </w:r>
      <w:r w:rsidR="00EF0229">
        <w:rPr>
          <w:rFonts w:ascii="Arial" w:hAnsi="Arial"/>
          <w:b/>
          <w:sz w:val="24"/>
          <w:u w:val="single"/>
        </w:rPr>
        <w:t>6</w:t>
      </w:r>
      <w:r>
        <w:rPr>
          <w:rFonts w:ascii="Arial" w:hAnsi="Arial"/>
          <w:b/>
          <w:sz w:val="24"/>
          <w:u w:val="single"/>
        </w:rPr>
        <w:t xml:space="preserve"> in the 2016-2017</w:t>
      </w:r>
      <w:r w:rsidRPr="00DC1631">
        <w:rPr>
          <w:rFonts w:ascii="Arial" w:hAnsi="Arial"/>
          <w:b/>
          <w:sz w:val="24"/>
          <w:u w:val="single"/>
        </w:rPr>
        <w:t xml:space="preserve"> financial </w:t>
      </w:r>
      <w:proofErr w:type="gramStart"/>
      <w:r w:rsidRPr="00DC1631">
        <w:rPr>
          <w:rFonts w:ascii="Arial" w:hAnsi="Arial"/>
          <w:b/>
          <w:sz w:val="24"/>
          <w:u w:val="single"/>
        </w:rPr>
        <w:t>year</w:t>
      </w:r>
      <w:proofErr w:type="gramEnd"/>
      <w:r w:rsidRPr="00DC1631">
        <w:rPr>
          <w:rFonts w:ascii="Arial" w:hAnsi="Arial"/>
          <w:b/>
          <w:sz w:val="24"/>
          <w:u w:val="single"/>
        </w:rPr>
        <w:t>.</w:t>
      </w:r>
    </w:p>
    <w:p w:rsidR="00C2284C" w:rsidRDefault="00C2284C" w:rsidP="00C2284C">
      <w:pPr>
        <w:jc w:val="both"/>
        <w:rPr>
          <w:rFonts w:ascii="Arial" w:hAnsi="Arial"/>
          <w:sz w:val="24"/>
        </w:rPr>
      </w:pPr>
    </w:p>
    <w:p w:rsidR="00C2284C" w:rsidRDefault="00C2284C" w:rsidP="00C2284C">
      <w:pPr>
        <w:pStyle w:val="ListParagraph"/>
        <w:numPr>
          <w:ilvl w:val="0"/>
          <w:numId w:val="1"/>
        </w:numPr>
        <w:ind w:hanging="720"/>
        <w:jc w:val="both"/>
        <w:rPr>
          <w:rFonts w:ascii="Arial" w:hAnsi="Arial"/>
          <w:sz w:val="24"/>
        </w:rPr>
      </w:pPr>
      <w:r>
        <w:rPr>
          <w:rFonts w:ascii="Arial" w:hAnsi="Arial"/>
          <w:sz w:val="24"/>
        </w:rPr>
        <w:t xml:space="preserve">At the end of </w:t>
      </w:r>
      <w:r w:rsidR="00F932FF">
        <w:rPr>
          <w:rFonts w:ascii="Arial" w:hAnsi="Arial"/>
          <w:sz w:val="24"/>
        </w:rPr>
        <w:t>P</w:t>
      </w:r>
      <w:r w:rsidR="00EF0229">
        <w:rPr>
          <w:rFonts w:ascii="Arial" w:hAnsi="Arial"/>
          <w:sz w:val="24"/>
        </w:rPr>
        <w:t>6</w:t>
      </w:r>
      <w:r w:rsidR="00F932FF">
        <w:rPr>
          <w:rFonts w:ascii="Arial" w:hAnsi="Arial"/>
          <w:sz w:val="24"/>
        </w:rPr>
        <w:t xml:space="preserve"> </w:t>
      </w:r>
      <w:r>
        <w:rPr>
          <w:rFonts w:ascii="Arial" w:hAnsi="Arial"/>
          <w:sz w:val="24"/>
        </w:rPr>
        <w:t>(</w:t>
      </w:r>
      <w:r w:rsidR="00EF0229">
        <w:rPr>
          <w:rFonts w:ascii="Arial" w:hAnsi="Arial"/>
          <w:sz w:val="24"/>
        </w:rPr>
        <w:t xml:space="preserve">September </w:t>
      </w:r>
      <w:r>
        <w:rPr>
          <w:rFonts w:ascii="Arial" w:hAnsi="Arial"/>
          <w:sz w:val="24"/>
        </w:rPr>
        <w:t>2016) p</w:t>
      </w:r>
      <w:r w:rsidRPr="003448B6">
        <w:rPr>
          <w:rFonts w:ascii="Arial" w:hAnsi="Arial"/>
          <w:sz w:val="24"/>
        </w:rPr>
        <w:t xml:space="preserve">erformance for the General Needs day to day repairs element of the Maintenance budget </w:t>
      </w:r>
      <w:r>
        <w:rPr>
          <w:rFonts w:ascii="Arial" w:hAnsi="Arial"/>
          <w:sz w:val="24"/>
        </w:rPr>
        <w:t>was</w:t>
      </w:r>
      <w:r w:rsidRPr="003448B6">
        <w:rPr>
          <w:rFonts w:ascii="Arial" w:hAnsi="Arial"/>
          <w:sz w:val="24"/>
        </w:rPr>
        <w:t xml:space="preserve"> showing a cumulative </w:t>
      </w:r>
      <w:r>
        <w:rPr>
          <w:rFonts w:ascii="Arial" w:hAnsi="Arial"/>
          <w:sz w:val="24"/>
        </w:rPr>
        <w:t>negative variance</w:t>
      </w:r>
      <w:r w:rsidRPr="003448B6">
        <w:rPr>
          <w:rFonts w:ascii="Arial" w:hAnsi="Arial"/>
          <w:sz w:val="24"/>
        </w:rPr>
        <w:t xml:space="preserve"> </w:t>
      </w:r>
      <w:r w:rsidRPr="002F5CA0">
        <w:rPr>
          <w:rFonts w:ascii="Arial" w:hAnsi="Arial"/>
          <w:sz w:val="24"/>
        </w:rPr>
        <w:t xml:space="preserve">of </w:t>
      </w:r>
      <w:r w:rsidRPr="00C2284C">
        <w:rPr>
          <w:rFonts w:ascii="Arial" w:hAnsi="Arial"/>
          <w:sz w:val="24"/>
        </w:rPr>
        <w:t>£</w:t>
      </w:r>
      <w:r w:rsidR="00E85659">
        <w:rPr>
          <w:rFonts w:ascii="Arial" w:hAnsi="Arial"/>
          <w:sz w:val="24"/>
        </w:rPr>
        <w:t>9</w:t>
      </w:r>
      <w:r w:rsidR="00BA156A">
        <w:rPr>
          <w:rFonts w:ascii="Arial" w:hAnsi="Arial"/>
          <w:sz w:val="24"/>
        </w:rPr>
        <w:t>4,732</w:t>
      </w:r>
      <w:r w:rsidRPr="00C2284C">
        <w:rPr>
          <w:rFonts w:ascii="Arial" w:hAnsi="Arial"/>
          <w:sz w:val="24"/>
        </w:rPr>
        <w:t xml:space="preserve"> against year to date budget.</w:t>
      </w:r>
      <w:r w:rsidRPr="003448B6">
        <w:rPr>
          <w:rFonts w:ascii="Arial" w:hAnsi="Arial"/>
          <w:sz w:val="24"/>
        </w:rPr>
        <w:t xml:space="preserve"> </w:t>
      </w:r>
      <w:r>
        <w:rPr>
          <w:rFonts w:ascii="Arial" w:hAnsi="Arial"/>
          <w:sz w:val="24"/>
        </w:rPr>
        <w:t xml:space="preserve"> </w:t>
      </w:r>
      <w:r w:rsidR="004829C2">
        <w:rPr>
          <w:rFonts w:ascii="Arial" w:hAnsi="Arial"/>
          <w:sz w:val="24"/>
        </w:rPr>
        <w:t>Whilst this</w:t>
      </w:r>
      <w:r>
        <w:rPr>
          <w:rFonts w:ascii="Arial" w:hAnsi="Arial"/>
          <w:sz w:val="24"/>
        </w:rPr>
        <w:t xml:space="preserve"> overspend is </w:t>
      </w:r>
      <w:r w:rsidR="004829C2">
        <w:rPr>
          <w:rFonts w:ascii="Arial" w:hAnsi="Arial"/>
          <w:sz w:val="24"/>
        </w:rPr>
        <w:t xml:space="preserve">still </w:t>
      </w:r>
      <w:r>
        <w:rPr>
          <w:rFonts w:ascii="Arial" w:hAnsi="Arial"/>
          <w:sz w:val="24"/>
        </w:rPr>
        <w:t>of</w:t>
      </w:r>
      <w:r w:rsidR="00D85EA2">
        <w:rPr>
          <w:rFonts w:ascii="Arial" w:hAnsi="Arial"/>
          <w:sz w:val="24"/>
        </w:rPr>
        <w:t xml:space="preserve"> great</w:t>
      </w:r>
      <w:r>
        <w:rPr>
          <w:rFonts w:ascii="Arial" w:hAnsi="Arial"/>
          <w:sz w:val="24"/>
        </w:rPr>
        <w:t xml:space="preserve"> concern</w:t>
      </w:r>
      <w:r w:rsidR="004829C2">
        <w:rPr>
          <w:rFonts w:ascii="Arial" w:hAnsi="Arial"/>
          <w:sz w:val="24"/>
        </w:rPr>
        <w:t>, there has been a small reduction</w:t>
      </w:r>
      <w:r w:rsidR="00BA156A">
        <w:rPr>
          <w:rFonts w:ascii="Arial" w:hAnsi="Arial"/>
          <w:sz w:val="24"/>
        </w:rPr>
        <w:t xml:space="preserve"> (£5,062</w:t>
      </w:r>
      <w:r w:rsidR="008C7BE7">
        <w:rPr>
          <w:rFonts w:ascii="Arial" w:hAnsi="Arial"/>
          <w:sz w:val="24"/>
        </w:rPr>
        <w:t>)</w:t>
      </w:r>
      <w:r w:rsidR="00BA156A">
        <w:rPr>
          <w:rFonts w:ascii="Arial" w:hAnsi="Arial"/>
          <w:sz w:val="24"/>
        </w:rPr>
        <w:t xml:space="preserve"> on the P5 overspend figure, and is a further reduction from the P4 figure. </w:t>
      </w:r>
    </w:p>
    <w:p w:rsidR="00BA156A" w:rsidRDefault="00BA156A" w:rsidP="00BA156A">
      <w:pPr>
        <w:pStyle w:val="ListParagraph"/>
        <w:jc w:val="both"/>
        <w:rPr>
          <w:rFonts w:ascii="Arial" w:hAnsi="Arial"/>
          <w:sz w:val="24"/>
        </w:rPr>
      </w:pPr>
    </w:p>
    <w:p w:rsidR="00BA156A" w:rsidRDefault="00BA156A" w:rsidP="00C2284C">
      <w:pPr>
        <w:pStyle w:val="ListParagraph"/>
        <w:numPr>
          <w:ilvl w:val="0"/>
          <w:numId w:val="1"/>
        </w:numPr>
        <w:ind w:hanging="720"/>
        <w:jc w:val="both"/>
        <w:rPr>
          <w:rFonts w:ascii="Arial" w:hAnsi="Arial"/>
          <w:sz w:val="24"/>
        </w:rPr>
      </w:pPr>
      <w:r>
        <w:rPr>
          <w:rFonts w:ascii="Arial" w:hAnsi="Arial"/>
          <w:sz w:val="24"/>
        </w:rPr>
        <w:t>This downward trend is</w:t>
      </w:r>
      <w:r w:rsidR="00CD0068">
        <w:rPr>
          <w:rFonts w:ascii="Arial" w:hAnsi="Arial"/>
          <w:sz w:val="24"/>
        </w:rPr>
        <w:t>,</w:t>
      </w:r>
      <w:r>
        <w:rPr>
          <w:rFonts w:ascii="Arial" w:hAnsi="Arial"/>
          <w:sz w:val="24"/>
        </w:rPr>
        <w:t xml:space="preserve"> cautiously</w:t>
      </w:r>
      <w:r w:rsidR="00CD0068">
        <w:rPr>
          <w:rFonts w:ascii="Arial" w:hAnsi="Arial"/>
          <w:sz w:val="24"/>
        </w:rPr>
        <w:t>,</w:t>
      </w:r>
      <w:r>
        <w:rPr>
          <w:rFonts w:ascii="Arial" w:hAnsi="Arial"/>
          <w:sz w:val="24"/>
        </w:rPr>
        <w:t xml:space="preserve"> welcomed, but there is a backlog of P&amp;R orders which are currently ‘stuck’ in the system </w:t>
      </w:r>
      <w:r w:rsidR="00CD0068">
        <w:rPr>
          <w:rFonts w:ascii="Arial" w:hAnsi="Arial"/>
          <w:sz w:val="24"/>
        </w:rPr>
        <w:t xml:space="preserve">(around 1,700 orders) </w:t>
      </w:r>
      <w:r>
        <w:rPr>
          <w:rFonts w:ascii="Arial" w:hAnsi="Arial"/>
          <w:sz w:val="24"/>
        </w:rPr>
        <w:t xml:space="preserve">and work is currently underway to release them. </w:t>
      </w:r>
      <w:r w:rsidR="00CD0068">
        <w:rPr>
          <w:rFonts w:ascii="Arial" w:hAnsi="Arial"/>
          <w:sz w:val="24"/>
        </w:rPr>
        <w:t xml:space="preserve">The accruals currently allow for an average 25% variation value on each order. </w:t>
      </w:r>
      <w:r>
        <w:rPr>
          <w:rFonts w:ascii="Arial" w:hAnsi="Arial"/>
          <w:sz w:val="24"/>
        </w:rPr>
        <w:t xml:space="preserve">The exact </w:t>
      </w:r>
      <w:r w:rsidR="00CD0068">
        <w:rPr>
          <w:rFonts w:ascii="Arial" w:hAnsi="Arial"/>
          <w:sz w:val="24"/>
        </w:rPr>
        <w:t xml:space="preserve">final </w:t>
      </w:r>
      <w:r>
        <w:rPr>
          <w:rFonts w:ascii="Arial" w:hAnsi="Arial"/>
          <w:sz w:val="24"/>
        </w:rPr>
        <w:t xml:space="preserve">value of these orders is unknown and </w:t>
      </w:r>
      <w:r w:rsidR="00CD0068">
        <w:rPr>
          <w:rFonts w:ascii="Arial" w:hAnsi="Arial"/>
          <w:sz w:val="24"/>
        </w:rPr>
        <w:t xml:space="preserve">is </w:t>
      </w:r>
      <w:r>
        <w:rPr>
          <w:rFonts w:ascii="Arial" w:hAnsi="Arial"/>
          <w:sz w:val="24"/>
        </w:rPr>
        <w:t xml:space="preserve">dependent upon the number </w:t>
      </w:r>
      <w:r w:rsidR="00CD0068">
        <w:rPr>
          <w:rFonts w:ascii="Arial" w:hAnsi="Arial"/>
          <w:sz w:val="24"/>
        </w:rPr>
        <w:t xml:space="preserve">and value </w:t>
      </w:r>
      <w:r>
        <w:rPr>
          <w:rFonts w:ascii="Arial" w:hAnsi="Arial"/>
          <w:sz w:val="24"/>
        </w:rPr>
        <w:t xml:space="preserve">of orders varied upwards. There is no way of predicting the numbers of variations or the final amount, however the interface will have prevented individual orders being varied by more than £50 unless </w:t>
      </w:r>
      <w:r w:rsidR="00CD0068">
        <w:rPr>
          <w:rFonts w:ascii="Arial" w:hAnsi="Arial"/>
          <w:sz w:val="24"/>
        </w:rPr>
        <w:t>pre-</w:t>
      </w:r>
      <w:r>
        <w:rPr>
          <w:rFonts w:ascii="Arial" w:hAnsi="Arial"/>
          <w:sz w:val="24"/>
        </w:rPr>
        <w:t xml:space="preserve">authorised. This does not mean that that the possibility of a sharp increase is </w:t>
      </w:r>
      <w:proofErr w:type="gramStart"/>
      <w:r>
        <w:rPr>
          <w:rFonts w:ascii="Arial" w:hAnsi="Arial"/>
          <w:sz w:val="24"/>
        </w:rPr>
        <w:t>lessened,</w:t>
      </w:r>
      <w:proofErr w:type="gramEnd"/>
      <w:r>
        <w:rPr>
          <w:rFonts w:ascii="Arial" w:hAnsi="Arial"/>
          <w:sz w:val="24"/>
        </w:rPr>
        <w:t xml:space="preserve"> however the expectation is that not every order will have been self-varied. </w:t>
      </w:r>
    </w:p>
    <w:p w:rsidR="00C2284C" w:rsidRPr="00252D52" w:rsidRDefault="00C2284C" w:rsidP="00252D52">
      <w:pPr>
        <w:jc w:val="both"/>
        <w:rPr>
          <w:rFonts w:ascii="Arial" w:hAnsi="Arial"/>
          <w:sz w:val="24"/>
        </w:rPr>
      </w:pPr>
    </w:p>
    <w:p w:rsidR="00C2284C" w:rsidRDefault="00592E58" w:rsidP="00780EEF">
      <w:pPr>
        <w:pStyle w:val="ListParagraph"/>
        <w:numPr>
          <w:ilvl w:val="0"/>
          <w:numId w:val="1"/>
        </w:numPr>
        <w:ind w:hanging="720"/>
        <w:jc w:val="both"/>
        <w:rPr>
          <w:rFonts w:ascii="Arial" w:hAnsi="Arial"/>
          <w:sz w:val="24"/>
        </w:rPr>
      </w:pPr>
      <w:r>
        <w:rPr>
          <w:rFonts w:ascii="Arial" w:hAnsi="Arial"/>
          <w:sz w:val="24"/>
        </w:rPr>
        <w:t>The account analysis shows that there is a negative variance in the number of orders raised. The projected</w:t>
      </w:r>
      <w:r w:rsidR="00414590">
        <w:rPr>
          <w:rFonts w:ascii="Arial" w:hAnsi="Arial"/>
          <w:sz w:val="24"/>
        </w:rPr>
        <w:t xml:space="preserve"> cumulative</w:t>
      </w:r>
      <w:r>
        <w:rPr>
          <w:rFonts w:ascii="Arial" w:hAnsi="Arial"/>
          <w:sz w:val="24"/>
        </w:rPr>
        <w:t xml:space="preserve"> figure was </w:t>
      </w:r>
      <w:r w:rsidR="003F56AF">
        <w:rPr>
          <w:rFonts w:ascii="Arial" w:hAnsi="Arial"/>
          <w:sz w:val="24"/>
        </w:rPr>
        <w:t>5,150</w:t>
      </w:r>
      <w:r>
        <w:rPr>
          <w:rFonts w:ascii="Arial" w:hAnsi="Arial"/>
          <w:sz w:val="24"/>
        </w:rPr>
        <w:t xml:space="preserve"> and the </w:t>
      </w:r>
      <w:r w:rsidR="003F56AF">
        <w:rPr>
          <w:rFonts w:ascii="Arial" w:hAnsi="Arial"/>
          <w:sz w:val="24"/>
        </w:rPr>
        <w:t>number raised was 4,840</w:t>
      </w:r>
      <w:r w:rsidR="00414590">
        <w:rPr>
          <w:rFonts w:ascii="Arial" w:hAnsi="Arial"/>
          <w:sz w:val="24"/>
        </w:rPr>
        <w:t xml:space="preserve">. </w:t>
      </w:r>
      <w:r w:rsidR="003F56AF">
        <w:rPr>
          <w:rFonts w:ascii="Arial" w:hAnsi="Arial"/>
          <w:sz w:val="24"/>
        </w:rPr>
        <w:t>There was also a smaller negative varia</w:t>
      </w:r>
      <w:r w:rsidR="00325A15">
        <w:rPr>
          <w:rFonts w:ascii="Arial" w:hAnsi="Arial"/>
          <w:sz w:val="24"/>
        </w:rPr>
        <w:t xml:space="preserve">nce in the previous period. </w:t>
      </w:r>
    </w:p>
    <w:p w:rsidR="00C2284C" w:rsidRPr="003F6676" w:rsidRDefault="00C2284C" w:rsidP="003F6676">
      <w:pPr>
        <w:rPr>
          <w:rFonts w:ascii="Arial" w:hAnsi="Arial"/>
          <w:sz w:val="24"/>
        </w:rPr>
      </w:pPr>
    </w:p>
    <w:p w:rsidR="003F6676" w:rsidRPr="00353C1D" w:rsidRDefault="00414590" w:rsidP="00353C1D">
      <w:pPr>
        <w:pStyle w:val="ListParagraph"/>
        <w:numPr>
          <w:ilvl w:val="0"/>
          <w:numId w:val="1"/>
        </w:numPr>
        <w:ind w:hanging="720"/>
        <w:jc w:val="both"/>
        <w:rPr>
          <w:rFonts w:ascii="Arial" w:hAnsi="Arial"/>
          <w:sz w:val="24"/>
        </w:rPr>
      </w:pPr>
      <w:r>
        <w:rPr>
          <w:rFonts w:ascii="Arial" w:hAnsi="Arial"/>
          <w:sz w:val="24"/>
        </w:rPr>
        <w:t xml:space="preserve">However the </w:t>
      </w:r>
      <w:r w:rsidR="00F932FF">
        <w:rPr>
          <w:rFonts w:ascii="Arial" w:hAnsi="Arial"/>
          <w:sz w:val="24"/>
        </w:rPr>
        <w:t xml:space="preserve">average </w:t>
      </w:r>
      <w:r>
        <w:rPr>
          <w:rFonts w:ascii="Arial" w:hAnsi="Arial"/>
          <w:sz w:val="24"/>
        </w:rPr>
        <w:t xml:space="preserve">negative cost variance for these orders has increased </w:t>
      </w:r>
      <w:r w:rsidR="00325A15">
        <w:rPr>
          <w:rFonts w:ascii="Arial" w:hAnsi="Arial"/>
          <w:sz w:val="24"/>
        </w:rPr>
        <w:t>slightly from £</w:t>
      </w:r>
      <w:r w:rsidR="00CD0068">
        <w:rPr>
          <w:rFonts w:ascii="Arial" w:hAnsi="Arial"/>
          <w:sz w:val="24"/>
        </w:rPr>
        <w:t>25.88</w:t>
      </w:r>
      <w:r w:rsidR="00325A15">
        <w:rPr>
          <w:rFonts w:ascii="Arial" w:hAnsi="Arial"/>
          <w:sz w:val="24"/>
        </w:rPr>
        <w:t xml:space="preserve"> in August to £</w:t>
      </w:r>
      <w:r w:rsidR="00CD0068">
        <w:rPr>
          <w:rFonts w:ascii="Arial" w:hAnsi="Arial"/>
          <w:sz w:val="24"/>
        </w:rPr>
        <w:t>28.85</w:t>
      </w:r>
      <w:r w:rsidR="00325A15">
        <w:rPr>
          <w:rFonts w:ascii="Arial" w:hAnsi="Arial"/>
          <w:sz w:val="24"/>
        </w:rPr>
        <w:t xml:space="preserve"> in September</w:t>
      </w:r>
      <w:r>
        <w:rPr>
          <w:rFonts w:ascii="Arial" w:hAnsi="Arial"/>
          <w:sz w:val="24"/>
        </w:rPr>
        <w:t xml:space="preserve">. This means that all orders </w:t>
      </w:r>
      <w:r w:rsidR="00325A15">
        <w:rPr>
          <w:rFonts w:ascii="Arial" w:hAnsi="Arial"/>
          <w:sz w:val="24"/>
        </w:rPr>
        <w:t>raised are</w:t>
      </w:r>
      <w:r>
        <w:rPr>
          <w:rFonts w:ascii="Arial" w:hAnsi="Arial"/>
          <w:sz w:val="24"/>
        </w:rPr>
        <w:t xml:space="preserve"> costing £</w:t>
      </w:r>
      <w:r w:rsidR="00CD0068">
        <w:rPr>
          <w:rFonts w:ascii="Arial" w:hAnsi="Arial"/>
          <w:sz w:val="24"/>
        </w:rPr>
        <w:t>28.85</w:t>
      </w:r>
      <w:r>
        <w:rPr>
          <w:rFonts w:ascii="Arial" w:hAnsi="Arial"/>
          <w:sz w:val="24"/>
        </w:rPr>
        <w:t xml:space="preserve"> more than </w:t>
      </w:r>
      <w:r w:rsidR="00D46FFD">
        <w:rPr>
          <w:rFonts w:ascii="Arial" w:hAnsi="Arial"/>
          <w:sz w:val="24"/>
        </w:rPr>
        <w:t>budgeted</w:t>
      </w:r>
      <w:r>
        <w:rPr>
          <w:rFonts w:ascii="Arial" w:hAnsi="Arial"/>
          <w:sz w:val="24"/>
        </w:rPr>
        <w:t xml:space="preserve">. </w:t>
      </w:r>
      <w:r w:rsidR="00B314BA">
        <w:rPr>
          <w:rFonts w:ascii="Arial" w:hAnsi="Arial"/>
          <w:sz w:val="24"/>
        </w:rPr>
        <w:t>Analysis of KNK orders for this quarter shows that 77% of all orders are being varied and of these 65% are varied over 100%. Further analysis will be undertaken to establish whether this is due to very low value orders being raised in the first instance. It will also be interesting to see these figures in comparison to P&amp;R once their data is available</w:t>
      </w:r>
      <w:r w:rsidR="00CD0068">
        <w:rPr>
          <w:rFonts w:ascii="Arial" w:hAnsi="Arial"/>
          <w:sz w:val="24"/>
        </w:rPr>
        <w:t xml:space="preserve"> and will be used as a monitoring and checking tool going forward</w:t>
      </w:r>
      <w:r w:rsidR="00B314BA">
        <w:rPr>
          <w:rFonts w:ascii="Arial" w:hAnsi="Arial"/>
          <w:sz w:val="24"/>
        </w:rPr>
        <w:t xml:space="preserve">. </w:t>
      </w:r>
    </w:p>
    <w:p w:rsidR="00507964" w:rsidRPr="00507964" w:rsidRDefault="00507964" w:rsidP="00507964">
      <w:pPr>
        <w:pStyle w:val="ListParagraph"/>
        <w:rPr>
          <w:rFonts w:ascii="Arial" w:hAnsi="Arial"/>
          <w:sz w:val="24"/>
        </w:rPr>
      </w:pPr>
    </w:p>
    <w:p w:rsidR="00414590" w:rsidRDefault="00325A15" w:rsidP="00C2284C">
      <w:pPr>
        <w:pStyle w:val="ListParagraph"/>
        <w:numPr>
          <w:ilvl w:val="0"/>
          <w:numId w:val="1"/>
        </w:numPr>
        <w:ind w:hanging="720"/>
        <w:jc w:val="both"/>
        <w:rPr>
          <w:rFonts w:ascii="Arial" w:hAnsi="Arial"/>
          <w:sz w:val="24"/>
        </w:rPr>
      </w:pPr>
      <w:r>
        <w:rPr>
          <w:rFonts w:ascii="Arial" w:hAnsi="Arial"/>
          <w:sz w:val="24"/>
        </w:rPr>
        <w:t>The average cost of high value</w:t>
      </w:r>
      <w:r w:rsidR="005B4B2D">
        <w:rPr>
          <w:rFonts w:ascii="Arial" w:hAnsi="Arial"/>
          <w:sz w:val="24"/>
        </w:rPr>
        <w:t xml:space="preserve"> HV</w:t>
      </w:r>
      <w:r w:rsidR="00B62BB6">
        <w:rPr>
          <w:rFonts w:ascii="Arial" w:hAnsi="Arial"/>
          <w:sz w:val="24"/>
        </w:rPr>
        <w:t xml:space="preserve"> (over £500)</w:t>
      </w:r>
      <w:r>
        <w:rPr>
          <w:rFonts w:ascii="Arial" w:hAnsi="Arial"/>
          <w:sz w:val="24"/>
        </w:rPr>
        <w:t xml:space="preserve"> orders ha</w:t>
      </w:r>
      <w:r w:rsidR="00B62BB6">
        <w:rPr>
          <w:rFonts w:ascii="Arial" w:hAnsi="Arial"/>
          <w:sz w:val="24"/>
        </w:rPr>
        <w:t>ve</w:t>
      </w:r>
      <w:r>
        <w:rPr>
          <w:rFonts w:ascii="Arial" w:hAnsi="Arial"/>
          <w:sz w:val="24"/>
        </w:rPr>
        <w:t xml:space="preserve"> dropped slight</w:t>
      </w:r>
      <w:r w:rsidR="006B147A">
        <w:rPr>
          <w:rFonts w:ascii="Arial" w:hAnsi="Arial"/>
          <w:sz w:val="24"/>
        </w:rPr>
        <w:t>ly in September, although these</w:t>
      </w:r>
      <w:r>
        <w:rPr>
          <w:rFonts w:ascii="Arial" w:hAnsi="Arial"/>
          <w:sz w:val="24"/>
        </w:rPr>
        <w:t xml:space="preserve"> orders remain the focus of control measures and are kep</w:t>
      </w:r>
      <w:r w:rsidRPr="00B62BB6">
        <w:rPr>
          <w:rFonts w:ascii="Arial" w:hAnsi="Arial"/>
          <w:sz w:val="24"/>
        </w:rPr>
        <w:t>t</w:t>
      </w:r>
      <w:r>
        <w:rPr>
          <w:rFonts w:ascii="Arial" w:hAnsi="Arial"/>
          <w:sz w:val="24"/>
        </w:rPr>
        <w:t xml:space="preserve"> at a high profile in order to </w:t>
      </w:r>
      <w:r w:rsidR="006B147A">
        <w:rPr>
          <w:rFonts w:ascii="Arial" w:hAnsi="Arial"/>
          <w:sz w:val="24"/>
        </w:rPr>
        <w:t xml:space="preserve">ensure that the numbers are kept to a minimum. </w:t>
      </w:r>
    </w:p>
    <w:p w:rsidR="00414590" w:rsidRDefault="00414590" w:rsidP="00353C1D">
      <w:pPr>
        <w:jc w:val="both"/>
        <w:rPr>
          <w:rFonts w:ascii="Arial" w:hAnsi="Arial"/>
          <w:sz w:val="24"/>
        </w:rPr>
      </w:pPr>
    </w:p>
    <w:tbl>
      <w:tblPr>
        <w:tblStyle w:val="TableGrid"/>
        <w:tblW w:w="0" w:type="auto"/>
        <w:tblInd w:w="817" w:type="dxa"/>
        <w:tblLook w:val="04A0" w:firstRow="1" w:lastRow="0" w:firstColumn="1" w:lastColumn="0" w:noHBand="0" w:noVBand="1"/>
      </w:tblPr>
      <w:tblGrid>
        <w:gridCol w:w="1493"/>
        <w:gridCol w:w="2310"/>
        <w:gridCol w:w="2311"/>
        <w:gridCol w:w="2311"/>
      </w:tblGrid>
      <w:tr w:rsidR="00414590" w:rsidTr="00353C1D">
        <w:tc>
          <w:tcPr>
            <w:tcW w:w="1493" w:type="dxa"/>
          </w:tcPr>
          <w:p w:rsidR="00414590" w:rsidRDefault="00414590" w:rsidP="00414590">
            <w:pPr>
              <w:jc w:val="both"/>
              <w:rPr>
                <w:rFonts w:ascii="Arial" w:hAnsi="Arial"/>
                <w:sz w:val="24"/>
              </w:rPr>
            </w:pPr>
          </w:p>
        </w:tc>
        <w:tc>
          <w:tcPr>
            <w:tcW w:w="2310" w:type="dxa"/>
          </w:tcPr>
          <w:p w:rsidR="00414590" w:rsidRDefault="005B4B2D" w:rsidP="00D71AB4">
            <w:pPr>
              <w:rPr>
                <w:rFonts w:ascii="Arial" w:hAnsi="Arial"/>
                <w:sz w:val="24"/>
              </w:rPr>
            </w:pPr>
            <w:r>
              <w:rPr>
                <w:rFonts w:ascii="Arial" w:hAnsi="Arial"/>
                <w:sz w:val="24"/>
              </w:rPr>
              <w:t>Cumulative</w:t>
            </w:r>
            <w:r w:rsidR="00CD0068">
              <w:rPr>
                <w:rFonts w:ascii="Arial" w:hAnsi="Arial"/>
                <w:sz w:val="24"/>
              </w:rPr>
              <w:t xml:space="preserve"> </w:t>
            </w:r>
            <w:r w:rsidR="00414590">
              <w:rPr>
                <w:rFonts w:ascii="Arial" w:hAnsi="Arial"/>
                <w:sz w:val="24"/>
              </w:rPr>
              <w:t>No. of HV orders</w:t>
            </w:r>
          </w:p>
        </w:tc>
        <w:tc>
          <w:tcPr>
            <w:tcW w:w="2311" w:type="dxa"/>
          </w:tcPr>
          <w:p w:rsidR="00414590" w:rsidRDefault="00414590" w:rsidP="00414590">
            <w:pPr>
              <w:jc w:val="both"/>
              <w:rPr>
                <w:rFonts w:ascii="Arial" w:hAnsi="Arial"/>
                <w:sz w:val="24"/>
              </w:rPr>
            </w:pPr>
            <w:r>
              <w:rPr>
                <w:rFonts w:ascii="Arial" w:hAnsi="Arial"/>
                <w:sz w:val="24"/>
              </w:rPr>
              <w:t>Av. Cost of HV order</w:t>
            </w:r>
          </w:p>
        </w:tc>
        <w:tc>
          <w:tcPr>
            <w:tcW w:w="2311" w:type="dxa"/>
          </w:tcPr>
          <w:p w:rsidR="00414590" w:rsidRDefault="00A6350B" w:rsidP="00414590">
            <w:pPr>
              <w:jc w:val="both"/>
              <w:rPr>
                <w:rFonts w:ascii="Arial" w:hAnsi="Arial"/>
                <w:sz w:val="24"/>
              </w:rPr>
            </w:pPr>
            <w:r>
              <w:rPr>
                <w:rFonts w:ascii="Arial" w:hAnsi="Arial"/>
                <w:sz w:val="24"/>
              </w:rPr>
              <w:t>Total cost</w:t>
            </w:r>
          </w:p>
        </w:tc>
      </w:tr>
      <w:tr w:rsidR="00414590" w:rsidTr="00353C1D">
        <w:tc>
          <w:tcPr>
            <w:tcW w:w="1493" w:type="dxa"/>
          </w:tcPr>
          <w:p w:rsidR="00414590" w:rsidRDefault="00A6350B" w:rsidP="00414590">
            <w:pPr>
              <w:jc w:val="both"/>
              <w:rPr>
                <w:rFonts w:ascii="Arial" w:hAnsi="Arial"/>
                <w:sz w:val="24"/>
              </w:rPr>
            </w:pPr>
            <w:r>
              <w:rPr>
                <w:rFonts w:ascii="Arial" w:hAnsi="Arial"/>
                <w:sz w:val="24"/>
              </w:rPr>
              <w:t>June</w:t>
            </w:r>
          </w:p>
        </w:tc>
        <w:tc>
          <w:tcPr>
            <w:tcW w:w="2310" w:type="dxa"/>
          </w:tcPr>
          <w:p w:rsidR="00414590" w:rsidRDefault="00A6350B" w:rsidP="00414590">
            <w:pPr>
              <w:jc w:val="both"/>
              <w:rPr>
                <w:rFonts w:ascii="Arial" w:hAnsi="Arial"/>
                <w:sz w:val="24"/>
              </w:rPr>
            </w:pPr>
            <w:r>
              <w:rPr>
                <w:rFonts w:ascii="Arial" w:hAnsi="Arial"/>
                <w:sz w:val="24"/>
              </w:rPr>
              <w:t>165</w:t>
            </w:r>
          </w:p>
        </w:tc>
        <w:tc>
          <w:tcPr>
            <w:tcW w:w="2311" w:type="dxa"/>
          </w:tcPr>
          <w:p w:rsidR="00414590" w:rsidRDefault="00A6350B" w:rsidP="00414590">
            <w:pPr>
              <w:jc w:val="both"/>
              <w:rPr>
                <w:rFonts w:ascii="Arial" w:hAnsi="Arial"/>
                <w:sz w:val="24"/>
              </w:rPr>
            </w:pPr>
            <w:r>
              <w:rPr>
                <w:rFonts w:ascii="Arial" w:hAnsi="Arial"/>
                <w:sz w:val="24"/>
              </w:rPr>
              <w:t>£1,175</w:t>
            </w:r>
          </w:p>
        </w:tc>
        <w:tc>
          <w:tcPr>
            <w:tcW w:w="2311" w:type="dxa"/>
          </w:tcPr>
          <w:p w:rsidR="00414590" w:rsidRDefault="00A6350B">
            <w:pPr>
              <w:jc w:val="both"/>
              <w:rPr>
                <w:rFonts w:ascii="Arial" w:hAnsi="Arial"/>
                <w:sz w:val="24"/>
              </w:rPr>
            </w:pPr>
            <w:r>
              <w:rPr>
                <w:rFonts w:ascii="Arial" w:hAnsi="Arial"/>
                <w:sz w:val="24"/>
              </w:rPr>
              <w:t>£194,000</w:t>
            </w:r>
          </w:p>
        </w:tc>
      </w:tr>
      <w:tr w:rsidR="00414590" w:rsidTr="00353C1D">
        <w:tc>
          <w:tcPr>
            <w:tcW w:w="1493" w:type="dxa"/>
          </w:tcPr>
          <w:p w:rsidR="00414590" w:rsidRDefault="00A6350B" w:rsidP="00414590">
            <w:pPr>
              <w:jc w:val="both"/>
              <w:rPr>
                <w:rFonts w:ascii="Arial" w:hAnsi="Arial"/>
                <w:sz w:val="24"/>
              </w:rPr>
            </w:pPr>
            <w:r>
              <w:rPr>
                <w:rFonts w:ascii="Arial" w:hAnsi="Arial"/>
                <w:sz w:val="24"/>
              </w:rPr>
              <w:t>July</w:t>
            </w:r>
          </w:p>
        </w:tc>
        <w:tc>
          <w:tcPr>
            <w:tcW w:w="2310" w:type="dxa"/>
          </w:tcPr>
          <w:p w:rsidR="00414590" w:rsidRDefault="00A6350B" w:rsidP="00414590">
            <w:pPr>
              <w:jc w:val="both"/>
              <w:rPr>
                <w:rFonts w:ascii="Arial" w:hAnsi="Arial"/>
                <w:sz w:val="24"/>
              </w:rPr>
            </w:pPr>
            <w:r>
              <w:rPr>
                <w:rFonts w:ascii="Arial" w:hAnsi="Arial"/>
                <w:sz w:val="24"/>
              </w:rPr>
              <w:t>233</w:t>
            </w:r>
          </w:p>
        </w:tc>
        <w:tc>
          <w:tcPr>
            <w:tcW w:w="2311" w:type="dxa"/>
          </w:tcPr>
          <w:p w:rsidR="00414590" w:rsidRDefault="00A6350B" w:rsidP="00414590">
            <w:pPr>
              <w:jc w:val="both"/>
              <w:rPr>
                <w:rFonts w:ascii="Arial" w:hAnsi="Arial"/>
                <w:sz w:val="24"/>
              </w:rPr>
            </w:pPr>
            <w:r>
              <w:rPr>
                <w:rFonts w:ascii="Arial" w:hAnsi="Arial"/>
                <w:sz w:val="24"/>
              </w:rPr>
              <w:t>£1,139</w:t>
            </w:r>
          </w:p>
        </w:tc>
        <w:tc>
          <w:tcPr>
            <w:tcW w:w="2311" w:type="dxa"/>
          </w:tcPr>
          <w:p w:rsidR="00414590" w:rsidRDefault="00A6350B" w:rsidP="00414590">
            <w:pPr>
              <w:jc w:val="both"/>
              <w:rPr>
                <w:rFonts w:ascii="Arial" w:hAnsi="Arial"/>
                <w:sz w:val="24"/>
              </w:rPr>
            </w:pPr>
            <w:r>
              <w:rPr>
                <w:rFonts w:ascii="Arial" w:hAnsi="Arial"/>
                <w:sz w:val="24"/>
              </w:rPr>
              <w:t>£265,000</w:t>
            </w:r>
          </w:p>
        </w:tc>
      </w:tr>
      <w:tr w:rsidR="00414590" w:rsidTr="00353C1D">
        <w:tc>
          <w:tcPr>
            <w:tcW w:w="1493" w:type="dxa"/>
          </w:tcPr>
          <w:p w:rsidR="00414590" w:rsidRDefault="00A6350B" w:rsidP="00414590">
            <w:pPr>
              <w:jc w:val="both"/>
              <w:rPr>
                <w:rFonts w:ascii="Arial" w:hAnsi="Arial"/>
                <w:sz w:val="24"/>
              </w:rPr>
            </w:pPr>
            <w:r>
              <w:rPr>
                <w:rFonts w:ascii="Arial" w:hAnsi="Arial"/>
                <w:sz w:val="24"/>
              </w:rPr>
              <w:t>August</w:t>
            </w:r>
          </w:p>
        </w:tc>
        <w:tc>
          <w:tcPr>
            <w:tcW w:w="2310" w:type="dxa"/>
          </w:tcPr>
          <w:p w:rsidR="00414590" w:rsidRDefault="00A6350B" w:rsidP="00414590">
            <w:pPr>
              <w:jc w:val="both"/>
              <w:rPr>
                <w:rFonts w:ascii="Arial" w:hAnsi="Arial"/>
                <w:sz w:val="24"/>
              </w:rPr>
            </w:pPr>
            <w:r>
              <w:rPr>
                <w:rFonts w:ascii="Arial" w:hAnsi="Arial"/>
                <w:sz w:val="24"/>
              </w:rPr>
              <w:t>299</w:t>
            </w:r>
          </w:p>
        </w:tc>
        <w:tc>
          <w:tcPr>
            <w:tcW w:w="2311" w:type="dxa"/>
          </w:tcPr>
          <w:p w:rsidR="00414590" w:rsidRDefault="00A6350B" w:rsidP="00414590">
            <w:pPr>
              <w:jc w:val="both"/>
              <w:rPr>
                <w:rFonts w:ascii="Arial" w:hAnsi="Arial"/>
                <w:sz w:val="24"/>
              </w:rPr>
            </w:pPr>
            <w:r>
              <w:rPr>
                <w:rFonts w:ascii="Arial" w:hAnsi="Arial"/>
                <w:sz w:val="24"/>
              </w:rPr>
              <w:t>£1,260</w:t>
            </w:r>
          </w:p>
        </w:tc>
        <w:tc>
          <w:tcPr>
            <w:tcW w:w="2311" w:type="dxa"/>
          </w:tcPr>
          <w:p w:rsidR="00414590" w:rsidRDefault="00A6350B" w:rsidP="00414590">
            <w:pPr>
              <w:jc w:val="both"/>
              <w:rPr>
                <w:rFonts w:ascii="Arial" w:hAnsi="Arial"/>
                <w:sz w:val="24"/>
              </w:rPr>
            </w:pPr>
            <w:r>
              <w:rPr>
                <w:rFonts w:ascii="Arial" w:hAnsi="Arial"/>
                <w:sz w:val="24"/>
              </w:rPr>
              <w:t>£376,000</w:t>
            </w:r>
          </w:p>
        </w:tc>
      </w:tr>
      <w:tr w:rsidR="00325A15" w:rsidTr="00353C1D">
        <w:tc>
          <w:tcPr>
            <w:tcW w:w="1493" w:type="dxa"/>
          </w:tcPr>
          <w:p w:rsidR="00325A15" w:rsidRDefault="00325A15" w:rsidP="00414590">
            <w:pPr>
              <w:jc w:val="both"/>
              <w:rPr>
                <w:rFonts w:ascii="Arial" w:hAnsi="Arial"/>
                <w:sz w:val="24"/>
              </w:rPr>
            </w:pPr>
            <w:r>
              <w:rPr>
                <w:rFonts w:ascii="Arial" w:hAnsi="Arial"/>
                <w:sz w:val="24"/>
              </w:rPr>
              <w:t>September</w:t>
            </w:r>
          </w:p>
        </w:tc>
        <w:tc>
          <w:tcPr>
            <w:tcW w:w="2310" w:type="dxa"/>
          </w:tcPr>
          <w:p w:rsidR="00325A15" w:rsidRDefault="00325A15" w:rsidP="00414590">
            <w:pPr>
              <w:jc w:val="both"/>
              <w:rPr>
                <w:rFonts w:ascii="Arial" w:hAnsi="Arial"/>
                <w:sz w:val="24"/>
              </w:rPr>
            </w:pPr>
            <w:r>
              <w:rPr>
                <w:rFonts w:ascii="Arial" w:hAnsi="Arial"/>
                <w:sz w:val="24"/>
              </w:rPr>
              <w:t>346</w:t>
            </w:r>
          </w:p>
        </w:tc>
        <w:tc>
          <w:tcPr>
            <w:tcW w:w="2311" w:type="dxa"/>
          </w:tcPr>
          <w:p w:rsidR="00325A15" w:rsidRDefault="00325A15" w:rsidP="00414590">
            <w:pPr>
              <w:jc w:val="both"/>
              <w:rPr>
                <w:rFonts w:ascii="Arial" w:hAnsi="Arial"/>
                <w:sz w:val="24"/>
              </w:rPr>
            </w:pPr>
            <w:r>
              <w:rPr>
                <w:rFonts w:ascii="Arial" w:hAnsi="Arial"/>
                <w:sz w:val="24"/>
              </w:rPr>
              <w:t>£1,238</w:t>
            </w:r>
          </w:p>
        </w:tc>
        <w:tc>
          <w:tcPr>
            <w:tcW w:w="2311" w:type="dxa"/>
          </w:tcPr>
          <w:p w:rsidR="00325A15" w:rsidRDefault="00325A15" w:rsidP="00414590">
            <w:pPr>
              <w:jc w:val="both"/>
              <w:rPr>
                <w:rFonts w:ascii="Arial" w:hAnsi="Arial"/>
                <w:sz w:val="24"/>
              </w:rPr>
            </w:pPr>
            <w:r>
              <w:rPr>
                <w:rFonts w:ascii="Arial" w:hAnsi="Arial"/>
                <w:sz w:val="24"/>
              </w:rPr>
              <w:t>£428,000</w:t>
            </w:r>
          </w:p>
        </w:tc>
      </w:tr>
    </w:tbl>
    <w:p w:rsidR="0080400C" w:rsidRDefault="0080400C" w:rsidP="00353C1D"/>
    <w:p w:rsidR="0080400C" w:rsidRPr="0080400C" w:rsidRDefault="0080400C" w:rsidP="0080400C">
      <w:pPr>
        <w:pStyle w:val="ListParagraph"/>
        <w:rPr>
          <w:rFonts w:ascii="Arial" w:hAnsi="Arial"/>
          <w:sz w:val="24"/>
        </w:rPr>
      </w:pPr>
    </w:p>
    <w:p w:rsidR="0080400C" w:rsidRDefault="0080400C" w:rsidP="0080400C">
      <w:pPr>
        <w:pStyle w:val="ListParagraph"/>
        <w:numPr>
          <w:ilvl w:val="0"/>
          <w:numId w:val="1"/>
        </w:numPr>
        <w:ind w:hanging="720"/>
        <w:jc w:val="both"/>
        <w:rPr>
          <w:rFonts w:ascii="Arial" w:hAnsi="Arial"/>
          <w:sz w:val="24"/>
        </w:rPr>
      </w:pPr>
      <w:r>
        <w:rPr>
          <w:rFonts w:ascii="Arial" w:hAnsi="Arial"/>
          <w:sz w:val="24"/>
        </w:rPr>
        <w:lastRenderedPageBreak/>
        <w:t xml:space="preserve">The weekly Works </w:t>
      </w:r>
      <w:r w:rsidR="00B62BB6">
        <w:rPr>
          <w:rFonts w:ascii="Arial" w:hAnsi="Arial"/>
          <w:sz w:val="24"/>
        </w:rPr>
        <w:t>in</w:t>
      </w:r>
      <w:r>
        <w:rPr>
          <w:rFonts w:ascii="Arial" w:hAnsi="Arial"/>
          <w:sz w:val="24"/>
        </w:rPr>
        <w:t xml:space="preserve"> Progress report supplied by Finance</w:t>
      </w:r>
      <w:r w:rsidR="006B147A">
        <w:rPr>
          <w:rFonts w:ascii="Arial" w:hAnsi="Arial"/>
          <w:sz w:val="24"/>
        </w:rPr>
        <w:t xml:space="preserve"> is proving to be a really useful tool</w:t>
      </w:r>
      <w:r>
        <w:rPr>
          <w:rFonts w:ascii="Arial" w:hAnsi="Arial"/>
          <w:sz w:val="24"/>
        </w:rPr>
        <w:t xml:space="preserve"> </w:t>
      </w:r>
      <w:r w:rsidR="006B147A">
        <w:rPr>
          <w:rFonts w:ascii="Arial" w:hAnsi="Arial"/>
          <w:sz w:val="24"/>
        </w:rPr>
        <w:t>in providing</w:t>
      </w:r>
      <w:r>
        <w:rPr>
          <w:rFonts w:ascii="Arial" w:hAnsi="Arial"/>
          <w:sz w:val="24"/>
        </w:rPr>
        <w:t xml:space="preserve"> further insight into </w:t>
      </w:r>
      <w:r w:rsidR="00346A18">
        <w:rPr>
          <w:rFonts w:ascii="Arial" w:hAnsi="Arial"/>
          <w:sz w:val="24"/>
        </w:rPr>
        <w:t xml:space="preserve">the </w:t>
      </w:r>
      <w:r w:rsidR="0082799A">
        <w:rPr>
          <w:rFonts w:ascii="Arial" w:hAnsi="Arial"/>
          <w:sz w:val="24"/>
        </w:rPr>
        <w:t xml:space="preserve">types of </w:t>
      </w:r>
      <w:r w:rsidR="006B147A">
        <w:rPr>
          <w:rFonts w:ascii="Arial" w:hAnsi="Arial"/>
          <w:sz w:val="24"/>
        </w:rPr>
        <w:t>orders being raised by the team</w:t>
      </w:r>
      <w:r w:rsidR="00B314BA">
        <w:rPr>
          <w:rFonts w:ascii="Arial" w:hAnsi="Arial"/>
          <w:sz w:val="24"/>
        </w:rPr>
        <w:t xml:space="preserve">. </w:t>
      </w:r>
    </w:p>
    <w:p w:rsidR="00714AFB" w:rsidRPr="006B147A" w:rsidRDefault="00714AFB" w:rsidP="006B147A">
      <w:pPr>
        <w:rPr>
          <w:rFonts w:ascii="Arial" w:hAnsi="Arial"/>
          <w:sz w:val="24"/>
        </w:rPr>
      </w:pPr>
    </w:p>
    <w:p w:rsidR="00714AFB" w:rsidRPr="00714AFB" w:rsidRDefault="00714AFB" w:rsidP="00714AFB">
      <w:pPr>
        <w:pStyle w:val="ListParagraph"/>
        <w:numPr>
          <w:ilvl w:val="0"/>
          <w:numId w:val="1"/>
        </w:numPr>
        <w:ind w:hanging="720"/>
        <w:jc w:val="both"/>
        <w:rPr>
          <w:rFonts w:ascii="Arial" w:hAnsi="Arial"/>
          <w:sz w:val="24"/>
        </w:rPr>
      </w:pPr>
      <w:r w:rsidRPr="00714AFB">
        <w:rPr>
          <w:rFonts w:ascii="Arial" w:hAnsi="Arial"/>
          <w:sz w:val="24"/>
        </w:rPr>
        <w:t>There is a current underspend on the void budget of £60,199</w:t>
      </w:r>
      <w:r w:rsidR="004B61B3">
        <w:rPr>
          <w:rFonts w:ascii="Arial" w:hAnsi="Arial"/>
          <w:sz w:val="24"/>
        </w:rPr>
        <w:t xml:space="preserve">. </w:t>
      </w:r>
      <w:r w:rsidRPr="00714AFB">
        <w:rPr>
          <w:rFonts w:ascii="Arial" w:hAnsi="Arial"/>
          <w:sz w:val="24"/>
        </w:rPr>
        <w:t xml:space="preserve">This is the second period of underspend on GN voids. There have been very low void number in both August and September (6 and 4 respectively) and this is the most likely explanation for the budget surplus. </w:t>
      </w:r>
      <w:r w:rsidR="004B61B3">
        <w:rPr>
          <w:rFonts w:ascii="Arial" w:hAnsi="Arial"/>
          <w:sz w:val="24"/>
        </w:rPr>
        <w:t xml:space="preserve">Conversely there is </w:t>
      </w:r>
      <w:proofErr w:type="gramStart"/>
      <w:r w:rsidR="004B61B3">
        <w:rPr>
          <w:rFonts w:ascii="Arial" w:hAnsi="Arial"/>
          <w:sz w:val="24"/>
        </w:rPr>
        <w:t>an overspend</w:t>
      </w:r>
      <w:proofErr w:type="gramEnd"/>
      <w:r w:rsidR="004B61B3">
        <w:rPr>
          <w:rFonts w:ascii="Arial" w:hAnsi="Arial"/>
          <w:sz w:val="24"/>
        </w:rPr>
        <w:t xml:space="preserve"> on PIV voids of £91,148 which reflects the higher number of voids properties being returned in very poor condition and requiring significant work. </w:t>
      </w:r>
      <w:proofErr w:type="gramStart"/>
      <w:r w:rsidR="004B61B3">
        <w:rPr>
          <w:rFonts w:ascii="Arial" w:hAnsi="Arial"/>
          <w:sz w:val="24"/>
        </w:rPr>
        <w:t>The underspend</w:t>
      </w:r>
      <w:proofErr w:type="gramEnd"/>
      <w:r w:rsidR="004B61B3">
        <w:rPr>
          <w:rFonts w:ascii="Arial" w:hAnsi="Arial"/>
          <w:sz w:val="24"/>
        </w:rPr>
        <w:t xml:space="preserve"> on General Needs voids can be used to offset this overspend. It is not possible to predict either the number of or condition of properties being returned, however this trend in higher spend on PIV has been reflected in the re-forecasted figures submitted this month. </w:t>
      </w:r>
    </w:p>
    <w:p w:rsidR="00714AFB" w:rsidRPr="00353C1D" w:rsidRDefault="00714AFB" w:rsidP="00714AFB">
      <w:pPr>
        <w:pStyle w:val="ListParagraph"/>
        <w:rPr>
          <w:rFonts w:ascii="Arial" w:hAnsi="Arial"/>
          <w:sz w:val="24"/>
        </w:rPr>
      </w:pPr>
    </w:p>
    <w:p w:rsidR="00714AFB" w:rsidRDefault="004B61B3" w:rsidP="00714AFB">
      <w:pPr>
        <w:pStyle w:val="ListParagraph"/>
        <w:numPr>
          <w:ilvl w:val="0"/>
          <w:numId w:val="1"/>
        </w:numPr>
        <w:ind w:hanging="720"/>
        <w:jc w:val="both"/>
        <w:rPr>
          <w:rFonts w:ascii="Arial" w:hAnsi="Arial"/>
          <w:sz w:val="24"/>
        </w:rPr>
      </w:pPr>
      <w:r>
        <w:rPr>
          <w:rFonts w:ascii="Arial" w:hAnsi="Arial"/>
          <w:sz w:val="24"/>
        </w:rPr>
        <w:t>There is a small (£3</w:t>
      </w:r>
      <w:r w:rsidR="00714AFB">
        <w:rPr>
          <w:rFonts w:ascii="Arial" w:hAnsi="Arial"/>
          <w:sz w:val="24"/>
        </w:rPr>
        <w:t>k) negative variance on Supporte</w:t>
      </w:r>
      <w:r>
        <w:rPr>
          <w:rFonts w:ascii="Arial" w:hAnsi="Arial"/>
          <w:sz w:val="24"/>
        </w:rPr>
        <w:t xml:space="preserve">d Housing Voids which is a reduction on the August figure of £5k. Of greater concern is </w:t>
      </w:r>
      <w:proofErr w:type="gramStart"/>
      <w:r>
        <w:rPr>
          <w:rFonts w:ascii="Arial" w:hAnsi="Arial"/>
          <w:sz w:val="24"/>
        </w:rPr>
        <w:t>the underspend</w:t>
      </w:r>
      <w:proofErr w:type="gramEnd"/>
      <w:r>
        <w:rPr>
          <w:rFonts w:ascii="Arial" w:hAnsi="Arial"/>
          <w:sz w:val="24"/>
        </w:rPr>
        <w:t xml:space="preserve"> on Agency works of £13k. This will be investigated to establish the cause. </w:t>
      </w:r>
    </w:p>
    <w:p w:rsidR="00252D52" w:rsidRPr="00714AFB" w:rsidRDefault="00252D52" w:rsidP="00714AFB">
      <w:pPr>
        <w:jc w:val="both"/>
        <w:rPr>
          <w:rFonts w:ascii="Arial" w:hAnsi="Arial"/>
          <w:sz w:val="24"/>
        </w:rPr>
      </w:pPr>
    </w:p>
    <w:p w:rsidR="002B140F" w:rsidRDefault="002B140F" w:rsidP="00C2284C">
      <w:pPr>
        <w:pStyle w:val="ListParagraph"/>
        <w:numPr>
          <w:ilvl w:val="0"/>
          <w:numId w:val="1"/>
        </w:numPr>
        <w:ind w:hanging="720"/>
        <w:jc w:val="both"/>
        <w:rPr>
          <w:rFonts w:ascii="Arial" w:hAnsi="Arial"/>
          <w:sz w:val="24"/>
        </w:rPr>
      </w:pPr>
      <w:r>
        <w:rPr>
          <w:rFonts w:ascii="Arial" w:hAnsi="Arial"/>
          <w:sz w:val="24"/>
        </w:rPr>
        <w:t xml:space="preserve">There is also </w:t>
      </w:r>
      <w:proofErr w:type="gramStart"/>
      <w:r>
        <w:rPr>
          <w:rFonts w:ascii="Arial" w:hAnsi="Arial"/>
          <w:sz w:val="24"/>
        </w:rPr>
        <w:t>an overspend</w:t>
      </w:r>
      <w:proofErr w:type="gramEnd"/>
      <w:r>
        <w:rPr>
          <w:rFonts w:ascii="Arial" w:hAnsi="Arial"/>
          <w:sz w:val="24"/>
        </w:rPr>
        <w:t xml:space="preserve"> on the Day to Day Administration code of £39k which relates to the Head Office repairs to the roof. </w:t>
      </w:r>
    </w:p>
    <w:p w:rsidR="002B140F" w:rsidRPr="00353C1D" w:rsidRDefault="002B140F" w:rsidP="00353C1D">
      <w:pPr>
        <w:jc w:val="both"/>
        <w:rPr>
          <w:rFonts w:ascii="Arial" w:hAnsi="Arial"/>
          <w:sz w:val="24"/>
        </w:rPr>
      </w:pPr>
    </w:p>
    <w:p w:rsidR="00252D52" w:rsidRPr="00252D52" w:rsidRDefault="00252D52" w:rsidP="00252D52">
      <w:pPr>
        <w:pStyle w:val="ListParagraph"/>
        <w:rPr>
          <w:rFonts w:ascii="Arial" w:hAnsi="Arial"/>
          <w:sz w:val="24"/>
        </w:rPr>
      </w:pPr>
    </w:p>
    <w:p w:rsidR="006C2379" w:rsidRDefault="00745CB6"/>
    <w:p w:rsidR="0082799A" w:rsidRPr="00353C1D" w:rsidRDefault="0082799A">
      <w:pPr>
        <w:rPr>
          <w:rFonts w:ascii="Arial" w:hAnsi="Arial" w:cs="Arial"/>
          <w:sz w:val="24"/>
          <w:szCs w:val="24"/>
        </w:rPr>
      </w:pPr>
      <w:r>
        <w:rPr>
          <w:rFonts w:ascii="Arial" w:hAnsi="Arial" w:cs="Arial"/>
          <w:sz w:val="24"/>
          <w:szCs w:val="24"/>
        </w:rPr>
        <w:t xml:space="preserve"> </w:t>
      </w:r>
    </w:p>
    <w:sectPr w:rsidR="0082799A" w:rsidRPr="00353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90A"/>
    <w:multiLevelType w:val="hybridMultilevel"/>
    <w:tmpl w:val="A420CE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5272709"/>
    <w:multiLevelType w:val="multilevel"/>
    <w:tmpl w:val="3B8CF06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4C"/>
    <w:rsid w:val="00172D7B"/>
    <w:rsid w:val="0017311D"/>
    <w:rsid w:val="001738E1"/>
    <w:rsid w:val="00252D52"/>
    <w:rsid w:val="002B140F"/>
    <w:rsid w:val="002C16E2"/>
    <w:rsid w:val="00325A15"/>
    <w:rsid w:val="0032621A"/>
    <w:rsid w:val="00346A18"/>
    <w:rsid w:val="00353C1D"/>
    <w:rsid w:val="003F56AF"/>
    <w:rsid w:val="003F6676"/>
    <w:rsid w:val="00414590"/>
    <w:rsid w:val="0041768D"/>
    <w:rsid w:val="00451830"/>
    <w:rsid w:val="004829C2"/>
    <w:rsid w:val="004950E4"/>
    <w:rsid w:val="004A3738"/>
    <w:rsid w:val="004B61B3"/>
    <w:rsid w:val="00507964"/>
    <w:rsid w:val="005344D2"/>
    <w:rsid w:val="005428F8"/>
    <w:rsid w:val="005535E2"/>
    <w:rsid w:val="005854FF"/>
    <w:rsid w:val="00592E58"/>
    <w:rsid w:val="005A0B10"/>
    <w:rsid w:val="005B4B2D"/>
    <w:rsid w:val="005F33F0"/>
    <w:rsid w:val="006B147A"/>
    <w:rsid w:val="00714AFB"/>
    <w:rsid w:val="007167EF"/>
    <w:rsid w:val="00745CB6"/>
    <w:rsid w:val="00780EEF"/>
    <w:rsid w:val="007A16B4"/>
    <w:rsid w:val="0080400C"/>
    <w:rsid w:val="008068B2"/>
    <w:rsid w:val="0082799A"/>
    <w:rsid w:val="008C7BE7"/>
    <w:rsid w:val="00934614"/>
    <w:rsid w:val="009B4843"/>
    <w:rsid w:val="00A6350B"/>
    <w:rsid w:val="00B314BA"/>
    <w:rsid w:val="00B62BB6"/>
    <w:rsid w:val="00BA156A"/>
    <w:rsid w:val="00BE7BA4"/>
    <w:rsid w:val="00C17349"/>
    <w:rsid w:val="00C2284C"/>
    <w:rsid w:val="00CD0068"/>
    <w:rsid w:val="00D46FFD"/>
    <w:rsid w:val="00D47060"/>
    <w:rsid w:val="00D62F14"/>
    <w:rsid w:val="00D71AB4"/>
    <w:rsid w:val="00D85EA2"/>
    <w:rsid w:val="00E1562A"/>
    <w:rsid w:val="00E85659"/>
    <w:rsid w:val="00EA039A"/>
    <w:rsid w:val="00EF0229"/>
    <w:rsid w:val="00F4640E"/>
    <w:rsid w:val="00F93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4C"/>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4C"/>
    <w:pPr>
      <w:ind w:left="720"/>
      <w:contextualSpacing/>
    </w:pPr>
  </w:style>
  <w:style w:type="paragraph" w:styleId="BodyText">
    <w:name w:val="Body Text"/>
    <w:basedOn w:val="Normal"/>
    <w:link w:val="BodyTextChar"/>
    <w:rsid w:val="00C2284C"/>
    <w:pPr>
      <w:spacing w:after="220" w:line="180" w:lineRule="atLeast"/>
      <w:ind w:left="835" w:right="835"/>
      <w:jc w:val="both"/>
    </w:pPr>
    <w:rPr>
      <w:rFonts w:ascii="Arial" w:hAnsi="Arial"/>
      <w:spacing w:val="-5"/>
      <w:lang w:val="en-US"/>
    </w:rPr>
  </w:style>
  <w:style w:type="character" w:customStyle="1" w:styleId="BodyTextChar">
    <w:name w:val="Body Text Char"/>
    <w:basedOn w:val="DefaultParagraphFont"/>
    <w:link w:val="BodyText"/>
    <w:rsid w:val="00C2284C"/>
    <w:rPr>
      <w:rFonts w:ascii="Arial" w:eastAsia="Times New Roman" w:hAnsi="Arial" w:cs="Times New Roman"/>
      <w:spacing w:val="-5"/>
      <w:sz w:val="20"/>
      <w:szCs w:val="20"/>
      <w:lang w:val="en-US"/>
    </w:rPr>
  </w:style>
  <w:style w:type="paragraph" w:styleId="BalloonText">
    <w:name w:val="Balloon Text"/>
    <w:basedOn w:val="Normal"/>
    <w:link w:val="BalloonTextChar"/>
    <w:uiPriority w:val="99"/>
    <w:semiHidden/>
    <w:unhideWhenUsed/>
    <w:rsid w:val="0032621A"/>
    <w:rPr>
      <w:rFonts w:ascii="Tahoma" w:hAnsi="Tahoma" w:cs="Tahoma"/>
      <w:sz w:val="16"/>
      <w:szCs w:val="16"/>
    </w:rPr>
  </w:style>
  <w:style w:type="character" w:customStyle="1" w:styleId="BalloonTextChar">
    <w:name w:val="Balloon Text Char"/>
    <w:basedOn w:val="DefaultParagraphFont"/>
    <w:link w:val="BalloonText"/>
    <w:uiPriority w:val="99"/>
    <w:semiHidden/>
    <w:rsid w:val="0032621A"/>
    <w:rPr>
      <w:rFonts w:ascii="Tahoma" w:eastAsia="Times New Roman" w:hAnsi="Tahoma" w:cs="Tahoma"/>
      <w:sz w:val="16"/>
      <w:szCs w:val="16"/>
      <w:lang w:val="en-AU"/>
    </w:rPr>
  </w:style>
  <w:style w:type="table" w:styleId="TableGrid">
    <w:name w:val="Table Grid"/>
    <w:basedOn w:val="TableNormal"/>
    <w:uiPriority w:val="59"/>
    <w:rsid w:val="0041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3C1D"/>
    <w:pPr>
      <w:spacing w:after="0" w:line="240" w:lineRule="auto"/>
    </w:pPr>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4C"/>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4C"/>
    <w:pPr>
      <w:ind w:left="720"/>
      <w:contextualSpacing/>
    </w:pPr>
  </w:style>
  <w:style w:type="paragraph" w:styleId="BodyText">
    <w:name w:val="Body Text"/>
    <w:basedOn w:val="Normal"/>
    <w:link w:val="BodyTextChar"/>
    <w:rsid w:val="00C2284C"/>
    <w:pPr>
      <w:spacing w:after="220" w:line="180" w:lineRule="atLeast"/>
      <w:ind w:left="835" w:right="835"/>
      <w:jc w:val="both"/>
    </w:pPr>
    <w:rPr>
      <w:rFonts w:ascii="Arial" w:hAnsi="Arial"/>
      <w:spacing w:val="-5"/>
      <w:lang w:val="en-US"/>
    </w:rPr>
  </w:style>
  <w:style w:type="character" w:customStyle="1" w:styleId="BodyTextChar">
    <w:name w:val="Body Text Char"/>
    <w:basedOn w:val="DefaultParagraphFont"/>
    <w:link w:val="BodyText"/>
    <w:rsid w:val="00C2284C"/>
    <w:rPr>
      <w:rFonts w:ascii="Arial" w:eastAsia="Times New Roman" w:hAnsi="Arial" w:cs="Times New Roman"/>
      <w:spacing w:val="-5"/>
      <w:sz w:val="20"/>
      <w:szCs w:val="20"/>
      <w:lang w:val="en-US"/>
    </w:rPr>
  </w:style>
  <w:style w:type="paragraph" w:styleId="BalloonText">
    <w:name w:val="Balloon Text"/>
    <w:basedOn w:val="Normal"/>
    <w:link w:val="BalloonTextChar"/>
    <w:uiPriority w:val="99"/>
    <w:semiHidden/>
    <w:unhideWhenUsed/>
    <w:rsid w:val="0032621A"/>
    <w:rPr>
      <w:rFonts w:ascii="Tahoma" w:hAnsi="Tahoma" w:cs="Tahoma"/>
      <w:sz w:val="16"/>
      <w:szCs w:val="16"/>
    </w:rPr>
  </w:style>
  <w:style w:type="character" w:customStyle="1" w:styleId="BalloonTextChar">
    <w:name w:val="Balloon Text Char"/>
    <w:basedOn w:val="DefaultParagraphFont"/>
    <w:link w:val="BalloonText"/>
    <w:uiPriority w:val="99"/>
    <w:semiHidden/>
    <w:rsid w:val="0032621A"/>
    <w:rPr>
      <w:rFonts w:ascii="Tahoma" w:eastAsia="Times New Roman" w:hAnsi="Tahoma" w:cs="Tahoma"/>
      <w:sz w:val="16"/>
      <w:szCs w:val="16"/>
      <w:lang w:val="en-AU"/>
    </w:rPr>
  </w:style>
  <w:style w:type="table" w:styleId="TableGrid">
    <w:name w:val="Table Grid"/>
    <w:basedOn w:val="TableNormal"/>
    <w:uiPriority w:val="59"/>
    <w:rsid w:val="0041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3C1D"/>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F1DC-E6EE-478F-91AB-F21527F6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Brown</dc:creator>
  <cp:lastModifiedBy>Phil Newsam</cp:lastModifiedBy>
  <cp:revision>2</cp:revision>
  <dcterms:created xsi:type="dcterms:W3CDTF">2016-11-29T09:46:00Z</dcterms:created>
  <dcterms:modified xsi:type="dcterms:W3CDTF">2016-11-29T09:46:00Z</dcterms:modified>
</cp:coreProperties>
</file>