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4E" w:rsidRDefault="00A65A4E">
      <w:pPr>
        <w:jc w:val="both"/>
        <w:rPr>
          <w:rFonts w:ascii="Arial" w:hAnsi="Arial"/>
          <w:sz w:val="40"/>
        </w:rPr>
      </w:pPr>
      <w:bookmarkStart w:id="0" w:name="_GoBack"/>
      <w:bookmarkEnd w:id="0"/>
      <w:r>
        <w:rPr>
          <w:rFonts w:ascii="Arial" w:hAnsi="Arial"/>
          <w:sz w:val="40"/>
        </w:rPr>
        <w:tab/>
      </w:r>
      <w:r>
        <w:rPr>
          <w:rFonts w:ascii="Arial" w:hAnsi="Arial"/>
          <w:sz w:val="40"/>
        </w:rPr>
        <w:tab/>
      </w:r>
      <w:r>
        <w:rPr>
          <w:rFonts w:ascii="Arial" w:hAnsi="Arial"/>
          <w:sz w:val="40"/>
        </w:rPr>
        <w:tab/>
      </w:r>
      <w:r>
        <w:rPr>
          <w:rFonts w:ascii="Arial" w:hAnsi="Arial"/>
          <w:sz w:val="40"/>
        </w:rPr>
        <w:tab/>
      </w:r>
      <w:r>
        <w:rPr>
          <w:rFonts w:ascii="Arial" w:hAnsi="Arial"/>
          <w:sz w:val="40"/>
        </w:rPr>
        <w:tab/>
      </w:r>
      <w:r>
        <w:rPr>
          <w:rFonts w:ascii="Arial" w:hAnsi="Arial"/>
          <w:sz w:val="40"/>
        </w:rPr>
        <w:tab/>
      </w:r>
    </w:p>
    <w:p w:rsidR="00A65A4E" w:rsidRDefault="00A65A4E">
      <w:pPr>
        <w:jc w:val="both"/>
        <w:rPr>
          <w:rFonts w:ascii="Arial" w:hAnsi="Arial"/>
          <w:sz w:val="40"/>
        </w:rPr>
      </w:pPr>
      <w:r>
        <w:rPr>
          <w:rFonts w:ascii="Arial" w:hAnsi="Arial"/>
          <w:sz w:val="40"/>
        </w:rPr>
        <w:t xml:space="preserve">Hexagon Housing Association </w:t>
      </w:r>
    </w:p>
    <w:p w:rsidR="00A65A4E" w:rsidRDefault="00A65A4E">
      <w:pPr>
        <w:jc w:val="both"/>
        <w:rPr>
          <w:rFonts w:ascii="Arial" w:hAnsi="Arial"/>
          <w:sz w:val="40"/>
        </w:rPr>
      </w:pPr>
    </w:p>
    <w:p w:rsidR="00A65A4E" w:rsidRDefault="004345F6">
      <w:pPr>
        <w:jc w:val="both"/>
        <w:rPr>
          <w:rFonts w:ascii="Arial" w:hAnsi="Arial"/>
          <w:sz w:val="40"/>
        </w:rPr>
      </w:pPr>
      <w:r>
        <w:rPr>
          <w:rFonts w:ascii="Arial" w:hAnsi="Arial"/>
          <w:sz w:val="40"/>
        </w:rPr>
        <w:t xml:space="preserve">Board </w:t>
      </w:r>
    </w:p>
    <w:p w:rsidR="00A65A4E" w:rsidRDefault="00A65A4E">
      <w:pPr>
        <w:jc w:val="both"/>
        <w:rPr>
          <w:rFonts w:ascii="Arial" w:hAnsi="Arial"/>
          <w:sz w:val="40"/>
        </w:rPr>
      </w:pPr>
    </w:p>
    <w:p w:rsidR="00A65A4E" w:rsidRDefault="0037488A">
      <w:pPr>
        <w:jc w:val="both"/>
        <w:rPr>
          <w:rFonts w:ascii="Arial" w:hAnsi="Arial"/>
          <w:sz w:val="40"/>
        </w:rPr>
      </w:pPr>
      <w:r>
        <w:rPr>
          <w:rFonts w:ascii="Arial" w:hAnsi="Arial"/>
          <w:sz w:val="40"/>
        </w:rPr>
        <w:t>2</w:t>
      </w:r>
      <w:r w:rsidR="00224C4D">
        <w:rPr>
          <w:rFonts w:ascii="Arial" w:hAnsi="Arial"/>
          <w:sz w:val="40"/>
        </w:rPr>
        <w:t>7</w:t>
      </w:r>
      <w:r w:rsidR="008D072C" w:rsidRPr="008D072C">
        <w:rPr>
          <w:rFonts w:ascii="Arial" w:hAnsi="Arial"/>
          <w:sz w:val="40"/>
          <w:vertAlign w:val="superscript"/>
        </w:rPr>
        <w:t>th</w:t>
      </w:r>
      <w:r w:rsidR="008D072C">
        <w:rPr>
          <w:rFonts w:ascii="Arial" w:hAnsi="Arial"/>
          <w:sz w:val="40"/>
        </w:rPr>
        <w:t xml:space="preserve"> September </w:t>
      </w:r>
      <w:r w:rsidR="001A2399">
        <w:rPr>
          <w:rFonts w:ascii="Arial" w:hAnsi="Arial"/>
          <w:sz w:val="40"/>
        </w:rPr>
        <w:t>201</w:t>
      </w:r>
      <w:r w:rsidR="00224C4D">
        <w:rPr>
          <w:rFonts w:ascii="Arial" w:hAnsi="Arial"/>
          <w:sz w:val="40"/>
        </w:rPr>
        <w:t>6</w:t>
      </w:r>
    </w:p>
    <w:p w:rsidR="00A65A4E" w:rsidRDefault="00A65A4E">
      <w:pPr>
        <w:jc w:val="both"/>
        <w:rPr>
          <w:rFonts w:ascii="Arial" w:hAnsi="Arial"/>
          <w:sz w:val="40"/>
        </w:rPr>
      </w:pPr>
    </w:p>
    <w:p w:rsidR="008A244E" w:rsidRDefault="008A244E">
      <w:pPr>
        <w:jc w:val="both"/>
        <w:rPr>
          <w:rFonts w:ascii="Arial" w:hAnsi="Arial"/>
          <w:sz w:val="40"/>
        </w:rPr>
      </w:pPr>
      <w:r>
        <w:rPr>
          <w:rFonts w:ascii="Arial" w:hAnsi="Arial"/>
          <w:sz w:val="40"/>
        </w:rPr>
        <w:t>Lead Board Member – Martin Large</w:t>
      </w:r>
    </w:p>
    <w:p w:rsidR="008A244E" w:rsidRDefault="008A244E">
      <w:pPr>
        <w:jc w:val="both"/>
        <w:rPr>
          <w:rFonts w:ascii="Arial" w:hAnsi="Arial"/>
          <w:sz w:val="40"/>
        </w:rPr>
      </w:pPr>
    </w:p>
    <w:p w:rsidR="00A65A4E" w:rsidRDefault="00A65A4E">
      <w:pPr>
        <w:jc w:val="both"/>
        <w:rPr>
          <w:rFonts w:ascii="Arial" w:hAnsi="Arial"/>
          <w:sz w:val="40"/>
        </w:rPr>
      </w:pPr>
      <w:r>
        <w:rPr>
          <w:rFonts w:ascii="Arial" w:hAnsi="Arial"/>
          <w:sz w:val="40"/>
        </w:rPr>
        <w:t xml:space="preserve">Report by the Finance and </w:t>
      </w:r>
      <w:r w:rsidR="001249F5">
        <w:rPr>
          <w:rFonts w:ascii="Arial" w:hAnsi="Arial"/>
          <w:sz w:val="40"/>
        </w:rPr>
        <w:t>IT</w:t>
      </w:r>
      <w:r>
        <w:rPr>
          <w:rFonts w:ascii="Arial" w:hAnsi="Arial"/>
          <w:sz w:val="40"/>
        </w:rPr>
        <w:t xml:space="preserve"> Director</w:t>
      </w:r>
    </w:p>
    <w:p w:rsidR="00F6349F" w:rsidRDefault="00F6349F">
      <w:pPr>
        <w:jc w:val="both"/>
        <w:rPr>
          <w:rFonts w:ascii="Arial" w:hAnsi="Arial"/>
          <w:sz w:val="40"/>
        </w:rPr>
      </w:pPr>
    </w:p>
    <w:p w:rsidR="00A65A4E" w:rsidRPr="0045716C" w:rsidRDefault="00467AF9">
      <w:pPr>
        <w:jc w:val="both"/>
        <w:rPr>
          <w:rFonts w:ascii="Arial" w:hAnsi="Arial"/>
          <w:sz w:val="40"/>
        </w:rPr>
      </w:pPr>
      <w:r>
        <w:rPr>
          <w:rFonts w:ascii="Arial" w:hAnsi="Arial"/>
          <w:sz w:val="40"/>
        </w:rPr>
        <w:t xml:space="preserve">Agenda </w:t>
      </w:r>
      <w:r w:rsidR="00A65A4E">
        <w:rPr>
          <w:rFonts w:ascii="Arial" w:hAnsi="Arial"/>
          <w:sz w:val="40"/>
        </w:rPr>
        <w:t xml:space="preserve">Item </w:t>
      </w:r>
      <w:r w:rsidR="00107E43" w:rsidRPr="003D4483">
        <w:rPr>
          <w:rFonts w:ascii="Arial" w:hAnsi="Arial"/>
          <w:sz w:val="40"/>
          <w:highlight w:val="yellow"/>
        </w:rPr>
        <w:t>X</w:t>
      </w:r>
    </w:p>
    <w:p w:rsidR="00467AF9" w:rsidRDefault="00467AF9">
      <w:pPr>
        <w:rPr>
          <w:rFonts w:ascii="Arial" w:hAnsi="Arial"/>
          <w:sz w:val="40"/>
        </w:rPr>
      </w:pPr>
    </w:p>
    <w:p w:rsidR="00874A1A" w:rsidRDefault="008A244E">
      <w:pPr>
        <w:rPr>
          <w:rFonts w:ascii="Arial" w:hAnsi="Arial"/>
          <w:sz w:val="40"/>
        </w:rPr>
      </w:pPr>
      <w:r>
        <w:rPr>
          <w:rFonts w:ascii="Arial" w:hAnsi="Arial"/>
          <w:sz w:val="40"/>
        </w:rPr>
        <w:t xml:space="preserve">Progress to date on the Value for Money Strategy and the </w:t>
      </w:r>
      <w:r w:rsidR="00467AF9">
        <w:rPr>
          <w:rFonts w:ascii="Arial" w:hAnsi="Arial"/>
          <w:sz w:val="40"/>
        </w:rPr>
        <w:t xml:space="preserve">Value for Money </w:t>
      </w:r>
      <w:r w:rsidR="008D072C">
        <w:rPr>
          <w:rFonts w:ascii="Arial" w:hAnsi="Arial"/>
          <w:sz w:val="40"/>
        </w:rPr>
        <w:t>Self - Assessment</w:t>
      </w:r>
    </w:p>
    <w:p w:rsidR="00A65A4E" w:rsidRDefault="00A65A4E">
      <w:pPr>
        <w:rPr>
          <w:rFonts w:ascii="Arial" w:hAnsi="Arial"/>
        </w:rPr>
      </w:pPr>
    </w:p>
    <w:p w:rsidR="00A65A4E" w:rsidRDefault="00A65A4E">
      <w:pPr>
        <w:jc w:val="both"/>
        <w:rPr>
          <w:rFonts w:ascii="Arial" w:hAnsi="Arial"/>
          <w:sz w:val="28"/>
        </w:rPr>
      </w:pPr>
      <w:r>
        <w:rPr>
          <w:rFonts w:ascii="Arial" w:hAnsi="Arial"/>
          <w:sz w:val="28"/>
        </w:rPr>
        <w:t>1.0</w:t>
      </w:r>
      <w:r>
        <w:rPr>
          <w:rFonts w:ascii="Arial" w:hAnsi="Arial"/>
          <w:b/>
          <w:sz w:val="28"/>
        </w:rPr>
        <w:tab/>
        <w:t>Summary</w:t>
      </w:r>
    </w:p>
    <w:p w:rsidR="00A65A4E" w:rsidRDefault="00A65A4E">
      <w:pPr>
        <w:jc w:val="both"/>
        <w:rPr>
          <w:rFonts w:ascii="Arial" w:hAnsi="Arial"/>
        </w:rPr>
      </w:pPr>
    </w:p>
    <w:p w:rsidR="008A244E" w:rsidRPr="005C70F3" w:rsidRDefault="008A244E" w:rsidP="00F5003D">
      <w:pPr>
        <w:ind w:left="780"/>
        <w:jc w:val="both"/>
        <w:rPr>
          <w:rFonts w:ascii="Arial" w:hAnsi="Arial"/>
          <w:i/>
        </w:rPr>
      </w:pPr>
      <w:r w:rsidRPr="005C70F3">
        <w:rPr>
          <w:rFonts w:ascii="Arial" w:hAnsi="Arial"/>
          <w:i/>
        </w:rPr>
        <w:t xml:space="preserve">Hexagon is making progress on many of the value for money targets set by the Board, although there are </w:t>
      </w:r>
      <w:r w:rsidR="005F4F38">
        <w:rPr>
          <w:rFonts w:ascii="Arial" w:hAnsi="Arial"/>
          <w:i/>
        </w:rPr>
        <w:t>some</w:t>
      </w:r>
      <w:r w:rsidR="005F4F38" w:rsidRPr="005C70F3">
        <w:rPr>
          <w:rFonts w:ascii="Arial" w:hAnsi="Arial"/>
          <w:i/>
        </w:rPr>
        <w:t xml:space="preserve"> </w:t>
      </w:r>
      <w:r w:rsidRPr="005C70F3">
        <w:rPr>
          <w:rFonts w:ascii="Arial" w:hAnsi="Arial"/>
          <w:i/>
        </w:rPr>
        <w:t>areas where no progress has been made.</w:t>
      </w:r>
    </w:p>
    <w:p w:rsidR="00F5003D" w:rsidRDefault="00C40C4B" w:rsidP="00F5003D">
      <w:pPr>
        <w:ind w:left="780"/>
        <w:jc w:val="both"/>
        <w:rPr>
          <w:rFonts w:ascii="Arial" w:hAnsi="Arial"/>
          <w:i/>
        </w:rPr>
      </w:pPr>
      <w:r w:rsidRPr="00020EE0">
        <w:rPr>
          <w:rFonts w:ascii="Arial" w:hAnsi="Arial"/>
          <w:i/>
        </w:rPr>
        <w:t xml:space="preserve">The attached Value for Money </w:t>
      </w:r>
      <w:r w:rsidR="008D072C" w:rsidRPr="00020EE0">
        <w:rPr>
          <w:rFonts w:ascii="Arial" w:hAnsi="Arial"/>
          <w:i/>
        </w:rPr>
        <w:t xml:space="preserve">Self – Assessment </w:t>
      </w:r>
      <w:r w:rsidR="00BF615A" w:rsidRPr="005C70F3">
        <w:rPr>
          <w:rFonts w:ascii="Arial" w:hAnsi="Arial"/>
          <w:i/>
        </w:rPr>
        <w:t>sets out</w:t>
      </w:r>
      <w:r w:rsidR="005D0966" w:rsidRPr="005C70F3">
        <w:rPr>
          <w:rFonts w:ascii="Arial" w:hAnsi="Arial"/>
          <w:i/>
        </w:rPr>
        <w:t>, in a way that is transparent and accessible to stakeholders, how Hexagon is achieving VFM in delivering our purpose and objectives.</w:t>
      </w:r>
      <w:r w:rsidR="00BF615A">
        <w:rPr>
          <w:rFonts w:ascii="Arial" w:hAnsi="Arial"/>
          <w:i/>
        </w:rPr>
        <w:t xml:space="preserve"> </w:t>
      </w:r>
    </w:p>
    <w:p w:rsidR="00A65A4E" w:rsidRDefault="00A65A4E" w:rsidP="00F5003D">
      <w:pPr>
        <w:ind w:left="780"/>
        <w:jc w:val="both"/>
        <w:rPr>
          <w:rFonts w:ascii="Arial" w:hAnsi="Arial"/>
        </w:rPr>
      </w:pPr>
      <w:r>
        <w:rPr>
          <w:rFonts w:ascii="Arial" w:hAnsi="Arial"/>
        </w:rPr>
        <w:t>___________________________________</w:t>
      </w:r>
      <w:r w:rsidR="00A00518">
        <w:rPr>
          <w:rFonts w:ascii="Arial" w:hAnsi="Arial"/>
        </w:rPr>
        <w:t>__________________________</w:t>
      </w:r>
    </w:p>
    <w:p w:rsidR="00A65A4E" w:rsidRDefault="00A65A4E">
      <w:pPr>
        <w:jc w:val="both"/>
        <w:rPr>
          <w:rFonts w:ascii="Arial" w:hAnsi="Arial"/>
        </w:rPr>
      </w:pPr>
    </w:p>
    <w:p w:rsidR="00A65A4E" w:rsidRDefault="00A65A4E" w:rsidP="009C6872">
      <w:pPr>
        <w:numPr>
          <w:ilvl w:val="0"/>
          <w:numId w:val="3"/>
        </w:numPr>
        <w:jc w:val="both"/>
        <w:rPr>
          <w:rFonts w:ascii="Arial" w:hAnsi="Arial"/>
          <w:b/>
          <w:sz w:val="28"/>
        </w:rPr>
      </w:pPr>
      <w:r>
        <w:rPr>
          <w:rFonts w:ascii="Arial" w:hAnsi="Arial"/>
          <w:b/>
          <w:sz w:val="28"/>
        </w:rPr>
        <w:t>Recommendation</w:t>
      </w:r>
    </w:p>
    <w:p w:rsidR="0037488A" w:rsidRDefault="00DA1FF3" w:rsidP="00F5003D">
      <w:pPr>
        <w:ind w:left="720"/>
        <w:jc w:val="both"/>
        <w:rPr>
          <w:rFonts w:ascii="Arial" w:hAnsi="Arial"/>
        </w:rPr>
      </w:pPr>
      <w:r w:rsidRPr="00BF615A">
        <w:rPr>
          <w:rFonts w:ascii="Arial" w:hAnsi="Arial"/>
        </w:rPr>
        <w:t>The Boa</w:t>
      </w:r>
      <w:r w:rsidR="00A31283" w:rsidRPr="00BF615A">
        <w:rPr>
          <w:rFonts w:ascii="Arial" w:hAnsi="Arial"/>
        </w:rPr>
        <w:t>rd is</w:t>
      </w:r>
      <w:r w:rsidR="00C17D28" w:rsidRPr="00BF615A">
        <w:rPr>
          <w:rFonts w:ascii="Arial" w:hAnsi="Arial"/>
        </w:rPr>
        <w:t xml:space="preserve"> </w:t>
      </w:r>
      <w:r w:rsidR="00FD7CB8" w:rsidRPr="00BF615A">
        <w:rPr>
          <w:rFonts w:ascii="Arial" w:hAnsi="Arial"/>
        </w:rPr>
        <w:t xml:space="preserve">asked </w:t>
      </w:r>
      <w:r w:rsidR="0037488A">
        <w:rPr>
          <w:rFonts w:ascii="Arial" w:hAnsi="Arial"/>
        </w:rPr>
        <w:t>to:</w:t>
      </w:r>
    </w:p>
    <w:p w:rsidR="0037488A" w:rsidRDefault="0037488A" w:rsidP="005C70F3">
      <w:pPr>
        <w:numPr>
          <w:ilvl w:val="0"/>
          <w:numId w:val="35"/>
        </w:numPr>
        <w:jc w:val="both"/>
        <w:rPr>
          <w:rFonts w:ascii="Arial" w:hAnsi="Arial"/>
        </w:rPr>
      </w:pPr>
      <w:r>
        <w:rPr>
          <w:rFonts w:ascii="Arial" w:hAnsi="Arial"/>
        </w:rPr>
        <w:t>Note the progress against the current Value for Money Strategy</w:t>
      </w:r>
    </w:p>
    <w:p w:rsidR="000F2B30" w:rsidRPr="000F2B30" w:rsidRDefault="000F2B30" w:rsidP="000F2B30">
      <w:pPr>
        <w:numPr>
          <w:ilvl w:val="0"/>
          <w:numId w:val="35"/>
        </w:numPr>
        <w:rPr>
          <w:rFonts w:ascii="Arial" w:hAnsi="Arial"/>
        </w:rPr>
      </w:pPr>
      <w:r w:rsidRPr="000F2B30">
        <w:rPr>
          <w:rFonts w:ascii="Arial" w:hAnsi="Arial"/>
        </w:rPr>
        <w:t>Approve the 201</w:t>
      </w:r>
      <w:r w:rsidR="00224C4D">
        <w:rPr>
          <w:rFonts w:ascii="Arial" w:hAnsi="Arial"/>
        </w:rPr>
        <w:t>6</w:t>
      </w:r>
      <w:r w:rsidRPr="000F2B30">
        <w:rPr>
          <w:rFonts w:ascii="Arial" w:hAnsi="Arial"/>
        </w:rPr>
        <w:t xml:space="preserve"> Value for Money Self Assessment</w:t>
      </w:r>
    </w:p>
    <w:p w:rsidR="00F5003D" w:rsidRDefault="00F5003D" w:rsidP="005C70F3">
      <w:pPr>
        <w:ind w:left="1080"/>
        <w:jc w:val="both"/>
        <w:rPr>
          <w:rFonts w:ascii="Arial" w:hAnsi="Arial"/>
        </w:rPr>
      </w:pPr>
    </w:p>
    <w:p w:rsidR="00A65A4E" w:rsidRDefault="00A65A4E">
      <w:pPr>
        <w:jc w:val="both"/>
        <w:rPr>
          <w:rFonts w:ascii="Arial" w:hAnsi="Arial"/>
        </w:rPr>
      </w:pPr>
    </w:p>
    <w:p w:rsidR="00A65A4E" w:rsidRDefault="000A43C4" w:rsidP="000A43C4">
      <w:pPr>
        <w:jc w:val="both"/>
        <w:rPr>
          <w:rFonts w:ascii="Arial" w:hAnsi="Arial"/>
          <w:b/>
        </w:rPr>
      </w:pPr>
      <w:r w:rsidRPr="006A36BF">
        <w:rPr>
          <w:rFonts w:ascii="Arial" w:hAnsi="Arial"/>
        </w:rPr>
        <w:t>3.0</w:t>
      </w:r>
      <w:r>
        <w:rPr>
          <w:rFonts w:ascii="Arial" w:hAnsi="Arial"/>
          <w:b/>
        </w:rPr>
        <w:t xml:space="preserve"> </w:t>
      </w:r>
      <w:r>
        <w:rPr>
          <w:rFonts w:ascii="Arial" w:hAnsi="Arial"/>
          <w:b/>
        </w:rPr>
        <w:tab/>
      </w:r>
      <w:r w:rsidR="009936E0">
        <w:rPr>
          <w:rFonts w:ascii="Arial" w:hAnsi="Arial"/>
          <w:b/>
        </w:rPr>
        <w:t xml:space="preserve">Background </w:t>
      </w:r>
    </w:p>
    <w:p w:rsidR="00A65A4E" w:rsidRDefault="00947866" w:rsidP="00947866">
      <w:pPr>
        <w:tabs>
          <w:tab w:val="left" w:pos="7700"/>
        </w:tabs>
        <w:jc w:val="both"/>
        <w:rPr>
          <w:rFonts w:ascii="Arial" w:hAnsi="Arial"/>
        </w:rPr>
      </w:pPr>
      <w:r>
        <w:rPr>
          <w:rFonts w:ascii="Arial" w:hAnsi="Arial"/>
        </w:rPr>
        <w:tab/>
      </w:r>
    </w:p>
    <w:p w:rsidR="005F4F38" w:rsidRDefault="0037488A" w:rsidP="007A3E55">
      <w:pPr>
        <w:numPr>
          <w:ilvl w:val="1"/>
          <w:numId w:val="1"/>
        </w:numPr>
        <w:jc w:val="both"/>
        <w:rPr>
          <w:rFonts w:ascii="Arial" w:hAnsi="Arial"/>
        </w:rPr>
      </w:pPr>
      <w:r w:rsidRPr="007A3E55">
        <w:rPr>
          <w:rFonts w:ascii="Arial" w:hAnsi="Arial"/>
        </w:rPr>
        <w:t xml:space="preserve">The Board agreed a three-year Value for Money Strategy in May 2014 which included both interim and final targets across </w:t>
      </w:r>
      <w:r w:rsidR="00706A55" w:rsidRPr="007A3E55">
        <w:rPr>
          <w:rFonts w:ascii="Arial" w:hAnsi="Arial"/>
        </w:rPr>
        <w:t>45</w:t>
      </w:r>
      <w:r w:rsidRPr="007A3E55">
        <w:rPr>
          <w:rFonts w:ascii="Arial" w:hAnsi="Arial"/>
        </w:rPr>
        <w:t xml:space="preserve"> cost and quality indicators. This report set out the progress made to date.</w:t>
      </w:r>
      <w:r w:rsidR="005F4F38" w:rsidRPr="007A3E55">
        <w:rPr>
          <w:rFonts w:ascii="Arial" w:hAnsi="Arial"/>
        </w:rPr>
        <w:t xml:space="preserve"> </w:t>
      </w:r>
    </w:p>
    <w:p w:rsidR="005F4F38" w:rsidRDefault="005F4F38" w:rsidP="007A3E55">
      <w:pPr>
        <w:ind w:left="720"/>
        <w:jc w:val="both"/>
        <w:rPr>
          <w:rFonts w:ascii="Arial" w:hAnsi="Arial"/>
        </w:rPr>
      </w:pPr>
    </w:p>
    <w:p w:rsidR="005F4F38" w:rsidRPr="007A3E55" w:rsidRDefault="005F4F38" w:rsidP="007A3E55">
      <w:pPr>
        <w:numPr>
          <w:ilvl w:val="1"/>
          <w:numId w:val="1"/>
        </w:numPr>
        <w:jc w:val="both"/>
        <w:rPr>
          <w:rFonts w:ascii="Arial" w:hAnsi="Arial"/>
        </w:rPr>
      </w:pPr>
      <w:r>
        <w:rPr>
          <w:rFonts w:ascii="Arial" w:hAnsi="Arial"/>
        </w:rPr>
        <w:t xml:space="preserve">At the recent Board awayday, the Board appraised its performance on driving the organisation’s VFM performance and made suggestions for improvement. These will be considered as part of the next VFM strategy. In the meantime, a </w:t>
      </w:r>
      <w:r>
        <w:rPr>
          <w:rFonts w:ascii="Arial" w:hAnsi="Arial"/>
        </w:rPr>
        <w:lastRenderedPageBreak/>
        <w:t xml:space="preserve">Red-Orange-Green colour coding has been used in this report to show progress against each of the 45 indicators. </w:t>
      </w:r>
    </w:p>
    <w:p w:rsidR="0037488A" w:rsidRDefault="0037488A" w:rsidP="005C70F3">
      <w:pPr>
        <w:ind w:left="720"/>
        <w:jc w:val="both"/>
        <w:rPr>
          <w:rFonts w:ascii="Arial" w:hAnsi="Arial"/>
        </w:rPr>
      </w:pPr>
    </w:p>
    <w:p w:rsidR="0003221F" w:rsidRDefault="0003221F" w:rsidP="0003221F">
      <w:pPr>
        <w:numPr>
          <w:ilvl w:val="1"/>
          <w:numId w:val="1"/>
        </w:numPr>
        <w:jc w:val="both"/>
        <w:rPr>
          <w:rFonts w:ascii="Arial" w:hAnsi="Arial"/>
        </w:rPr>
      </w:pPr>
      <w:r>
        <w:rPr>
          <w:rFonts w:ascii="Arial" w:hAnsi="Arial"/>
        </w:rPr>
        <w:t xml:space="preserve">The HCA’s regulatory standard on value for money sets out specific expectations of registered providers. It also requires the Board to publish a robust self assessment of how the Association is achieving value for money in delivering its purpose and objectives.  A copy of the Value for Money Self Assessment is attached at Appendix </w:t>
      </w:r>
      <w:r w:rsidR="0037488A">
        <w:rPr>
          <w:rFonts w:ascii="Arial" w:hAnsi="Arial"/>
        </w:rPr>
        <w:t>2</w:t>
      </w:r>
      <w:r>
        <w:rPr>
          <w:rFonts w:ascii="Arial" w:hAnsi="Arial"/>
        </w:rPr>
        <w:t xml:space="preserve">. This </w:t>
      </w:r>
      <w:r w:rsidR="0037488A">
        <w:rPr>
          <w:rFonts w:ascii="Arial" w:hAnsi="Arial"/>
        </w:rPr>
        <w:t xml:space="preserve">will be </w:t>
      </w:r>
      <w:r>
        <w:rPr>
          <w:rFonts w:ascii="Arial" w:hAnsi="Arial"/>
        </w:rPr>
        <w:t xml:space="preserve"> published on Hexagon’s website</w:t>
      </w:r>
      <w:r w:rsidR="0037488A">
        <w:rPr>
          <w:rFonts w:ascii="Arial" w:hAnsi="Arial"/>
        </w:rPr>
        <w:t xml:space="preserve"> within a day of approval by the Board. A</w:t>
      </w:r>
      <w:r>
        <w:rPr>
          <w:rFonts w:ascii="Arial" w:hAnsi="Arial"/>
        </w:rPr>
        <w:t xml:space="preserve"> summary </w:t>
      </w:r>
      <w:r w:rsidR="0037488A">
        <w:rPr>
          <w:rFonts w:ascii="Arial" w:hAnsi="Arial"/>
        </w:rPr>
        <w:t xml:space="preserve">has already been </w:t>
      </w:r>
      <w:r>
        <w:rPr>
          <w:rFonts w:ascii="Arial" w:hAnsi="Arial"/>
        </w:rPr>
        <w:t xml:space="preserve">included in the financial statements. </w:t>
      </w:r>
      <w:r w:rsidR="005D0966">
        <w:rPr>
          <w:rFonts w:ascii="Arial" w:hAnsi="Arial"/>
        </w:rPr>
        <w:t xml:space="preserve"> </w:t>
      </w:r>
    </w:p>
    <w:p w:rsidR="005D0966" w:rsidRDefault="005D0966" w:rsidP="005D0966">
      <w:pPr>
        <w:jc w:val="both"/>
        <w:rPr>
          <w:rFonts w:ascii="Arial" w:hAnsi="Arial"/>
        </w:rPr>
      </w:pPr>
    </w:p>
    <w:p w:rsidR="005D0966" w:rsidRDefault="005D0966" w:rsidP="0003221F">
      <w:pPr>
        <w:numPr>
          <w:ilvl w:val="1"/>
          <w:numId w:val="1"/>
        </w:numPr>
        <w:jc w:val="both"/>
        <w:rPr>
          <w:rFonts w:ascii="Arial" w:hAnsi="Arial"/>
        </w:rPr>
      </w:pPr>
      <w:r>
        <w:rPr>
          <w:rFonts w:ascii="Arial" w:hAnsi="Arial"/>
        </w:rPr>
        <w:t xml:space="preserve">The section of Hexagon’s website that addresses VFM in more resident- friendly terms </w:t>
      </w:r>
      <w:r w:rsidR="00A16D2C">
        <w:rPr>
          <w:rFonts w:ascii="Arial" w:hAnsi="Arial"/>
        </w:rPr>
        <w:t xml:space="preserve">will </w:t>
      </w:r>
      <w:r>
        <w:rPr>
          <w:rFonts w:ascii="Arial" w:hAnsi="Arial"/>
        </w:rPr>
        <w:t xml:space="preserve">also be updated. </w:t>
      </w:r>
    </w:p>
    <w:p w:rsidR="0003221F" w:rsidRDefault="0003221F" w:rsidP="0003221F">
      <w:pPr>
        <w:jc w:val="both"/>
        <w:rPr>
          <w:rFonts w:ascii="Arial" w:hAnsi="Arial"/>
        </w:rPr>
      </w:pPr>
    </w:p>
    <w:p w:rsidR="00B31BE3" w:rsidRDefault="00B31BE3" w:rsidP="0003221F">
      <w:pPr>
        <w:jc w:val="both"/>
        <w:rPr>
          <w:rFonts w:ascii="Arial" w:hAnsi="Arial"/>
        </w:rPr>
      </w:pPr>
    </w:p>
    <w:p w:rsidR="004F4AC2" w:rsidRDefault="0037488A" w:rsidP="0037488A">
      <w:pPr>
        <w:numPr>
          <w:ilvl w:val="0"/>
          <w:numId w:val="2"/>
        </w:numPr>
        <w:jc w:val="both"/>
        <w:rPr>
          <w:rFonts w:ascii="Arial" w:hAnsi="Arial"/>
          <w:b/>
        </w:rPr>
      </w:pPr>
      <w:r>
        <w:rPr>
          <w:rFonts w:ascii="Arial" w:hAnsi="Arial"/>
          <w:b/>
        </w:rPr>
        <w:t xml:space="preserve">Progress against the </w:t>
      </w:r>
      <w:r w:rsidRPr="0037488A">
        <w:rPr>
          <w:rFonts w:ascii="Arial" w:hAnsi="Arial"/>
          <w:b/>
        </w:rPr>
        <w:t>14/17 VFM Strategy</w:t>
      </w:r>
    </w:p>
    <w:p w:rsidR="008D5638" w:rsidRDefault="008D5638" w:rsidP="00417C0F">
      <w:pPr>
        <w:ind w:left="720"/>
        <w:jc w:val="both"/>
        <w:rPr>
          <w:rFonts w:ascii="Arial" w:hAnsi="Arial"/>
          <w:b/>
        </w:rPr>
      </w:pPr>
    </w:p>
    <w:p w:rsidR="00BF615A" w:rsidRPr="005536CE" w:rsidRDefault="00A16D2C" w:rsidP="005536CE">
      <w:pPr>
        <w:pStyle w:val="ListParagraph"/>
        <w:ind w:left="-109"/>
        <w:jc w:val="both"/>
        <w:rPr>
          <w:rFonts w:ascii="Arial" w:hAnsi="Arial"/>
        </w:rPr>
      </w:pPr>
      <w:r>
        <w:rPr>
          <w:rFonts w:ascii="Arial" w:hAnsi="Arial"/>
        </w:rPr>
        <w:t xml:space="preserve">4.1 </w:t>
      </w:r>
      <w:r w:rsidR="00706A55" w:rsidRPr="005536CE">
        <w:rPr>
          <w:rFonts w:ascii="Arial" w:hAnsi="Arial"/>
        </w:rPr>
        <w:t xml:space="preserve">Progress against the 45 targets in the 14/17 VFM Strategy agreed in May 14 is set out in Appendix 1 (which also forms App C of the VFM </w:t>
      </w:r>
      <w:r w:rsidR="000F2B30" w:rsidRPr="005536CE">
        <w:rPr>
          <w:rFonts w:ascii="Arial" w:hAnsi="Arial"/>
        </w:rPr>
        <w:t>Self Assessment</w:t>
      </w:r>
      <w:r w:rsidR="00706A55" w:rsidRPr="005536CE">
        <w:rPr>
          <w:rFonts w:ascii="Arial" w:hAnsi="Arial"/>
        </w:rPr>
        <w:t xml:space="preserve">).  </w:t>
      </w:r>
      <w:r w:rsidR="00462A87" w:rsidRPr="005536CE">
        <w:rPr>
          <w:rFonts w:ascii="Arial" w:hAnsi="Arial"/>
        </w:rPr>
        <w:t xml:space="preserve">There has been </w:t>
      </w:r>
      <w:r w:rsidR="00224C4D" w:rsidRPr="005536CE">
        <w:rPr>
          <w:rFonts w:ascii="Arial" w:hAnsi="Arial"/>
        </w:rPr>
        <w:t>some</w:t>
      </w:r>
      <w:r w:rsidR="00462A87" w:rsidRPr="005536CE">
        <w:rPr>
          <w:rFonts w:ascii="Arial" w:hAnsi="Arial"/>
        </w:rPr>
        <w:t xml:space="preserve"> progress - o</w:t>
      </w:r>
      <w:r w:rsidR="00706A55" w:rsidRPr="005536CE">
        <w:rPr>
          <w:rFonts w:ascii="Arial" w:hAnsi="Arial"/>
        </w:rPr>
        <w:t>f the 45 targets, 1</w:t>
      </w:r>
      <w:r w:rsidR="00033F85" w:rsidRPr="005536CE">
        <w:rPr>
          <w:rFonts w:ascii="Arial" w:hAnsi="Arial"/>
        </w:rPr>
        <w:t>8</w:t>
      </w:r>
      <w:r w:rsidR="00706A55" w:rsidRPr="005536CE">
        <w:rPr>
          <w:rFonts w:ascii="Arial" w:hAnsi="Arial"/>
        </w:rPr>
        <w:t xml:space="preserve"> have been met</w:t>
      </w:r>
      <w:r w:rsidR="000F2B30" w:rsidRPr="005536CE">
        <w:rPr>
          <w:rFonts w:ascii="Arial" w:hAnsi="Arial"/>
        </w:rPr>
        <w:t xml:space="preserve">. </w:t>
      </w:r>
      <w:r w:rsidR="00033F85" w:rsidRPr="005536CE">
        <w:rPr>
          <w:rFonts w:ascii="Arial" w:hAnsi="Arial"/>
        </w:rPr>
        <w:t xml:space="preserve">22 </w:t>
      </w:r>
      <w:r w:rsidR="00706A55" w:rsidRPr="005536CE">
        <w:rPr>
          <w:rFonts w:ascii="Arial" w:hAnsi="Arial"/>
        </w:rPr>
        <w:t>have not been met</w:t>
      </w:r>
      <w:r w:rsidR="000F2B30" w:rsidRPr="005536CE">
        <w:rPr>
          <w:rFonts w:ascii="Arial" w:hAnsi="Arial"/>
        </w:rPr>
        <w:t xml:space="preserve">, but there has been some improvement on </w:t>
      </w:r>
      <w:r w:rsidR="00033F85" w:rsidRPr="005536CE">
        <w:rPr>
          <w:rFonts w:ascii="Arial" w:hAnsi="Arial"/>
        </w:rPr>
        <w:t xml:space="preserve">7 </w:t>
      </w:r>
      <w:r w:rsidR="000F2B30" w:rsidRPr="005536CE">
        <w:rPr>
          <w:rFonts w:ascii="Arial" w:hAnsi="Arial"/>
        </w:rPr>
        <w:t>of these</w:t>
      </w:r>
      <w:r w:rsidR="00706A55" w:rsidRPr="005536CE">
        <w:rPr>
          <w:rFonts w:ascii="Arial" w:hAnsi="Arial"/>
        </w:rPr>
        <w:t xml:space="preserve">. </w:t>
      </w:r>
      <w:r w:rsidR="00033F85" w:rsidRPr="005536CE">
        <w:rPr>
          <w:rFonts w:ascii="Arial" w:hAnsi="Arial"/>
        </w:rPr>
        <w:t>Of the remainder, 3 are not relevant for 15/16 and we have not been able to collect data on 2.</w:t>
      </w:r>
      <w:r w:rsidR="00C53F66" w:rsidRPr="005536CE">
        <w:rPr>
          <w:rFonts w:ascii="Arial" w:hAnsi="Arial"/>
        </w:rPr>
        <w:t xml:space="preserve"> </w:t>
      </w:r>
      <w:r w:rsidR="00706A55" w:rsidRPr="005536CE">
        <w:rPr>
          <w:rFonts w:ascii="Arial" w:hAnsi="Arial"/>
        </w:rPr>
        <w:t xml:space="preserve"> </w:t>
      </w:r>
      <w:r w:rsidR="005F4F38">
        <w:rPr>
          <w:rFonts w:ascii="Arial" w:hAnsi="Arial"/>
        </w:rPr>
        <w:t xml:space="preserve">By way of comparison, 19 of the targets had been met when we reported this time last year. </w:t>
      </w:r>
    </w:p>
    <w:p w:rsidR="00A16D2C" w:rsidRDefault="00A16D2C" w:rsidP="005536CE">
      <w:pPr>
        <w:jc w:val="both"/>
        <w:rPr>
          <w:rFonts w:ascii="Arial" w:hAnsi="Arial"/>
          <w:highlight w:val="yellow"/>
        </w:rPr>
      </w:pPr>
    </w:p>
    <w:p w:rsidR="00A16D2C" w:rsidRDefault="00A16D2C" w:rsidP="005536CE">
      <w:pPr>
        <w:jc w:val="both"/>
        <w:rPr>
          <w:rFonts w:ascii="Arial" w:hAnsi="Arial"/>
          <w:highlight w:val="yellow"/>
        </w:rPr>
      </w:pPr>
    </w:p>
    <w:p w:rsidR="00A16D2C" w:rsidRDefault="00A16D2C" w:rsidP="005536CE">
      <w:pPr>
        <w:jc w:val="both"/>
        <w:rPr>
          <w:rFonts w:ascii="Arial" w:hAnsi="Arial"/>
          <w:highlight w:val="yellow"/>
        </w:rPr>
      </w:pPr>
    </w:p>
    <w:p w:rsidR="00A16D2C" w:rsidRDefault="00A16D2C" w:rsidP="005536CE">
      <w:pPr>
        <w:jc w:val="both"/>
        <w:rPr>
          <w:rFonts w:ascii="Arial" w:hAnsi="Arial"/>
          <w:highlight w:val="yellow"/>
        </w:rPr>
      </w:pPr>
      <w:r>
        <w:rPr>
          <w:rFonts w:ascii="Arial" w:hAnsi="Arial"/>
          <w:noProof/>
          <w:lang w:val="en-GB" w:eastAsia="en-GB"/>
        </w:rPr>
        <w:drawing>
          <wp:inline distT="0" distB="0" distL="0" distR="0" wp14:anchorId="67A8544C" wp14:editId="3FB6C4F8">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16D2C" w:rsidRDefault="00A16D2C" w:rsidP="005536CE">
      <w:pPr>
        <w:jc w:val="both"/>
        <w:rPr>
          <w:rFonts w:ascii="Arial" w:hAnsi="Arial"/>
          <w:highlight w:val="yellow"/>
        </w:rPr>
      </w:pPr>
    </w:p>
    <w:p w:rsidR="00A16D2C" w:rsidRPr="005536CE" w:rsidRDefault="00A16D2C" w:rsidP="005536CE">
      <w:pPr>
        <w:jc w:val="both"/>
        <w:rPr>
          <w:rFonts w:ascii="Arial" w:hAnsi="Arial"/>
          <w:highlight w:val="yellow"/>
        </w:rPr>
      </w:pPr>
    </w:p>
    <w:p w:rsidR="00C53F66" w:rsidRDefault="00C53F66" w:rsidP="005C70F3">
      <w:pPr>
        <w:jc w:val="both"/>
        <w:rPr>
          <w:rFonts w:ascii="Arial" w:hAnsi="Arial"/>
          <w:highlight w:val="yellow"/>
        </w:rPr>
      </w:pPr>
    </w:p>
    <w:p w:rsidR="00A95192" w:rsidRDefault="00C53F66" w:rsidP="005C70F3">
      <w:pPr>
        <w:jc w:val="both"/>
        <w:rPr>
          <w:rFonts w:ascii="Arial" w:hAnsi="Arial"/>
        </w:rPr>
      </w:pPr>
      <w:r w:rsidRPr="005C70F3">
        <w:rPr>
          <w:rFonts w:ascii="Arial" w:hAnsi="Arial"/>
        </w:rPr>
        <w:t xml:space="preserve">4.2  </w:t>
      </w:r>
      <w:r w:rsidR="00033F85">
        <w:rPr>
          <w:rFonts w:ascii="Arial" w:hAnsi="Arial"/>
        </w:rPr>
        <w:t>7</w:t>
      </w:r>
      <w:r w:rsidR="005F7145">
        <w:rPr>
          <w:rFonts w:ascii="Arial" w:hAnsi="Arial"/>
        </w:rPr>
        <w:t xml:space="preserve"> out of the 1</w:t>
      </w:r>
      <w:r w:rsidR="00033F85">
        <w:rPr>
          <w:rFonts w:ascii="Arial" w:hAnsi="Arial"/>
        </w:rPr>
        <w:t>5</w:t>
      </w:r>
      <w:r w:rsidR="006A66FD">
        <w:rPr>
          <w:rFonts w:ascii="Arial" w:hAnsi="Arial"/>
        </w:rPr>
        <w:t xml:space="preserve"> </w:t>
      </w:r>
      <w:r w:rsidR="005F7145">
        <w:rPr>
          <w:rFonts w:ascii="Arial" w:hAnsi="Arial"/>
        </w:rPr>
        <w:t xml:space="preserve"> targets </w:t>
      </w:r>
      <w:r w:rsidRPr="005C70F3">
        <w:rPr>
          <w:rFonts w:ascii="Arial" w:hAnsi="Arial"/>
        </w:rPr>
        <w:t xml:space="preserve">where Hexagon has </w:t>
      </w:r>
      <w:r w:rsidR="00462A87" w:rsidRPr="005C70F3">
        <w:rPr>
          <w:rFonts w:ascii="Arial" w:hAnsi="Arial"/>
        </w:rPr>
        <w:t xml:space="preserve">not made </w:t>
      </w:r>
      <w:r w:rsidRPr="005C70F3">
        <w:rPr>
          <w:rFonts w:ascii="Arial" w:hAnsi="Arial"/>
        </w:rPr>
        <w:t>progress</w:t>
      </w:r>
      <w:r w:rsidR="005F4F38">
        <w:rPr>
          <w:rFonts w:ascii="Arial" w:hAnsi="Arial"/>
        </w:rPr>
        <w:t xml:space="preserve"> are</w:t>
      </w:r>
      <w:r w:rsidRPr="005C70F3">
        <w:rPr>
          <w:rFonts w:ascii="Arial" w:hAnsi="Arial"/>
        </w:rPr>
        <w:t xml:space="preserve"> </w:t>
      </w:r>
      <w:r w:rsidR="005F7145">
        <w:rPr>
          <w:rFonts w:ascii="Arial" w:hAnsi="Arial"/>
        </w:rPr>
        <w:t>those that involve resident satisfaction</w:t>
      </w:r>
      <w:r w:rsidR="006A66FD">
        <w:rPr>
          <w:rFonts w:ascii="Arial" w:hAnsi="Arial"/>
        </w:rPr>
        <w:t>, mainly around repairs. Officers believe that these disappointing results are likely to be a hangover from the deterioration in the repairs service under RR Richar</w:t>
      </w:r>
      <w:r w:rsidR="004601CD">
        <w:rPr>
          <w:rFonts w:ascii="Arial" w:hAnsi="Arial"/>
        </w:rPr>
        <w:t xml:space="preserve">dson. </w:t>
      </w:r>
      <w:r w:rsidR="00A95192">
        <w:rPr>
          <w:rFonts w:ascii="Arial" w:hAnsi="Arial"/>
        </w:rPr>
        <w:t>KPIs indicate that the responsive repairs service continues to improve, so it is hoped that satisfaction levels will follow.</w:t>
      </w:r>
    </w:p>
    <w:p w:rsidR="00A95192" w:rsidRDefault="00A95192" w:rsidP="005C70F3">
      <w:pPr>
        <w:jc w:val="both"/>
        <w:rPr>
          <w:rFonts w:ascii="Arial" w:hAnsi="Arial"/>
        </w:rPr>
      </w:pPr>
    </w:p>
    <w:p w:rsidR="00C53F66" w:rsidRDefault="00A95192" w:rsidP="005C70F3">
      <w:pPr>
        <w:jc w:val="both"/>
        <w:rPr>
          <w:rFonts w:ascii="Arial" w:hAnsi="Arial"/>
        </w:rPr>
      </w:pPr>
      <w:r>
        <w:rPr>
          <w:rFonts w:ascii="Arial" w:hAnsi="Arial"/>
        </w:rPr>
        <w:lastRenderedPageBreak/>
        <w:t xml:space="preserve">4.3  Other targets </w:t>
      </w:r>
      <w:r w:rsidR="005F4F38">
        <w:rPr>
          <w:rFonts w:ascii="Arial" w:hAnsi="Arial"/>
        </w:rPr>
        <w:t xml:space="preserve">where we have not been able to improve </w:t>
      </w:r>
      <w:r>
        <w:rPr>
          <w:rFonts w:ascii="Arial" w:hAnsi="Arial"/>
        </w:rPr>
        <w:t xml:space="preserve">are </w:t>
      </w:r>
      <w:r w:rsidR="005F4F38">
        <w:rPr>
          <w:rFonts w:ascii="Arial" w:hAnsi="Arial"/>
        </w:rPr>
        <w:t>set out below, along with the current actions intended rectify this.</w:t>
      </w:r>
    </w:p>
    <w:p w:rsidR="005536CE" w:rsidRPr="005C70F3" w:rsidRDefault="005536CE" w:rsidP="005C70F3">
      <w:pPr>
        <w:jc w:val="both"/>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1"/>
      </w:tblGrid>
      <w:tr w:rsidR="00873510" w:rsidRPr="00FA02E4" w:rsidTr="005536CE">
        <w:tc>
          <w:tcPr>
            <w:tcW w:w="4536" w:type="dxa"/>
            <w:shd w:val="clear" w:color="auto" w:fill="auto"/>
          </w:tcPr>
          <w:p w:rsidR="00A95192" w:rsidRPr="00FA02E4" w:rsidRDefault="00A95192" w:rsidP="00FA02E4">
            <w:pPr>
              <w:jc w:val="both"/>
              <w:rPr>
                <w:rFonts w:ascii="Arial" w:hAnsi="Arial"/>
              </w:rPr>
            </w:pPr>
            <w:r w:rsidRPr="00FA02E4">
              <w:rPr>
                <w:rFonts w:ascii="Arial" w:hAnsi="Arial"/>
              </w:rPr>
              <w:t>Target</w:t>
            </w:r>
          </w:p>
        </w:tc>
        <w:tc>
          <w:tcPr>
            <w:tcW w:w="4501" w:type="dxa"/>
            <w:shd w:val="clear" w:color="auto" w:fill="auto"/>
          </w:tcPr>
          <w:p w:rsidR="00A95192" w:rsidRPr="00FA02E4" w:rsidRDefault="00A95192" w:rsidP="00FA02E4">
            <w:pPr>
              <w:jc w:val="both"/>
              <w:rPr>
                <w:rFonts w:ascii="Arial" w:hAnsi="Arial"/>
              </w:rPr>
            </w:pPr>
            <w:r w:rsidRPr="00FA02E4">
              <w:rPr>
                <w:rFonts w:ascii="Arial" w:hAnsi="Arial"/>
              </w:rPr>
              <w:t>Action to improve</w:t>
            </w:r>
          </w:p>
        </w:tc>
      </w:tr>
      <w:tr w:rsidR="00873510" w:rsidRPr="00FA02E4" w:rsidTr="005536CE">
        <w:tc>
          <w:tcPr>
            <w:tcW w:w="4536" w:type="dxa"/>
            <w:shd w:val="clear" w:color="auto" w:fill="auto"/>
          </w:tcPr>
          <w:p w:rsidR="00A95192" w:rsidRPr="00FA02E4" w:rsidRDefault="00A95192" w:rsidP="00FA02E4">
            <w:pPr>
              <w:jc w:val="both"/>
              <w:rPr>
                <w:rFonts w:ascii="Arial" w:hAnsi="Arial"/>
              </w:rPr>
            </w:pPr>
            <w:r w:rsidRPr="00FA02E4">
              <w:rPr>
                <w:rFonts w:ascii="Arial" w:hAnsi="Arial"/>
              </w:rPr>
              <w:t>Development programme build cost -</w:t>
            </w:r>
            <w:r>
              <w:t xml:space="preserve"> </w:t>
            </w:r>
            <w:r w:rsidRPr="00FA02E4">
              <w:rPr>
                <w:rFonts w:ascii="Arial" w:hAnsi="Arial"/>
              </w:rPr>
              <w:t xml:space="preserve">we had to revise the target upwards after it was set, but even this proved impossible to meet in the current market conditions.  This was discussed with the Board several times during the year  </w:t>
            </w:r>
          </w:p>
        </w:tc>
        <w:tc>
          <w:tcPr>
            <w:tcW w:w="4501" w:type="dxa"/>
            <w:shd w:val="clear" w:color="auto" w:fill="auto"/>
          </w:tcPr>
          <w:p w:rsidR="00A95192" w:rsidRPr="00FA02E4" w:rsidRDefault="00A95192" w:rsidP="00FA02E4">
            <w:pPr>
              <w:jc w:val="both"/>
              <w:rPr>
                <w:rFonts w:ascii="Arial" w:hAnsi="Arial"/>
              </w:rPr>
            </w:pPr>
            <w:r w:rsidRPr="00FA02E4">
              <w:rPr>
                <w:rFonts w:ascii="Arial" w:hAnsi="Arial"/>
              </w:rPr>
              <w:t>No further actions proposed, as there have also been increases in rental and market values, so the programme is still within the subsidy set by the Board.</w:t>
            </w:r>
            <w:r w:rsidR="00873510">
              <w:rPr>
                <w:rFonts w:ascii="Arial" w:hAnsi="Arial"/>
              </w:rPr>
              <w:t xml:space="preserve"> All contract costs are supported by a VFM statement from the employers agent. </w:t>
            </w:r>
          </w:p>
        </w:tc>
      </w:tr>
      <w:tr w:rsidR="00873510" w:rsidRPr="00FA02E4" w:rsidTr="005536CE">
        <w:tc>
          <w:tcPr>
            <w:tcW w:w="4536" w:type="dxa"/>
            <w:shd w:val="clear" w:color="auto" w:fill="auto"/>
          </w:tcPr>
          <w:p w:rsidR="00A95192" w:rsidRPr="00FA02E4" w:rsidRDefault="00033F85" w:rsidP="00FA02E4">
            <w:pPr>
              <w:jc w:val="both"/>
              <w:rPr>
                <w:rFonts w:ascii="Arial" w:hAnsi="Arial"/>
              </w:rPr>
            </w:pPr>
            <w:r>
              <w:rPr>
                <w:rFonts w:ascii="Arial" w:hAnsi="Arial"/>
              </w:rPr>
              <w:t xml:space="preserve">Major repairs cost per property to be better than the top quartile for London </w:t>
            </w:r>
          </w:p>
        </w:tc>
        <w:tc>
          <w:tcPr>
            <w:tcW w:w="4501" w:type="dxa"/>
            <w:shd w:val="clear" w:color="auto" w:fill="auto"/>
          </w:tcPr>
          <w:p w:rsidR="00A95192" w:rsidRPr="00FA02E4" w:rsidRDefault="00891153" w:rsidP="00FA02E4">
            <w:pPr>
              <w:jc w:val="both"/>
              <w:rPr>
                <w:rFonts w:ascii="Arial" w:hAnsi="Arial"/>
              </w:rPr>
            </w:pPr>
            <w:r>
              <w:rPr>
                <w:rFonts w:ascii="Arial" w:hAnsi="Arial"/>
              </w:rPr>
              <w:t xml:space="preserve">There is a continuous programme of tendering to ensure that costs are competitive. The most expensive voids are assessed for disposal. </w:t>
            </w:r>
          </w:p>
        </w:tc>
      </w:tr>
      <w:tr w:rsidR="00873510" w:rsidRPr="00FA02E4" w:rsidTr="005536CE">
        <w:tc>
          <w:tcPr>
            <w:tcW w:w="4536" w:type="dxa"/>
            <w:shd w:val="clear" w:color="auto" w:fill="auto"/>
          </w:tcPr>
          <w:p w:rsidR="00A95192" w:rsidRPr="00FA02E4" w:rsidRDefault="00A95192" w:rsidP="00FA02E4">
            <w:pPr>
              <w:jc w:val="both"/>
              <w:rPr>
                <w:rFonts w:ascii="Arial" w:hAnsi="Arial"/>
              </w:rPr>
            </w:pPr>
            <w:r w:rsidRPr="00FA02E4">
              <w:rPr>
                <w:rFonts w:ascii="Arial" w:hAnsi="Arial"/>
              </w:rPr>
              <w:t>% repairs completed at first visit</w:t>
            </w:r>
            <w:r w:rsidR="00873510">
              <w:rPr>
                <w:rFonts w:ascii="Arial" w:hAnsi="Arial"/>
              </w:rPr>
              <w:t xml:space="preserve"> to be at least 94%</w:t>
            </w:r>
          </w:p>
        </w:tc>
        <w:tc>
          <w:tcPr>
            <w:tcW w:w="4501" w:type="dxa"/>
            <w:shd w:val="clear" w:color="auto" w:fill="auto"/>
          </w:tcPr>
          <w:p w:rsidR="00A95192" w:rsidRPr="00FA02E4" w:rsidRDefault="00743EDD" w:rsidP="007A3E55">
            <w:pPr>
              <w:jc w:val="both"/>
              <w:rPr>
                <w:rFonts w:ascii="Arial" w:hAnsi="Arial"/>
                <w:highlight w:val="cyan"/>
              </w:rPr>
            </w:pPr>
            <w:r>
              <w:rPr>
                <w:rFonts w:ascii="Arial" w:hAnsi="Arial"/>
              </w:rPr>
              <w:t>R</w:t>
            </w:r>
            <w:r w:rsidRPr="00743EDD">
              <w:rPr>
                <w:rFonts w:ascii="Arial" w:hAnsi="Arial"/>
              </w:rPr>
              <w:t>esponsive repairs contracts for 1</w:t>
            </w:r>
            <w:r w:rsidR="005F4F38">
              <w:rPr>
                <w:rFonts w:ascii="Arial" w:hAnsi="Arial"/>
              </w:rPr>
              <w:t>6/7</w:t>
            </w:r>
            <w:r w:rsidRPr="00743EDD">
              <w:rPr>
                <w:rFonts w:ascii="Arial" w:hAnsi="Arial"/>
              </w:rPr>
              <w:t xml:space="preserve"> onwards include penalties for contractors if </w:t>
            </w:r>
            <w:r>
              <w:rPr>
                <w:rFonts w:ascii="Arial" w:hAnsi="Arial"/>
              </w:rPr>
              <w:t>targets</w:t>
            </w:r>
            <w:r w:rsidRPr="00743EDD">
              <w:rPr>
                <w:rFonts w:ascii="Arial" w:hAnsi="Arial"/>
              </w:rPr>
              <w:t xml:space="preserve"> are missed</w:t>
            </w:r>
          </w:p>
        </w:tc>
      </w:tr>
      <w:tr w:rsidR="00873510" w:rsidRPr="00FA02E4" w:rsidTr="005536CE">
        <w:tc>
          <w:tcPr>
            <w:tcW w:w="4536" w:type="dxa"/>
            <w:shd w:val="clear" w:color="auto" w:fill="auto"/>
          </w:tcPr>
          <w:p w:rsidR="00873510" w:rsidRPr="00FA02E4" w:rsidRDefault="00873510" w:rsidP="00FA02E4">
            <w:pPr>
              <w:jc w:val="both"/>
              <w:rPr>
                <w:rFonts w:ascii="Arial" w:hAnsi="Arial"/>
              </w:rPr>
            </w:pPr>
            <w:r>
              <w:rPr>
                <w:rFonts w:ascii="Arial" w:hAnsi="Arial"/>
              </w:rPr>
              <w:t>Responsive repairs cost per property to be less than £445 in 14/15</w:t>
            </w:r>
          </w:p>
        </w:tc>
        <w:tc>
          <w:tcPr>
            <w:tcW w:w="4501" w:type="dxa"/>
            <w:shd w:val="clear" w:color="auto" w:fill="auto"/>
          </w:tcPr>
          <w:p w:rsidR="00873510" w:rsidRPr="00033F85" w:rsidRDefault="00873510">
            <w:pPr>
              <w:jc w:val="both"/>
              <w:rPr>
                <w:rFonts w:ascii="Arial" w:hAnsi="Arial"/>
                <w:highlight w:val="yellow"/>
              </w:rPr>
            </w:pPr>
            <w:r w:rsidRPr="00891153">
              <w:rPr>
                <w:rFonts w:ascii="Arial" w:hAnsi="Arial"/>
              </w:rPr>
              <w:t xml:space="preserve">New contracts are in place, with a full IT interface to maintain controls over variations and invoice approval. Responsive Repairs Manager approvals all orders over £500 </w:t>
            </w:r>
          </w:p>
        </w:tc>
      </w:tr>
      <w:tr w:rsidR="00873510" w:rsidRPr="00FA02E4" w:rsidTr="005536CE">
        <w:tc>
          <w:tcPr>
            <w:tcW w:w="4536" w:type="dxa"/>
            <w:shd w:val="clear" w:color="auto" w:fill="auto"/>
          </w:tcPr>
          <w:p w:rsidR="00A95192" w:rsidRPr="00FA02E4" w:rsidRDefault="00873510" w:rsidP="00FA02E4">
            <w:pPr>
              <w:jc w:val="both"/>
              <w:rPr>
                <w:rFonts w:ascii="Arial" w:hAnsi="Arial"/>
              </w:rPr>
            </w:pPr>
            <w:r>
              <w:rPr>
                <w:rFonts w:ascii="Arial" w:hAnsi="Arial"/>
              </w:rPr>
              <w:t>Void</w:t>
            </w:r>
            <w:r w:rsidR="00A95192" w:rsidRPr="00FA02E4">
              <w:rPr>
                <w:rFonts w:ascii="Arial" w:hAnsi="Arial"/>
              </w:rPr>
              <w:t xml:space="preserve"> rent loss</w:t>
            </w:r>
            <w:r>
              <w:rPr>
                <w:rFonts w:ascii="Arial" w:hAnsi="Arial"/>
              </w:rPr>
              <w:t xml:space="preserve"> to be less than 0.75%</w:t>
            </w:r>
          </w:p>
        </w:tc>
        <w:tc>
          <w:tcPr>
            <w:tcW w:w="4501" w:type="dxa"/>
            <w:shd w:val="clear" w:color="auto" w:fill="auto"/>
          </w:tcPr>
          <w:p w:rsidR="00A95192" w:rsidRPr="00FA02E4" w:rsidRDefault="00A95192" w:rsidP="00FA02E4">
            <w:pPr>
              <w:jc w:val="both"/>
              <w:rPr>
                <w:rFonts w:ascii="Arial" w:hAnsi="Arial"/>
              </w:rPr>
            </w:pPr>
            <w:r w:rsidRPr="00FA02E4">
              <w:rPr>
                <w:rFonts w:ascii="Arial" w:hAnsi="Arial"/>
              </w:rPr>
              <w:t xml:space="preserve">The target was met in </w:t>
            </w:r>
            <w:r w:rsidR="00FA02E4" w:rsidRPr="00FA02E4">
              <w:rPr>
                <w:rFonts w:ascii="Arial" w:hAnsi="Arial"/>
              </w:rPr>
              <w:t>14/15 but not in 15/16. We should be able to meet the target for 16/17 as we are now assessing fewer homes for disposal.</w:t>
            </w:r>
          </w:p>
        </w:tc>
      </w:tr>
      <w:tr w:rsidR="00873510" w:rsidRPr="00FA02E4" w:rsidTr="005536CE">
        <w:tc>
          <w:tcPr>
            <w:tcW w:w="4536" w:type="dxa"/>
            <w:shd w:val="clear" w:color="auto" w:fill="auto"/>
          </w:tcPr>
          <w:p w:rsidR="00A95192" w:rsidRPr="00FA02E4" w:rsidRDefault="00FA02E4" w:rsidP="00FA02E4">
            <w:pPr>
              <w:jc w:val="both"/>
              <w:rPr>
                <w:rFonts w:ascii="Arial" w:hAnsi="Arial"/>
              </w:rPr>
            </w:pPr>
            <w:r w:rsidRPr="00FA02E4">
              <w:rPr>
                <w:rFonts w:ascii="Arial" w:hAnsi="Arial"/>
              </w:rPr>
              <w:t>Cost per void repair (those under £2000)</w:t>
            </w:r>
            <w:r w:rsidR="00873510">
              <w:rPr>
                <w:rFonts w:ascii="Arial" w:hAnsi="Arial"/>
              </w:rPr>
              <w:t xml:space="preserve"> to be less than £1497</w:t>
            </w:r>
          </w:p>
        </w:tc>
        <w:tc>
          <w:tcPr>
            <w:tcW w:w="4501" w:type="dxa"/>
            <w:shd w:val="clear" w:color="auto" w:fill="auto"/>
          </w:tcPr>
          <w:p w:rsidR="00A95192" w:rsidRPr="00FA02E4" w:rsidRDefault="00FA02E4">
            <w:pPr>
              <w:jc w:val="both"/>
              <w:rPr>
                <w:rFonts w:ascii="Arial" w:hAnsi="Arial"/>
              </w:rPr>
            </w:pPr>
            <w:r w:rsidRPr="00FA02E4">
              <w:rPr>
                <w:rFonts w:ascii="Arial" w:hAnsi="Arial"/>
              </w:rPr>
              <w:t xml:space="preserve">The </w:t>
            </w:r>
            <w:r w:rsidRPr="00743EDD">
              <w:rPr>
                <w:rFonts w:ascii="Arial" w:hAnsi="Arial"/>
              </w:rPr>
              <w:t xml:space="preserve">target was met in 14/15 but not in 15/16. </w:t>
            </w:r>
            <w:r w:rsidR="00743EDD" w:rsidRPr="00891153">
              <w:rPr>
                <w:rFonts w:ascii="Arial" w:hAnsi="Arial"/>
              </w:rPr>
              <w:t>Costs are monitored and discussed with the voids surveyor at meetings with her line manager</w:t>
            </w:r>
            <w:r w:rsidRPr="00891153">
              <w:rPr>
                <w:rFonts w:ascii="Arial" w:hAnsi="Arial"/>
              </w:rPr>
              <w:t>.</w:t>
            </w:r>
          </w:p>
        </w:tc>
      </w:tr>
      <w:tr w:rsidR="00873510" w:rsidRPr="00FA02E4" w:rsidTr="005536CE">
        <w:tc>
          <w:tcPr>
            <w:tcW w:w="4536" w:type="dxa"/>
            <w:shd w:val="clear" w:color="auto" w:fill="auto"/>
          </w:tcPr>
          <w:p w:rsidR="00A95192" w:rsidRPr="00FA02E4" w:rsidRDefault="00FA02E4" w:rsidP="00FA02E4">
            <w:pPr>
              <w:jc w:val="both"/>
              <w:rPr>
                <w:rFonts w:ascii="Arial" w:hAnsi="Arial"/>
              </w:rPr>
            </w:pPr>
            <w:r w:rsidRPr="00FA02E4">
              <w:rPr>
                <w:rFonts w:ascii="Arial" w:hAnsi="Arial"/>
              </w:rPr>
              <w:t>Void turnaround in supported housing where not funded by the commissioning authority</w:t>
            </w:r>
            <w:r w:rsidR="00873510">
              <w:rPr>
                <w:rFonts w:ascii="Arial" w:hAnsi="Arial"/>
              </w:rPr>
              <w:t xml:space="preserve"> to be less than 34 days</w:t>
            </w:r>
            <w:r w:rsidRPr="00FA02E4">
              <w:rPr>
                <w:rFonts w:ascii="Arial" w:hAnsi="Arial"/>
              </w:rPr>
              <w:t xml:space="preserve">. </w:t>
            </w:r>
          </w:p>
        </w:tc>
        <w:tc>
          <w:tcPr>
            <w:tcW w:w="4501" w:type="dxa"/>
            <w:shd w:val="clear" w:color="auto" w:fill="auto"/>
          </w:tcPr>
          <w:p w:rsidR="00A95192" w:rsidRPr="00FA02E4" w:rsidRDefault="00FA02E4" w:rsidP="00FA02E4">
            <w:pPr>
              <w:jc w:val="both"/>
              <w:rPr>
                <w:rFonts w:ascii="Arial" w:hAnsi="Arial"/>
              </w:rPr>
            </w:pPr>
            <w:r w:rsidRPr="00FA02E4">
              <w:rPr>
                <w:rFonts w:ascii="Arial" w:hAnsi="Arial"/>
              </w:rPr>
              <w:t>The team are looking at ways of preventing unsuitable referrals.</w:t>
            </w:r>
          </w:p>
        </w:tc>
      </w:tr>
      <w:tr w:rsidR="00873510" w:rsidRPr="00FA02E4" w:rsidTr="005536CE">
        <w:tc>
          <w:tcPr>
            <w:tcW w:w="4536" w:type="dxa"/>
            <w:shd w:val="clear" w:color="auto" w:fill="auto"/>
          </w:tcPr>
          <w:p w:rsidR="00873510" w:rsidRPr="00FA02E4" w:rsidRDefault="00873510" w:rsidP="00FA02E4">
            <w:pPr>
              <w:jc w:val="both"/>
              <w:rPr>
                <w:rFonts w:ascii="Arial" w:hAnsi="Arial"/>
              </w:rPr>
            </w:pPr>
            <w:r>
              <w:rPr>
                <w:rFonts w:ascii="Arial" w:hAnsi="Arial"/>
              </w:rPr>
              <w:t xml:space="preserve">Cost per property of providing estate services to be no more than 70% of top quartile in London </w:t>
            </w:r>
          </w:p>
        </w:tc>
        <w:tc>
          <w:tcPr>
            <w:tcW w:w="4501" w:type="dxa"/>
            <w:shd w:val="clear" w:color="auto" w:fill="auto"/>
          </w:tcPr>
          <w:p w:rsidR="00873510" w:rsidRPr="00FA02E4" w:rsidRDefault="00873510" w:rsidP="00FA02E4">
            <w:pPr>
              <w:jc w:val="both"/>
              <w:rPr>
                <w:rFonts w:ascii="Arial" w:hAnsi="Arial"/>
              </w:rPr>
            </w:pPr>
            <w:r>
              <w:rPr>
                <w:rFonts w:ascii="Arial" w:hAnsi="Arial"/>
              </w:rPr>
              <w:t xml:space="preserve">Cleaning and grounds maintenance contracts have been tendered, producing an anticipated reduction in costs. However, we do need to also minimise the loss on service charges as well. </w:t>
            </w:r>
          </w:p>
        </w:tc>
      </w:tr>
    </w:tbl>
    <w:p w:rsidR="00462A87" w:rsidRPr="00020EE0" w:rsidRDefault="00462A87" w:rsidP="005C70F3">
      <w:pPr>
        <w:ind w:left="720"/>
        <w:jc w:val="both"/>
        <w:rPr>
          <w:rFonts w:ascii="Arial" w:hAnsi="Arial"/>
        </w:rPr>
      </w:pPr>
    </w:p>
    <w:p w:rsidR="006B2317" w:rsidRDefault="00BF615A" w:rsidP="005C70F3">
      <w:pPr>
        <w:jc w:val="both"/>
        <w:rPr>
          <w:rFonts w:ascii="Arial" w:hAnsi="Arial"/>
        </w:rPr>
      </w:pPr>
      <w:r w:rsidRPr="005C70F3">
        <w:rPr>
          <w:rFonts w:ascii="Arial" w:hAnsi="Arial"/>
        </w:rPr>
        <w:t>4.</w:t>
      </w:r>
      <w:r w:rsidR="00A95192">
        <w:rPr>
          <w:rFonts w:ascii="Arial" w:hAnsi="Arial"/>
        </w:rPr>
        <w:t>4</w:t>
      </w:r>
      <w:r w:rsidRPr="005C70F3">
        <w:rPr>
          <w:rFonts w:ascii="Arial" w:hAnsi="Arial"/>
        </w:rPr>
        <w:tab/>
      </w:r>
      <w:r w:rsidR="000F2B30" w:rsidRPr="005C70F3">
        <w:rPr>
          <w:rFonts w:ascii="Arial" w:hAnsi="Arial"/>
        </w:rPr>
        <w:t>Appendix E of the VFM Self Assessment lists the actions to be taken in 1</w:t>
      </w:r>
      <w:r w:rsidR="00A95192">
        <w:rPr>
          <w:rFonts w:ascii="Arial" w:hAnsi="Arial"/>
        </w:rPr>
        <w:t>6/17</w:t>
      </w:r>
      <w:r w:rsidR="000F2B30" w:rsidRPr="005C70F3">
        <w:rPr>
          <w:rFonts w:ascii="Arial" w:hAnsi="Arial"/>
        </w:rPr>
        <w:t xml:space="preserve"> as part of the VFM strategy. </w:t>
      </w:r>
      <w:r w:rsidR="00A95192">
        <w:rPr>
          <w:rFonts w:ascii="Arial" w:hAnsi="Arial"/>
        </w:rPr>
        <w:t xml:space="preserve"> </w:t>
      </w:r>
    </w:p>
    <w:p w:rsidR="006B2317" w:rsidRDefault="006B2317" w:rsidP="005C70F3">
      <w:pPr>
        <w:jc w:val="both"/>
        <w:rPr>
          <w:rFonts w:ascii="Arial" w:hAnsi="Arial"/>
        </w:rPr>
      </w:pPr>
    </w:p>
    <w:p w:rsidR="00BF615A" w:rsidRDefault="006B2317" w:rsidP="005C70F3">
      <w:pPr>
        <w:jc w:val="both"/>
        <w:rPr>
          <w:rFonts w:ascii="Arial" w:hAnsi="Arial"/>
        </w:rPr>
      </w:pPr>
      <w:r>
        <w:rPr>
          <w:rFonts w:ascii="Arial" w:hAnsi="Arial"/>
        </w:rPr>
        <w:t xml:space="preserve">4.5     </w:t>
      </w:r>
      <w:r w:rsidR="00A95192">
        <w:rPr>
          <w:rFonts w:ascii="Arial" w:hAnsi="Arial"/>
        </w:rPr>
        <w:t>A 3-year new</w:t>
      </w:r>
      <w:r>
        <w:rPr>
          <w:rFonts w:ascii="Arial" w:hAnsi="Arial"/>
        </w:rPr>
        <w:t xml:space="preserve"> VFM</w:t>
      </w:r>
      <w:r w:rsidR="00A95192">
        <w:rPr>
          <w:rFonts w:ascii="Arial" w:hAnsi="Arial"/>
        </w:rPr>
        <w:t xml:space="preserve"> strategy will be developed by the end of March 2017.</w:t>
      </w:r>
      <w:r>
        <w:rPr>
          <w:rFonts w:ascii="Arial" w:hAnsi="Arial"/>
        </w:rPr>
        <w:t xml:space="preserve"> Officers will work with the Lead Board Member to make sure that the strategy is clear on strategic direction as well as having the measurable operational targets that provide the golden thread into departmental and individual officer objectives.</w:t>
      </w:r>
    </w:p>
    <w:p w:rsidR="0037488A" w:rsidRDefault="0037488A" w:rsidP="00E73E2F">
      <w:pPr>
        <w:jc w:val="both"/>
        <w:rPr>
          <w:rFonts w:ascii="Arial" w:hAnsi="Arial"/>
        </w:rPr>
      </w:pPr>
    </w:p>
    <w:p w:rsidR="000B2250" w:rsidRPr="00E73E2F" w:rsidRDefault="00FA02E4" w:rsidP="000B2250">
      <w:pPr>
        <w:jc w:val="both"/>
        <w:rPr>
          <w:rFonts w:ascii="Arial" w:hAnsi="Arial"/>
          <w:b/>
        </w:rPr>
      </w:pPr>
      <w:r>
        <w:rPr>
          <w:rFonts w:ascii="Arial" w:hAnsi="Arial"/>
          <w:b/>
        </w:rPr>
        <w:t>5</w:t>
      </w:r>
      <w:r w:rsidR="003D4483" w:rsidRPr="00E73E2F">
        <w:rPr>
          <w:rFonts w:ascii="Arial" w:hAnsi="Arial"/>
          <w:b/>
        </w:rPr>
        <w:t>.0</w:t>
      </w:r>
      <w:r w:rsidR="003D4483" w:rsidRPr="00E73E2F">
        <w:rPr>
          <w:rFonts w:ascii="Arial" w:hAnsi="Arial"/>
          <w:b/>
        </w:rPr>
        <w:tab/>
      </w:r>
      <w:r w:rsidR="00D70A6A">
        <w:rPr>
          <w:rFonts w:ascii="Arial" w:hAnsi="Arial"/>
          <w:b/>
        </w:rPr>
        <w:t>How the VFM self assessment meets the HCA requirements</w:t>
      </w:r>
    </w:p>
    <w:p w:rsidR="00C40C4B" w:rsidRDefault="00C40C4B" w:rsidP="000B2250">
      <w:pPr>
        <w:jc w:val="both"/>
        <w:rPr>
          <w:rFonts w:ascii="Arial" w:hAnsi="Arial"/>
        </w:rPr>
      </w:pPr>
    </w:p>
    <w:p w:rsidR="008C6429" w:rsidRDefault="008C6429" w:rsidP="000B2250">
      <w:pPr>
        <w:jc w:val="both"/>
        <w:rPr>
          <w:rFonts w:ascii="Arial" w:hAnsi="Arial"/>
        </w:rPr>
      </w:pPr>
      <w:r>
        <w:rPr>
          <w:rFonts w:ascii="Arial" w:hAnsi="Arial"/>
        </w:rPr>
        <w:t>The HCA VFM standard sets a specific expectation that the assessment shall:</w:t>
      </w:r>
    </w:p>
    <w:p w:rsidR="008C6429" w:rsidRDefault="008C6429" w:rsidP="000B2250">
      <w:pPr>
        <w:jc w:val="both"/>
        <w:rPr>
          <w:rFonts w:ascii="Arial" w:hAnsi="Arial"/>
        </w:rPr>
      </w:pPr>
    </w:p>
    <w:p w:rsidR="008C6429" w:rsidRDefault="008C6429" w:rsidP="008C6429">
      <w:pPr>
        <w:numPr>
          <w:ilvl w:val="0"/>
          <w:numId w:val="31"/>
        </w:numPr>
        <w:jc w:val="both"/>
        <w:rPr>
          <w:rFonts w:ascii="Arial" w:hAnsi="Arial"/>
        </w:rPr>
      </w:pPr>
      <w:r>
        <w:rPr>
          <w:rFonts w:ascii="Arial" w:hAnsi="Arial"/>
        </w:rPr>
        <w:t>Enable stakeholders to understand the return on assets measured against the organisation’s objectives</w:t>
      </w:r>
    </w:p>
    <w:p w:rsidR="008C6429" w:rsidRDefault="008C6429" w:rsidP="008C6429">
      <w:pPr>
        <w:numPr>
          <w:ilvl w:val="0"/>
          <w:numId w:val="31"/>
        </w:numPr>
        <w:jc w:val="both"/>
        <w:rPr>
          <w:rFonts w:ascii="Arial" w:hAnsi="Arial"/>
        </w:rPr>
      </w:pPr>
      <w:r>
        <w:rPr>
          <w:rFonts w:ascii="Arial" w:hAnsi="Arial"/>
        </w:rPr>
        <w:t>Set out the absolute and comparative costs of delivering specific services</w:t>
      </w:r>
    </w:p>
    <w:p w:rsidR="008C6429" w:rsidRDefault="008C6429" w:rsidP="008C6429">
      <w:pPr>
        <w:numPr>
          <w:ilvl w:val="0"/>
          <w:numId w:val="31"/>
        </w:numPr>
        <w:jc w:val="both"/>
        <w:rPr>
          <w:rFonts w:ascii="Arial" w:hAnsi="Arial"/>
        </w:rPr>
      </w:pPr>
      <w:r>
        <w:rPr>
          <w:rFonts w:ascii="Arial" w:hAnsi="Arial"/>
        </w:rPr>
        <w:t>Evidence the value for money gains that have been and will be made and how these have and will be realised over time</w:t>
      </w:r>
    </w:p>
    <w:p w:rsidR="008C6429" w:rsidRDefault="008C6429" w:rsidP="008C6429">
      <w:pPr>
        <w:ind w:left="360"/>
        <w:jc w:val="both"/>
        <w:rPr>
          <w:rFonts w:ascii="Arial" w:hAnsi="Arial"/>
        </w:rPr>
      </w:pPr>
    </w:p>
    <w:p w:rsidR="008C6429" w:rsidRDefault="008C6429" w:rsidP="008C6429">
      <w:pPr>
        <w:ind w:left="360"/>
        <w:jc w:val="both"/>
        <w:rPr>
          <w:rFonts w:ascii="Arial" w:hAnsi="Arial"/>
        </w:rPr>
      </w:pPr>
      <w:r>
        <w:rPr>
          <w:rFonts w:ascii="Arial" w:hAnsi="Arial"/>
        </w:rPr>
        <w:t xml:space="preserve">The self assessment uses these headings to make it easy for the HCA to </w:t>
      </w:r>
      <w:r w:rsidR="00816A9B">
        <w:rPr>
          <w:rFonts w:ascii="Arial" w:hAnsi="Arial"/>
        </w:rPr>
        <w:t xml:space="preserve">check for compliance. </w:t>
      </w:r>
    </w:p>
    <w:p w:rsidR="00816A9B" w:rsidRDefault="00816A9B" w:rsidP="008C6429">
      <w:pPr>
        <w:ind w:left="360"/>
        <w:jc w:val="both"/>
        <w:rPr>
          <w:rFonts w:ascii="Arial" w:hAnsi="Arial"/>
        </w:rPr>
      </w:pPr>
    </w:p>
    <w:p w:rsidR="00B31BE3" w:rsidRDefault="005536CE" w:rsidP="00C40C4B">
      <w:pPr>
        <w:jc w:val="both"/>
        <w:rPr>
          <w:rFonts w:ascii="Arial" w:hAnsi="Arial"/>
        </w:rPr>
      </w:pPr>
      <w:r>
        <w:rPr>
          <w:rFonts w:ascii="Arial" w:hAnsi="Arial"/>
          <w:b/>
        </w:rPr>
        <w:t>6</w:t>
      </w:r>
      <w:r w:rsidR="008C6429">
        <w:rPr>
          <w:rFonts w:ascii="Arial" w:hAnsi="Arial"/>
          <w:b/>
        </w:rPr>
        <w:t>.0</w:t>
      </w:r>
      <w:r w:rsidR="008C6429">
        <w:rPr>
          <w:rFonts w:ascii="Arial" w:hAnsi="Arial"/>
          <w:b/>
        </w:rPr>
        <w:tab/>
      </w:r>
      <w:r w:rsidR="00D70A6A">
        <w:rPr>
          <w:rFonts w:ascii="Arial" w:hAnsi="Arial"/>
          <w:b/>
        </w:rPr>
        <w:t>How the Board gains assurance on VFM</w:t>
      </w:r>
    </w:p>
    <w:p w:rsidR="00B31BE3" w:rsidRDefault="00B31BE3" w:rsidP="00C40C4B">
      <w:pPr>
        <w:jc w:val="both"/>
        <w:rPr>
          <w:rFonts w:ascii="Arial" w:hAnsi="Arial"/>
        </w:rPr>
      </w:pPr>
    </w:p>
    <w:p w:rsidR="00AF5CAA" w:rsidRDefault="00D70A6A" w:rsidP="00BC65C9">
      <w:pPr>
        <w:jc w:val="both"/>
        <w:rPr>
          <w:rFonts w:cs="Arial"/>
          <w:highlight w:val="green"/>
        </w:rPr>
      </w:pPr>
      <w:r>
        <w:rPr>
          <w:rFonts w:ascii="Arial" w:hAnsi="Arial"/>
        </w:rPr>
        <w:t xml:space="preserve">The required outcomes of the HCA VFM standard are </w:t>
      </w:r>
      <w:r w:rsidR="00954159">
        <w:rPr>
          <w:rFonts w:ascii="Arial" w:hAnsi="Arial"/>
        </w:rPr>
        <w:t xml:space="preserve">set out in Appendix </w:t>
      </w:r>
      <w:r w:rsidR="00B0199E">
        <w:rPr>
          <w:rFonts w:ascii="Arial" w:hAnsi="Arial"/>
        </w:rPr>
        <w:t>3</w:t>
      </w:r>
      <w:r w:rsidR="00954159">
        <w:rPr>
          <w:rFonts w:ascii="Arial" w:hAnsi="Arial"/>
        </w:rPr>
        <w:t xml:space="preserve">, together with how the Board gains assurance that </w:t>
      </w:r>
      <w:r w:rsidR="008C6429">
        <w:rPr>
          <w:rFonts w:ascii="Arial" w:hAnsi="Arial"/>
        </w:rPr>
        <w:t>Hexagon meets the standard.</w:t>
      </w:r>
    </w:p>
    <w:sectPr w:rsidR="00AF5CAA" w:rsidSect="00AF3BCC">
      <w:headerReference w:type="even" r:id="rId9"/>
      <w:headerReference w:type="default" r:id="rId10"/>
      <w:footerReference w:type="even" r:id="rId11"/>
      <w:footerReference w:type="default" r:id="rId12"/>
      <w:headerReference w:type="first" r:id="rId13"/>
      <w:footerReference w:type="first" r:id="rId14"/>
      <w:pgSz w:w="11907" w:h="16840"/>
      <w:pgMar w:top="1440" w:right="1418" w:bottom="539" w:left="1418"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6B" w:rsidRDefault="0016306B">
      <w:r>
        <w:separator/>
      </w:r>
    </w:p>
  </w:endnote>
  <w:endnote w:type="continuationSeparator" w:id="0">
    <w:p w:rsidR="0016306B" w:rsidRDefault="001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4" w:rsidRDefault="00FA0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59" w:rsidRDefault="00954159">
    <w:pPr>
      <w:pStyle w:val="Footer"/>
    </w:pPr>
    <w:r>
      <w:rPr>
        <w:rStyle w:val="PageNumber"/>
      </w:rPr>
      <w:fldChar w:fldCharType="begin"/>
    </w:r>
    <w:r>
      <w:rPr>
        <w:rStyle w:val="PageNumber"/>
      </w:rPr>
      <w:instrText xml:space="preserve"> PAGE </w:instrText>
    </w:r>
    <w:r>
      <w:rPr>
        <w:rStyle w:val="PageNumber"/>
      </w:rPr>
      <w:fldChar w:fldCharType="separate"/>
    </w:r>
    <w:r w:rsidR="009264D0">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4" w:rsidRDefault="00FA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6B" w:rsidRDefault="0016306B">
      <w:r>
        <w:separator/>
      </w:r>
    </w:p>
  </w:footnote>
  <w:footnote w:type="continuationSeparator" w:id="0">
    <w:p w:rsidR="0016306B" w:rsidRDefault="0016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4" w:rsidRDefault="00FA0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4" w:rsidRDefault="00FA0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E4" w:rsidRDefault="00FA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FFC"/>
    <w:multiLevelType w:val="hybridMultilevel"/>
    <w:tmpl w:val="41D6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40F4B"/>
    <w:multiLevelType w:val="multilevel"/>
    <w:tmpl w:val="BE9AB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FE22AD"/>
    <w:multiLevelType w:val="hybridMultilevel"/>
    <w:tmpl w:val="240E9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B55665"/>
    <w:multiLevelType w:val="multilevel"/>
    <w:tmpl w:val="739CC816"/>
    <w:lvl w:ilvl="0">
      <w:start w:val="4"/>
      <w:numFmt w:val="decimal"/>
      <w:lvlText w:val="%1.0"/>
      <w:lvlJc w:val="left"/>
      <w:pPr>
        <w:tabs>
          <w:tab w:val="num" w:pos="2989"/>
        </w:tabs>
        <w:ind w:left="2989" w:hanging="720"/>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E9231B"/>
    <w:multiLevelType w:val="hybridMultilevel"/>
    <w:tmpl w:val="FA7C21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BC35EF"/>
    <w:multiLevelType w:val="hybridMultilevel"/>
    <w:tmpl w:val="A81CD73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77464DF"/>
    <w:multiLevelType w:val="multilevel"/>
    <w:tmpl w:val="C902069E"/>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F90CEC"/>
    <w:multiLevelType w:val="hybridMultilevel"/>
    <w:tmpl w:val="EBDE58F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A3F1076"/>
    <w:multiLevelType w:val="multilevel"/>
    <w:tmpl w:val="47ECB476"/>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816CDF"/>
    <w:multiLevelType w:val="multilevel"/>
    <w:tmpl w:val="CE2CFCB4"/>
    <w:lvl w:ilvl="0">
      <w:start w:val="4"/>
      <w:numFmt w:val="decimal"/>
      <w:lvlText w:val="%1.0"/>
      <w:lvlJc w:val="left"/>
      <w:pPr>
        <w:tabs>
          <w:tab w:val="num" w:pos="720"/>
        </w:tabs>
        <w:ind w:left="720" w:hanging="720"/>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6127C5"/>
    <w:multiLevelType w:val="hybridMultilevel"/>
    <w:tmpl w:val="F99EB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9590795"/>
    <w:multiLevelType w:val="hybridMultilevel"/>
    <w:tmpl w:val="3D9274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525B0E"/>
    <w:multiLevelType w:val="hybridMultilevel"/>
    <w:tmpl w:val="C6D0A0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6E2B9C"/>
    <w:multiLevelType w:val="hybridMultilevel"/>
    <w:tmpl w:val="71E8452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nsid w:val="3AE81A4D"/>
    <w:multiLevelType w:val="hybridMultilevel"/>
    <w:tmpl w:val="63E0F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F1D2F"/>
    <w:multiLevelType w:val="hybridMultilevel"/>
    <w:tmpl w:val="76C62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FAA0C5F"/>
    <w:multiLevelType w:val="hybridMultilevel"/>
    <w:tmpl w:val="17C2D3A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D36986"/>
    <w:multiLevelType w:val="hybridMultilevel"/>
    <w:tmpl w:val="F224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15ED9"/>
    <w:multiLevelType w:val="hybridMultilevel"/>
    <w:tmpl w:val="921E126C"/>
    <w:lvl w:ilvl="0" w:tplc="0409000F">
      <w:start w:val="1"/>
      <w:numFmt w:val="decimal"/>
      <w:lvlText w:val="%1."/>
      <w:lvlJc w:val="left"/>
      <w:pPr>
        <w:tabs>
          <w:tab w:val="num" w:pos="900"/>
        </w:tabs>
        <w:ind w:left="90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535EB7"/>
    <w:multiLevelType w:val="multilevel"/>
    <w:tmpl w:val="C902069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697"/>
        </w:tabs>
        <w:ind w:left="-697" w:hanging="720"/>
      </w:pPr>
      <w:rPr>
        <w:rFonts w:hint="default"/>
      </w:rPr>
    </w:lvl>
    <w:lvl w:ilvl="2">
      <w:start w:val="1"/>
      <w:numFmt w:val="decimal"/>
      <w:lvlText w:val="%1.%2.%3"/>
      <w:lvlJc w:val="left"/>
      <w:pPr>
        <w:tabs>
          <w:tab w:val="num" w:pos="-109"/>
        </w:tabs>
        <w:ind w:left="-109" w:hanging="720"/>
      </w:pPr>
      <w:rPr>
        <w:rFonts w:hint="default"/>
      </w:rPr>
    </w:lvl>
    <w:lvl w:ilvl="3">
      <w:start w:val="1"/>
      <w:numFmt w:val="decimal"/>
      <w:lvlText w:val="%1.%2.%3.%4"/>
      <w:lvlJc w:val="left"/>
      <w:pPr>
        <w:tabs>
          <w:tab w:val="num" w:pos="971"/>
        </w:tabs>
        <w:ind w:left="971" w:hanging="1080"/>
      </w:pPr>
      <w:rPr>
        <w:rFonts w:hint="default"/>
      </w:rPr>
    </w:lvl>
    <w:lvl w:ilvl="4">
      <w:start w:val="1"/>
      <w:numFmt w:val="decimal"/>
      <w:lvlText w:val="%1.%2.%3.%4.%5"/>
      <w:lvlJc w:val="left"/>
      <w:pPr>
        <w:tabs>
          <w:tab w:val="num" w:pos="1691"/>
        </w:tabs>
        <w:ind w:left="1691" w:hanging="1080"/>
      </w:pPr>
      <w:rPr>
        <w:rFonts w:hint="default"/>
      </w:rPr>
    </w:lvl>
    <w:lvl w:ilvl="5">
      <w:start w:val="1"/>
      <w:numFmt w:val="decimal"/>
      <w:lvlText w:val="%1.%2.%3.%4.%5.%6"/>
      <w:lvlJc w:val="left"/>
      <w:pPr>
        <w:tabs>
          <w:tab w:val="num" w:pos="2771"/>
        </w:tabs>
        <w:ind w:left="2771" w:hanging="1440"/>
      </w:pPr>
      <w:rPr>
        <w:rFonts w:hint="default"/>
      </w:rPr>
    </w:lvl>
    <w:lvl w:ilvl="6">
      <w:start w:val="1"/>
      <w:numFmt w:val="decimal"/>
      <w:lvlText w:val="%1.%2.%3.%4.%5.%6.%7"/>
      <w:lvlJc w:val="left"/>
      <w:pPr>
        <w:tabs>
          <w:tab w:val="num" w:pos="3491"/>
        </w:tabs>
        <w:ind w:left="3491" w:hanging="1440"/>
      </w:pPr>
      <w:rPr>
        <w:rFonts w:hint="default"/>
      </w:rPr>
    </w:lvl>
    <w:lvl w:ilvl="7">
      <w:start w:val="1"/>
      <w:numFmt w:val="decimal"/>
      <w:lvlText w:val="%1.%2.%3.%4.%5.%6.%7.%8"/>
      <w:lvlJc w:val="left"/>
      <w:pPr>
        <w:tabs>
          <w:tab w:val="num" w:pos="4571"/>
        </w:tabs>
        <w:ind w:left="4571" w:hanging="1800"/>
      </w:pPr>
      <w:rPr>
        <w:rFonts w:hint="default"/>
      </w:rPr>
    </w:lvl>
    <w:lvl w:ilvl="8">
      <w:start w:val="1"/>
      <w:numFmt w:val="decimal"/>
      <w:lvlText w:val="%1.%2.%3.%4.%5.%6.%7.%8.%9"/>
      <w:lvlJc w:val="left"/>
      <w:pPr>
        <w:tabs>
          <w:tab w:val="num" w:pos="5291"/>
        </w:tabs>
        <w:ind w:left="5291" w:hanging="1800"/>
      </w:pPr>
      <w:rPr>
        <w:rFonts w:hint="default"/>
      </w:rPr>
    </w:lvl>
  </w:abstractNum>
  <w:abstractNum w:abstractNumId="20">
    <w:nsid w:val="48F05783"/>
    <w:multiLevelType w:val="hybridMultilevel"/>
    <w:tmpl w:val="FB48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382DF8"/>
    <w:multiLevelType w:val="multilevel"/>
    <w:tmpl w:val="5F2452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1F6ED3"/>
    <w:multiLevelType w:val="hybridMultilevel"/>
    <w:tmpl w:val="BE9AB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CE0367"/>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4">
    <w:nsid w:val="51F30D7F"/>
    <w:multiLevelType w:val="multilevel"/>
    <w:tmpl w:val="3D9274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344B96"/>
    <w:multiLevelType w:val="hybridMultilevel"/>
    <w:tmpl w:val="FFB0CC64"/>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620569B"/>
    <w:multiLevelType w:val="hybridMultilevel"/>
    <w:tmpl w:val="93B8723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DAC5416"/>
    <w:multiLevelType w:val="hybridMultilevel"/>
    <w:tmpl w:val="46CA095A"/>
    <w:lvl w:ilvl="0" w:tplc="04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8">
    <w:nsid w:val="696D3FE4"/>
    <w:multiLevelType w:val="multilevel"/>
    <w:tmpl w:val="90766084"/>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9">
    <w:nsid w:val="69A64EC2"/>
    <w:multiLevelType w:val="hybridMultilevel"/>
    <w:tmpl w:val="49D04788"/>
    <w:lvl w:ilvl="0" w:tplc="4F0CDC0C">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FDF0B3C"/>
    <w:multiLevelType w:val="hybridMultilevel"/>
    <w:tmpl w:val="7ED05E4C"/>
    <w:lvl w:ilvl="0" w:tplc="4F0CDC0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75773527"/>
    <w:multiLevelType w:val="multilevel"/>
    <w:tmpl w:val="93B87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629444A"/>
    <w:multiLevelType w:val="hybridMultilevel"/>
    <w:tmpl w:val="324E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7840B6"/>
    <w:multiLevelType w:val="hybridMultilevel"/>
    <w:tmpl w:val="8D9ADB2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DBC7670"/>
    <w:multiLevelType w:val="hybridMultilevel"/>
    <w:tmpl w:val="E6B2D8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DFB5616"/>
    <w:multiLevelType w:val="hybridMultilevel"/>
    <w:tmpl w:val="BB649B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9"/>
  </w:num>
  <w:num w:numId="3">
    <w:abstractNumId w:val="23"/>
  </w:num>
  <w:num w:numId="4">
    <w:abstractNumId w:val="12"/>
  </w:num>
  <w:num w:numId="5">
    <w:abstractNumId w:val="32"/>
  </w:num>
  <w:num w:numId="6">
    <w:abstractNumId w:val="11"/>
  </w:num>
  <w:num w:numId="7">
    <w:abstractNumId w:val="0"/>
  </w:num>
  <w:num w:numId="8">
    <w:abstractNumId w:val="28"/>
  </w:num>
  <w:num w:numId="9">
    <w:abstractNumId w:val="22"/>
  </w:num>
  <w:num w:numId="10">
    <w:abstractNumId w:val="2"/>
  </w:num>
  <w:num w:numId="11">
    <w:abstractNumId w:val="15"/>
  </w:num>
  <w:num w:numId="12">
    <w:abstractNumId w:val="16"/>
  </w:num>
  <w:num w:numId="13">
    <w:abstractNumId w:val="13"/>
  </w:num>
  <w:num w:numId="14">
    <w:abstractNumId w:val="34"/>
  </w:num>
  <w:num w:numId="15">
    <w:abstractNumId w:val="9"/>
  </w:num>
  <w:num w:numId="16">
    <w:abstractNumId w:val="4"/>
  </w:num>
  <w:num w:numId="17">
    <w:abstractNumId w:val="33"/>
  </w:num>
  <w:num w:numId="18">
    <w:abstractNumId w:val="35"/>
  </w:num>
  <w:num w:numId="19">
    <w:abstractNumId w:val="26"/>
  </w:num>
  <w:num w:numId="20">
    <w:abstractNumId w:val="31"/>
  </w:num>
  <w:num w:numId="21">
    <w:abstractNumId w:val="25"/>
  </w:num>
  <w:num w:numId="22">
    <w:abstractNumId w:val="24"/>
  </w:num>
  <w:num w:numId="23">
    <w:abstractNumId w:val="29"/>
  </w:num>
  <w:num w:numId="24">
    <w:abstractNumId w:val="1"/>
  </w:num>
  <w:num w:numId="25">
    <w:abstractNumId w:val="30"/>
  </w:num>
  <w:num w:numId="26">
    <w:abstractNumId w:val="18"/>
  </w:num>
  <w:num w:numId="27">
    <w:abstractNumId w:val="27"/>
  </w:num>
  <w:num w:numId="28">
    <w:abstractNumId w:val="7"/>
  </w:num>
  <w:num w:numId="29">
    <w:abstractNumId w:val="5"/>
  </w:num>
  <w:num w:numId="30">
    <w:abstractNumId w:val="6"/>
  </w:num>
  <w:num w:numId="31">
    <w:abstractNumId w:val="14"/>
  </w:num>
  <w:num w:numId="32">
    <w:abstractNumId w:val="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3"/>
    <w:rsid w:val="000014E4"/>
    <w:rsid w:val="0000255C"/>
    <w:rsid w:val="0000431D"/>
    <w:rsid w:val="0000628D"/>
    <w:rsid w:val="00007D50"/>
    <w:rsid w:val="00010440"/>
    <w:rsid w:val="00012F13"/>
    <w:rsid w:val="00015F2C"/>
    <w:rsid w:val="000205A4"/>
    <w:rsid w:val="00020EE0"/>
    <w:rsid w:val="00023526"/>
    <w:rsid w:val="00025D9E"/>
    <w:rsid w:val="0003221F"/>
    <w:rsid w:val="00033F85"/>
    <w:rsid w:val="00036F31"/>
    <w:rsid w:val="000422E8"/>
    <w:rsid w:val="0004257F"/>
    <w:rsid w:val="00044149"/>
    <w:rsid w:val="00044F1C"/>
    <w:rsid w:val="000478AF"/>
    <w:rsid w:val="00055085"/>
    <w:rsid w:val="000568B8"/>
    <w:rsid w:val="00060A97"/>
    <w:rsid w:val="000612A5"/>
    <w:rsid w:val="00062868"/>
    <w:rsid w:val="00062D13"/>
    <w:rsid w:val="00071FF8"/>
    <w:rsid w:val="00081A29"/>
    <w:rsid w:val="00084648"/>
    <w:rsid w:val="00091525"/>
    <w:rsid w:val="00092EA7"/>
    <w:rsid w:val="00095DDC"/>
    <w:rsid w:val="00095E7D"/>
    <w:rsid w:val="00097FE1"/>
    <w:rsid w:val="000A1994"/>
    <w:rsid w:val="000A43C4"/>
    <w:rsid w:val="000A4AA0"/>
    <w:rsid w:val="000A51B9"/>
    <w:rsid w:val="000A7FE7"/>
    <w:rsid w:val="000B2250"/>
    <w:rsid w:val="000C7CEB"/>
    <w:rsid w:val="000C7D0C"/>
    <w:rsid w:val="000D507E"/>
    <w:rsid w:val="000E04B9"/>
    <w:rsid w:val="000E1F64"/>
    <w:rsid w:val="000E261F"/>
    <w:rsid w:val="000F2B30"/>
    <w:rsid w:val="000F2E3A"/>
    <w:rsid w:val="000F3638"/>
    <w:rsid w:val="00101950"/>
    <w:rsid w:val="00101958"/>
    <w:rsid w:val="00101FB2"/>
    <w:rsid w:val="001023A5"/>
    <w:rsid w:val="00107E43"/>
    <w:rsid w:val="00111A1F"/>
    <w:rsid w:val="00123552"/>
    <w:rsid w:val="001249F5"/>
    <w:rsid w:val="001261A5"/>
    <w:rsid w:val="001307C7"/>
    <w:rsid w:val="0013234E"/>
    <w:rsid w:val="001355F7"/>
    <w:rsid w:val="00145E6B"/>
    <w:rsid w:val="001464FC"/>
    <w:rsid w:val="0014666D"/>
    <w:rsid w:val="001469C1"/>
    <w:rsid w:val="00154AC9"/>
    <w:rsid w:val="0016306B"/>
    <w:rsid w:val="00165823"/>
    <w:rsid w:val="00165B91"/>
    <w:rsid w:val="00172C25"/>
    <w:rsid w:val="00173355"/>
    <w:rsid w:val="001764CA"/>
    <w:rsid w:val="001840C3"/>
    <w:rsid w:val="001855B0"/>
    <w:rsid w:val="00187635"/>
    <w:rsid w:val="0019070E"/>
    <w:rsid w:val="001931F7"/>
    <w:rsid w:val="00193D1C"/>
    <w:rsid w:val="00195F0A"/>
    <w:rsid w:val="001A2399"/>
    <w:rsid w:val="001B1E0B"/>
    <w:rsid w:val="001B2C38"/>
    <w:rsid w:val="001B312E"/>
    <w:rsid w:val="001C3BF1"/>
    <w:rsid w:val="001C4777"/>
    <w:rsid w:val="001D1468"/>
    <w:rsid w:val="001F20D7"/>
    <w:rsid w:val="00200A3B"/>
    <w:rsid w:val="00201CE9"/>
    <w:rsid w:val="00203E03"/>
    <w:rsid w:val="00206568"/>
    <w:rsid w:val="00207E84"/>
    <w:rsid w:val="00211444"/>
    <w:rsid w:val="00217B8E"/>
    <w:rsid w:val="00224C4D"/>
    <w:rsid w:val="0022521E"/>
    <w:rsid w:val="0023097B"/>
    <w:rsid w:val="0023281F"/>
    <w:rsid w:val="00232AFE"/>
    <w:rsid w:val="00233DB6"/>
    <w:rsid w:val="00241387"/>
    <w:rsid w:val="002427CA"/>
    <w:rsid w:val="00242AEA"/>
    <w:rsid w:val="002455CF"/>
    <w:rsid w:val="00245DD6"/>
    <w:rsid w:val="0025399A"/>
    <w:rsid w:val="00257EF6"/>
    <w:rsid w:val="00260D9C"/>
    <w:rsid w:val="002641C5"/>
    <w:rsid w:val="00275FD5"/>
    <w:rsid w:val="0028551B"/>
    <w:rsid w:val="00287F44"/>
    <w:rsid w:val="0029002F"/>
    <w:rsid w:val="00290097"/>
    <w:rsid w:val="00295867"/>
    <w:rsid w:val="002A474E"/>
    <w:rsid w:val="002A5A72"/>
    <w:rsid w:val="002A5EE7"/>
    <w:rsid w:val="002B1D09"/>
    <w:rsid w:val="002B48BD"/>
    <w:rsid w:val="002B5114"/>
    <w:rsid w:val="002B51D4"/>
    <w:rsid w:val="002C046E"/>
    <w:rsid w:val="002C0A3A"/>
    <w:rsid w:val="002C4FDE"/>
    <w:rsid w:val="002D5149"/>
    <w:rsid w:val="002D6896"/>
    <w:rsid w:val="002E0152"/>
    <w:rsid w:val="002E0D04"/>
    <w:rsid w:val="002E463D"/>
    <w:rsid w:val="002F2785"/>
    <w:rsid w:val="002F4E4F"/>
    <w:rsid w:val="00302465"/>
    <w:rsid w:val="00304701"/>
    <w:rsid w:val="003106DC"/>
    <w:rsid w:val="00310F37"/>
    <w:rsid w:val="0031196A"/>
    <w:rsid w:val="00311AAE"/>
    <w:rsid w:val="0031360E"/>
    <w:rsid w:val="00313CA6"/>
    <w:rsid w:val="003162DF"/>
    <w:rsid w:val="00321E9A"/>
    <w:rsid w:val="00326A60"/>
    <w:rsid w:val="0033029F"/>
    <w:rsid w:val="003328EB"/>
    <w:rsid w:val="00333D39"/>
    <w:rsid w:val="00335A97"/>
    <w:rsid w:val="003367D2"/>
    <w:rsid w:val="003377E5"/>
    <w:rsid w:val="00342711"/>
    <w:rsid w:val="003433CF"/>
    <w:rsid w:val="00345E92"/>
    <w:rsid w:val="0035562F"/>
    <w:rsid w:val="00362E46"/>
    <w:rsid w:val="003630CD"/>
    <w:rsid w:val="0036740C"/>
    <w:rsid w:val="00373FA3"/>
    <w:rsid w:val="0037488A"/>
    <w:rsid w:val="00380A0E"/>
    <w:rsid w:val="00382A55"/>
    <w:rsid w:val="00384519"/>
    <w:rsid w:val="00386731"/>
    <w:rsid w:val="0039317F"/>
    <w:rsid w:val="00397E05"/>
    <w:rsid w:val="003B38ED"/>
    <w:rsid w:val="003B4072"/>
    <w:rsid w:val="003B4132"/>
    <w:rsid w:val="003C2E4E"/>
    <w:rsid w:val="003C303A"/>
    <w:rsid w:val="003C46F5"/>
    <w:rsid w:val="003C57DE"/>
    <w:rsid w:val="003C7ACC"/>
    <w:rsid w:val="003D2131"/>
    <w:rsid w:val="003D3B90"/>
    <w:rsid w:val="003D40DE"/>
    <w:rsid w:val="003D4483"/>
    <w:rsid w:val="003D5E77"/>
    <w:rsid w:val="003F1D37"/>
    <w:rsid w:val="00400655"/>
    <w:rsid w:val="00401706"/>
    <w:rsid w:val="00404739"/>
    <w:rsid w:val="00406839"/>
    <w:rsid w:val="00411CF6"/>
    <w:rsid w:val="00412846"/>
    <w:rsid w:val="00417C0F"/>
    <w:rsid w:val="004263BB"/>
    <w:rsid w:val="00427015"/>
    <w:rsid w:val="004345F6"/>
    <w:rsid w:val="00441A76"/>
    <w:rsid w:val="00445DD3"/>
    <w:rsid w:val="00447373"/>
    <w:rsid w:val="00455469"/>
    <w:rsid w:val="0045716C"/>
    <w:rsid w:val="004601CD"/>
    <w:rsid w:val="00461355"/>
    <w:rsid w:val="00462A87"/>
    <w:rsid w:val="00465E2E"/>
    <w:rsid w:val="00467AF9"/>
    <w:rsid w:val="00474C08"/>
    <w:rsid w:val="00490A0E"/>
    <w:rsid w:val="00497688"/>
    <w:rsid w:val="004A04AC"/>
    <w:rsid w:val="004A1DAF"/>
    <w:rsid w:val="004A357E"/>
    <w:rsid w:val="004A69C4"/>
    <w:rsid w:val="004C5F0D"/>
    <w:rsid w:val="004C69E7"/>
    <w:rsid w:val="004D2BBC"/>
    <w:rsid w:val="004D3557"/>
    <w:rsid w:val="004D3DD3"/>
    <w:rsid w:val="004D5EA5"/>
    <w:rsid w:val="004D704D"/>
    <w:rsid w:val="004F45D5"/>
    <w:rsid w:val="004F4AC2"/>
    <w:rsid w:val="004F7B34"/>
    <w:rsid w:val="005035CF"/>
    <w:rsid w:val="00510E38"/>
    <w:rsid w:val="00510FA2"/>
    <w:rsid w:val="00511DC9"/>
    <w:rsid w:val="00514D34"/>
    <w:rsid w:val="00523BF5"/>
    <w:rsid w:val="005405BE"/>
    <w:rsid w:val="005414F5"/>
    <w:rsid w:val="005431A5"/>
    <w:rsid w:val="0055369A"/>
    <w:rsid w:val="005536CE"/>
    <w:rsid w:val="005560B9"/>
    <w:rsid w:val="0055715C"/>
    <w:rsid w:val="005601E8"/>
    <w:rsid w:val="005624EB"/>
    <w:rsid w:val="00571665"/>
    <w:rsid w:val="0057357C"/>
    <w:rsid w:val="00574AB2"/>
    <w:rsid w:val="00577C31"/>
    <w:rsid w:val="0058148C"/>
    <w:rsid w:val="0058756C"/>
    <w:rsid w:val="00590DF0"/>
    <w:rsid w:val="00594BC9"/>
    <w:rsid w:val="00595434"/>
    <w:rsid w:val="00596A11"/>
    <w:rsid w:val="005A358A"/>
    <w:rsid w:val="005A5ED4"/>
    <w:rsid w:val="005B49ED"/>
    <w:rsid w:val="005C2670"/>
    <w:rsid w:val="005C633E"/>
    <w:rsid w:val="005C70F3"/>
    <w:rsid w:val="005D0966"/>
    <w:rsid w:val="005D6C9F"/>
    <w:rsid w:val="005E0168"/>
    <w:rsid w:val="005E0919"/>
    <w:rsid w:val="005E157E"/>
    <w:rsid w:val="005E336F"/>
    <w:rsid w:val="005F0A6A"/>
    <w:rsid w:val="005F22A8"/>
    <w:rsid w:val="005F4F38"/>
    <w:rsid w:val="005F7145"/>
    <w:rsid w:val="005F7C99"/>
    <w:rsid w:val="0060042B"/>
    <w:rsid w:val="006154C9"/>
    <w:rsid w:val="0061732A"/>
    <w:rsid w:val="00622C27"/>
    <w:rsid w:val="006242A5"/>
    <w:rsid w:val="0062482C"/>
    <w:rsid w:val="00636E5B"/>
    <w:rsid w:val="0064168B"/>
    <w:rsid w:val="00642772"/>
    <w:rsid w:val="00646BC0"/>
    <w:rsid w:val="0065609C"/>
    <w:rsid w:val="00665FD4"/>
    <w:rsid w:val="00667963"/>
    <w:rsid w:val="00667E25"/>
    <w:rsid w:val="00674AAF"/>
    <w:rsid w:val="00680F3C"/>
    <w:rsid w:val="00681724"/>
    <w:rsid w:val="00685E31"/>
    <w:rsid w:val="00690EA1"/>
    <w:rsid w:val="00692A39"/>
    <w:rsid w:val="00693084"/>
    <w:rsid w:val="0069381D"/>
    <w:rsid w:val="006A35FE"/>
    <w:rsid w:val="006A36BF"/>
    <w:rsid w:val="006A66FD"/>
    <w:rsid w:val="006B061E"/>
    <w:rsid w:val="006B151C"/>
    <w:rsid w:val="006B21EB"/>
    <w:rsid w:val="006B2317"/>
    <w:rsid w:val="006B373B"/>
    <w:rsid w:val="006B3D03"/>
    <w:rsid w:val="006D461C"/>
    <w:rsid w:val="006D66EA"/>
    <w:rsid w:val="006D785E"/>
    <w:rsid w:val="006E184A"/>
    <w:rsid w:val="006E1E34"/>
    <w:rsid w:val="006E5B8D"/>
    <w:rsid w:val="006F1DA6"/>
    <w:rsid w:val="006F21F0"/>
    <w:rsid w:val="006F48AE"/>
    <w:rsid w:val="007019CE"/>
    <w:rsid w:val="00702EC8"/>
    <w:rsid w:val="00706A55"/>
    <w:rsid w:val="00712160"/>
    <w:rsid w:val="00724224"/>
    <w:rsid w:val="0072427B"/>
    <w:rsid w:val="007261F1"/>
    <w:rsid w:val="00731EE2"/>
    <w:rsid w:val="00733FD8"/>
    <w:rsid w:val="00737868"/>
    <w:rsid w:val="00743EDD"/>
    <w:rsid w:val="00744EF5"/>
    <w:rsid w:val="007534D0"/>
    <w:rsid w:val="00757364"/>
    <w:rsid w:val="00762B67"/>
    <w:rsid w:val="0077009E"/>
    <w:rsid w:val="00771DB1"/>
    <w:rsid w:val="00775E31"/>
    <w:rsid w:val="007814D1"/>
    <w:rsid w:val="007849BD"/>
    <w:rsid w:val="00784AB8"/>
    <w:rsid w:val="007A03BA"/>
    <w:rsid w:val="007A1A50"/>
    <w:rsid w:val="007A23E3"/>
    <w:rsid w:val="007A30CC"/>
    <w:rsid w:val="007A3E55"/>
    <w:rsid w:val="007A64B0"/>
    <w:rsid w:val="007B641A"/>
    <w:rsid w:val="007B7C94"/>
    <w:rsid w:val="007B7D20"/>
    <w:rsid w:val="007D3968"/>
    <w:rsid w:val="007D763E"/>
    <w:rsid w:val="007E1531"/>
    <w:rsid w:val="007E1BC6"/>
    <w:rsid w:val="007F4DA5"/>
    <w:rsid w:val="008061BA"/>
    <w:rsid w:val="0080628D"/>
    <w:rsid w:val="0080648A"/>
    <w:rsid w:val="00807FF6"/>
    <w:rsid w:val="00811B63"/>
    <w:rsid w:val="008140EA"/>
    <w:rsid w:val="00816A9B"/>
    <w:rsid w:val="00816D1D"/>
    <w:rsid w:val="00817CAA"/>
    <w:rsid w:val="00817EA1"/>
    <w:rsid w:val="00821C97"/>
    <w:rsid w:val="008239E7"/>
    <w:rsid w:val="0082480C"/>
    <w:rsid w:val="00831AE8"/>
    <w:rsid w:val="00835A4F"/>
    <w:rsid w:val="00841207"/>
    <w:rsid w:val="00842797"/>
    <w:rsid w:val="008427EE"/>
    <w:rsid w:val="00850DF3"/>
    <w:rsid w:val="00851111"/>
    <w:rsid w:val="0085180F"/>
    <w:rsid w:val="008539E5"/>
    <w:rsid w:val="00853DA7"/>
    <w:rsid w:val="008615F6"/>
    <w:rsid w:val="00862295"/>
    <w:rsid w:val="00862ED3"/>
    <w:rsid w:val="00871CD6"/>
    <w:rsid w:val="00873510"/>
    <w:rsid w:val="00874707"/>
    <w:rsid w:val="00874A1A"/>
    <w:rsid w:val="00886184"/>
    <w:rsid w:val="00887E9F"/>
    <w:rsid w:val="00891153"/>
    <w:rsid w:val="008916D9"/>
    <w:rsid w:val="008971EF"/>
    <w:rsid w:val="008A0418"/>
    <w:rsid w:val="008A244E"/>
    <w:rsid w:val="008A5632"/>
    <w:rsid w:val="008B1AFA"/>
    <w:rsid w:val="008B30CE"/>
    <w:rsid w:val="008B5139"/>
    <w:rsid w:val="008B6114"/>
    <w:rsid w:val="008C6429"/>
    <w:rsid w:val="008C75E5"/>
    <w:rsid w:val="008D072C"/>
    <w:rsid w:val="008D203C"/>
    <w:rsid w:val="008D3500"/>
    <w:rsid w:val="008D5638"/>
    <w:rsid w:val="008E2DDA"/>
    <w:rsid w:val="008E4281"/>
    <w:rsid w:val="008F4C26"/>
    <w:rsid w:val="008F62EC"/>
    <w:rsid w:val="00902538"/>
    <w:rsid w:val="00907C93"/>
    <w:rsid w:val="0091312F"/>
    <w:rsid w:val="009137C1"/>
    <w:rsid w:val="009248EE"/>
    <w:rsid w:val="00925C64"/>
    <w:rsid w:val="009264D0"/>
    <w:rsid w:val="00934CCB"/>
    <w:rsid w:val="009442E7"/>
    <w:rsid w:val="00947866"/>
    <w:rsid w:val="009518E5"/>
    <w:rsid w:val="00954159"/>
    <w:rsid w:val="0095679A"/>
    <w:rsid w:val="00962EEF"/>
    <w:rsid w:val="009641EC"/>
    <w:rsid w:val="00972618"/>
    <w:rsid w:val="00977A85"/>
    <w:rsid w:val="009824FA"/>
    <w:rsid w:val="00984A50"/>
    <w:rsid w:val="00984BD4"/>
    <w:rsid w:val="009936E0"/>
    <w:rsid w:val="009A1960"/>
    <w:rsid w:val="009A4E9E"/>
    <w:rsid w:val="009A684C"/>
    <w:rsid w:val="009B0941"/>
    <w:rsid w:val="009B344E"/>
    <w:rsid w:val="009B376B"/>
    <w:rsid w:val="009B6D11"/>
    <w:rsid w:val="009C03D5"/>
    <w:rsid w:val="009C6872"/>
    <w:rsid w:val="009D091D"/>
    <w:rsid w:val="009D724E"/>
    <w:rsid w:val="009E22DD"/>
    <w:rsid w:val="009E5B30"/>
    <w:rsid w:val="009F6796"/>
    <w:rsid w:val="00A00518"/>
    <w:rsid w:val="00A008F9"/>
    <w:rsid w:val="00A012F4"/>
    <w:rsid w:val="00A02D1A"/>
    <w:rsid w:val="00A13056"/>
    <w:rsid w:val="00A163A1"/>
    <w:rsid w:val="00A16D2C"/>
    <w:rsid w:val="00A213A3"/>
    <w:rsid w:val="00A23583"/>
    <w:rsid w:val="00A26502"/>
    <w:rsid w:val="00A269AC"/>
    <w:rsid w:val="00A30958"/>
    <w:rsid w:val="00A31158"/>
    <w:rsid w:val="00A31283"/>
    <w:rsid w:val="00A33C06"/>
    <w:rsid w:val="00A4277F"/>
    <w:rsid w:val="00A43535"/>
    <w:rsid w:val="00A43B97"/>
    <w:rsid w:val="00A471D9"/>
    <w:rsid w:val="00A54AD5"/>
    <w:rsid w:val="00A62C02"/>
    <w:rsid w:val="00A643DB"/>
    <w:rsid w:val="00A64E2F"/>
    <w:rsid w:val="00A64E96"/>
    <w:rsid w:val="00A65A4E"/>
    <w:rsid w:val="00A70204"/>
    <w:rsid w:val="00A71A39"/>
    <w:rsid w:val="00A73F25"/>
    <w:rsid w:val="00A74311"/>
    <w:rsid w:val="00A76A72"/>
    <w:rsid w:val="00A77359"/>
    <w:rsid w:val="00A95192"/>
    <w:rsid w:val="00AA0A92"/>
    <w:rsid w:val="00AA16D1"/>
    <w:rsid w:val="00AA545C"/>
    <w:rsid w:val="00AC12FC"/>
    <w:rsid w:val="00AC2DCE"/>
    <w:rsid w:val="00AC346D"/>
    <w:rsid w:val="00AC5B9D"/>
    <w:rsid w:val="00AD110A"/>
    <w:rsid w:val="00AD123D"/>
    <w:rsid w:val="00AD1780"/>
    <w:rsid w:val="00AE0F80"/>
    <w:rsid w:val="00AF1794"/>
    <w:rsid w:val="00AF2F58"/>
    <w:rsid w:val="00AF37B8"/>
    <w:rsid w:val="00AF3BCC"/>
    <w:rsid w:val="00AF5CAA"/>
    <w:rsid w:val="00AF66C6"/>
    <w:rsid w:val="00B0199E"/>
    <w:rsid w:val="00B04D2D"/>
    <w:rsid w:val="00B073F9"/>
    <w:rsid w:val="00B1057D"/>
    <w:rsid w:val="00B139E1"/>
    <w:rsid w:val="00B15165"/>
    <w:rsid w:val="00B2349B"/>
    <w:rsid w:val="00B30282"/>
    <w:rsid w:val="00B31397"/>
    <w:rsid w:val="00B31BE3"/>
    <w:rsid w:val="00B34C18"/>
    <w:rsid w:val="00B36D13"/>
    <w:rsid w:val="00B40C63"/>
    <w:rsid w:val="00B44A8A"/>
    <w:rsid w:val="00B44B3A"/>
    <w:rsid w:val="00B61E5A"/>
    <w:rsid w:val="00B80CF4"/>
    <w:rsid w:val="00B837AA"/>
    <w:rsid w:val="00B93A9C"/>
    <w:rsid w:val="00B96E35"/>
    <w:rsid w:val="00BA2C0E"/>
    <w:rsid w:val="00BA5098"/>
    <w:rsid w:val="00BB6BD8"/>
    <w:rsid w:val="00BB7471"/>
    <w:rsid w:val="00BB7CC5"/>
    <w:rsid w:val="00BC26A1"/>
    <w:rsid w:val="00BC65C9"/>
    <w:rsid w:val="00BD4B15"/>
    <w:rsid w:val="00BD5445"/>
    <w:rsid w:val="00BE630D"/>
    <w:rsid w:val="00BF025D"/>
    <w:rsid w:val="00BF2645"/>
    <w:rsid w:val="00BF615A"/>
    <w:rsid w:val="00BF7185"/>
    <w:rsid w:val="00C00162"/>
    <w:rsid w:val="00C0567D"/>
    <w:rsid w:val="00C062BB"/>
    <w:rsid w:val="00C06E77"/>
    <w:rsid w:val="00C10175"/>
    <w:rsid w:val="00C10ECA"/>
    <w:rsid w:val="00C13C63"/>
    <w:rsid w:val="00C17D28"/>
    <w:rsid w:val="00C22118"/>
    <w:rsid w:val="00C23490"/>
    <w:rsid w:val="00C24AD9"/>
    <w:rsid w:val="00C30D24"/>
    <w:rsid w:val="00C36C1E"/>
    <w:rsid w:val="00C40C4B"/>
    <w:rsid w:val="00C42689"/>
    <w:rsid w:val="00C428F9"/>
    <w:rsid w:val="00C4324A"/>
    <w:rsid w:val="00C44412"/>
    <w:rsid w:val="00C45453"/>
    <w:rsid w:val="00C508B0"/>
    <w:rsid w:val="00C53F66"/>
    <w:rsid w:val="00C72670"/>
    <w:rsid w:val="00C74CB7"/>
    <w:rsid w:val="00C756A5"/>
    <w:rsid w:val="00C808C8"/>
    <w:rsid w:val="00C8352B"/>
    <w:rsid w:val="00C85B91"/>
    <w:rsid w:val="00C91BBF"/>
    <w:rsid w:val="00C94353"/>
    <w:rsid w:val="00C95C7B"/>
    <w:rsid w:val="00CA2D49"/>
    <w:rsid w:val="00CA32D8"/>
    <w:rsid w:val="00CA697B"/>
    <w:rsid w:val="00CB2257"/>
    <w:rsid w:val="00CB276B"/>
    <w:rsid w:val="00CC07B4"/>
    <w:rsid w:val="00CC2B5D"/>
    <w:rsid w:val="00CC6B8E"/>
    <w:rsid w:val="00CC7FF5"/>
    <w:rsid w:val="00CD2419"/>
    <w:rsid w:val="00CD2882"/>
    <w:rsid w:val="00CD503E"/>
    <w:rsid w:val="00CE0DE6"/>
    <w:rsid w:val="00CE2D5D"/>
    <w:rsid w:val="00CE74BE"/>
    <w:rsid w:val="00D022D7"/>
    <w:rsid w:val="00D05F9F"/>
    <w:rsid w:val="00D06A48"/>
    <w:rsid w:val="00D1012F"/>
    <w:rsid w:val="00D13EFD"/>
    <w:rsid w:val="00D16AC7"/>
    <w:rsid w:val="00D2515A"/>
    <w:rsid w:val="00D301FC"/>
    <w:rsid w:val="00D3041B"/>
    <w:rsid w:val="00D329DB"/>
    <w:rsid w:val="00D36717"/>
    <w:rsid w:val="00D41095"/>
    <w:rsid w:val="00D4310D"/>
    <w:rsid w:val="00D44225"/>
    <w:rsid w:val="00D44A05"/>
    <w:rsid w:val="00D453E6"/>
    <w:rsid w:val="00D45DF3"/>
    <w:rsid w:val="00D46510"/>
    <w:rsid w:val="00D46661"/>
    <w:rsid w:val="00D47E58"/>
    <w:rsid w:val="00D51067"/>
    <w:rsid w:val="00D52D74"/>
    <w:rsid w:val="00D6398A"/>
    <w:rsid w:val="00D64466"/>
    <w:rsid w:val="00D70A6A"/>
    <w:rsid w:val="00D7126F"/>
    <w:rsid w:val="00D7238A"/>
    <w:rsid w:val="00D754F1"/>
    <w:rsid w:val="00D758AC"/>
    <w:rsid w:val="00D762C5"/>
    <w:rsid w:val="00D947F2"/>
    <w:rsid w:val="00D95393"/>
    <w:rsid w:val="00DA1828"/>
    <w:rsid w:val="00DA1FF3"/>
    <w:rsid w:val="00DA3B0D"/>
    <w:rsid w:val="00DB2B8A"/>
    <w:rsid w:val="00DB7819"/>
    <w:rsid w:val="00DC134E"/>
    <w:rsid w:val="00DC4C25"/>
    <w:rsid w:val="00DC7138"/>
    <w:rsid w:val="00DC7AB4"/>
    <w:rsid w:val="00DF2496"/>
    <w:rsid w:val="00E06026"/>
    <w:rsid w:val="00E06576"/>
    <w:rsid w:val="00E14107"/>
    <w:rsid w:val="00E14632"/>
    <w:rsid w:val="00E2427F"/>
    <w:rsid w:val="00E26916"/>
    <w:rsid w:val="00E278B9"/>
    <w:rsid w:val="00E31CFF"/>
    <w:rsid w:val="00E32968"/>
    <w:rsid w:val="00E33FCD"/>
    <w:rsid w:val="00E3609C"/>
    <w:rsid w:val="00E42536"/>
    <w:rsid w:val="00E4542E"/>
    <w:rsid w:val="00E47B19"/>
    <w:rsid w:val="00E50F9C"/>
    <w:rsid w:val="00E515B8"/>
    <w:rsid w:val="00E5792E"/>
    <w:rsid w:val="00E6032E"/>
    <w:rsid w:val="00E61644"/>
    <w:rsid w:val="00E6453A"/>
    <w:rsid w:val="00E732A2"/>
    <w:rsid w:val="00E73C85"/>
    <w:rsid w:val="00E73E2F"/>
    <w:rsid w:val="00E7777B"/>
    <w:rsid w:val="00E77EA8"/>
    <w:rsid w:val="00E8117F"/>
    <w:rsid w:val="00E907EE"/>
    <w:rsid w:val="00E9561B"/>
    <w:rsid w:val="00E97119"/>
    <w:rsid w:val="00EA3E93"/>
    <w:rsid w:val="00EB3204"/>
    <w:rsid w:val="00EB5C1D"/>
    <w:rsid w:val="00EC334F"/>
    <w:rsid w:val="00EC530B"/>
    <w:rsid w:val="00EC59FD"/>
    <w:rsid w:val="00EC614B"/>
    <w:rsid w:val="00ED4D4A"/>
    <w:rsid w:val="00ED5442"/>
    <w:rsid w:val="00EE0250"/>
    <w:rsid w:val="00EE691C"/>
    <w:rsid w:val="00EF400F"/>
    <w:rsid w:val="00EF5234"/>
    <w:rsid w:val="00EF5CD1"/>
    <w:rsid w:val="00F0343F"/>
    <w:rsid w:val="00F03704"/>
    <w:rsid w:val="00F03A1B"/>
    <w:rsid w:val="00F05885"/>
    <w:rsid w:val="00F05C19"/>
    <w:rsid w:val="00F10152"/>
    <w:rsid w:val="00F102D2"/>
    <w:rsid w:val="00F115EA"/>
    <w:rsid w:val="00F148B8"/>
    <w:rsid w:val="00F22995"/>
    <w:rsid w:val="00F3339B"/>
    <w:rsid w:val="00F33E50"/>
    <w:rsid w:val="00F40E1C"/>
    <w:rsid w:val="00F426C6"/>
    <w:rsid w:val="00F45867"/>
    <w:rsid w:val="00F470E0"/>
    <w:rsid w:val="00F5003D"/>
    <w:rsid w:val="00F5055C"/>
    <w:rsid w:val="00F51A2F"/>
    <w:rsid w:val="00F54DC2"/>
    <w:rsid w:val="00F6202D"/>
    <w:rsid w:val="00F6349F"/>
    <w:rsid w:val="00F639BB"/>
    <w:rsid w:val="00F747A8"/>
    <w:rsid w:val="00F75E10"/>
    <w:rsid w:val="00F7768E"/>
    <w:rsid w:val="00F77B86"/>
    <w:rsid w:val="00F848F3"/>
    <w:rsid w:val="00F854AC"/>
    <w:rsid w:val="00F9522C"/>
    <w:rsid w:val="00F95780"/>
    <w:rsid w:val="00FA02E4"/>
    <w:rsid w:val="00FA376F"/>
    <w:rsid w:val="00FA64D6"/>
    <w:rsid w:val="00FB0065"/>
    <w:rsid w:val="00FB5B96"/>
    <w:rsid w:val="00FC11F2"/>
    <w:rsid w:val="00FC443D"/>
    <w:rsid w:val="00FD003B"/>
    <w:rsid w:val="00FD4ADA"/>
    <w:rsid w:val="00FD5C35"/>
    <w:rsid w:val="00FD7CB8"/>
    <w:rsid w:val="00FE1C94"/>
    <w:rsid w:val="00FE1FCC"/>
    <w:rsid w:val="00FE66F4"/>
    <w:rsid w:val="00FE78D9"/>
    <w:rsid w:val="00FF3B70"/>
    <w:rsid w:val="00FF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paragraph" w:styleId="BalloonText">
    <w:name w:val="Balloon Text"/>
    <w:basedOn w:val="Normal"/>
    <w:semiHidden/>
    <w:rsid w:val="002B1D09"/>
    <w:rPr>
      <w:rFonts w:ascii="Tahoma" w:hAnsi="Tahoma" w:cs="Tahoma"/>
      <w:sz w:val="16"/>
      <w:szCs w:val="16"/>
    </w:rPr>
  </w:style>
  <w:style w:type="paragraph" w:styleId="ListParagraph">
    <w:name w:val="List Paragraph"/>
    <w:basedOn w:val="Normal"/>
    <w:uiPriority w:val="34"/>
    <w:qFormat/>
    <w:rsid w:val="003748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both"/>
      <w:outlineLvl w:val="0"/>
    </w:pPr>
    <w:rPr>
      <w:rFonts w:ascii="Arial" w:hAnsi="Arial"/>
      <w:u w:val="single"/>
    </w:rPr>
  </w:style>
  <w:style w:type="paragraph" w:styleId="Heading2">
    <w:name w:val="heading 2"/>
    <w:basedOn w:val="Normal"/>
    <w:next w:val="Normal"/>
    <w:qFormat/>
    <w:pPr>
      <w:keepNext/>
      <w:ind w:left="720" w:hanging="720"/>
      <w:jc w:val="both"/>
      <w:outlineLvl w:val="1"/>
    </w:pPr>
    <w:rPr>
      <w:rFonts w:ascii="Arial" w:hAnsi="Arial"/>
      <w:u w:val="single"/>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both"/>
      <w:outlineLvl w:val="3"/>
    </w:pPr>
    <w:rPr>
      <w:rFonts w:ascii="Arial" w:hAnsi="Arial"/>
      <w:i/>
    </w:rPr>
  </w:style>
  <w:style w:type="paragraph" w:styleId="Heading5">
    <w:name w:val="heading 5"/>
    <w:basedOn w:val="Normal"/>
    <w:next w:val="Normal"/>
    <w:qFormat/>
    <w:pPr>
      <w:keepNext/>
      <w:ind w:left="720"/>
      <w:jc w:val="both"/>
      <w:outlineLvl w:val="4"/>
    </w:pPr>
    <w:rPr>
      <w:rFonts w:ascii="Arial" w:hAnsi="Arial"/>
      <w:i/>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ind w:left="2160" w:hanging="2018"/>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720"/>
    </w:pPr>
    <w:rPr>
      <w:rFonts w:ascii="Arial" w:hAnsi="Arial"/>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table" w:styleId="TableGrid">
    <w:name w:val="Table Grid"/>
    <w:basedOn w:val="TableNormal"/>
    <w:rsid w:val="00E2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08C8"/>
  </w:style>
  <w:style w:type="paragraph" w:styleId="BalloonText">
    <w:name w:val="Balloon Text"/>
    <w:basedOn w:val="Normal"/>
    <w:semiHidden/>
    <w:rsid w:val="002B1D09"/>
    <w:rPr>
      <w:rFonts w:ascii="Tahoma" w:hAnsi="Tahoma" w:cs="Tahoma"/>
      <w:sz w:val="16"/>
      <w:szCs w:val="16"/>
    </w:rPr>
  </w:style>
  <w:style w:type="paragraph" w:styleId="ListParagraph">
    <w:name w:val="List Paragraph"/>
    <w:basedOn w:val="Normal"/>
    <w:uiPriority w:val="34"/>
    <w:qFormat/>
    <w:rsid w:val="003748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564">
      <w:bodyDiv w:val="1"/>
      <w:marLeft w:val="0"/>
      <w:marRight w:val="0"/>
      <w:marTop w:val="0"/>
      <w:marBottom w:val="0"/>
      <w:divBdr>
        <w:top w:val="none" w:sz="0" w:space="0" w:color="auto"/>
        <w:left w:val="none" w:sz="0" w:space="0" w:color="auto"/>
        <w:bottom w:val="none" w:sz="0" w:space="0" w:color="auto"/>
        <w:right w:val="none" w:sz="0" w:space="0" w:color="auto"/>
      </w:divBdr>
    </w:div>
    <w:div w:id="255943627">
      <w:bodyDiv w:val="1"/>
      <w:marLeft w:val="0"/>
      <w:marRight w:val="0"/>
      <w:marTop w:val="0"/>
      <w:marBottom w:val="0"/>
      <w:divBdr>
        <w:top w:val="none" w:sz="0" w:space="0" w:color="auto"/>
        <w:left w:val="none" w:sz="0" w:space="0" w:color="auto"/>
        <w:bottom w:val="none" w:sz="0" w:space="0" w:color="auto"/>
        <w:right w:val="none" w:sz="0" w:space="0" w:color="auto"/>
      </w:divBdr>
    </w:div>
    <w:div w:id="344017334">
      <w:bodyDiv w:val="1"/>
      <w:marLeft w:val="0"/>
      <w:marRight w:val="0"/>
      <w:marTop w:val="0"/>
      <w:marBottom w:val="0"/>
      <w:divBdr>
        <w:top w:val="none" w:sz="0" w:space="0" w:color="auto"/>
        <w:left w:val="none" w:sz="0" w:space="0" w:color="auto"/>
        <w:bottom w:val="none" w:sz="0" w:space="0" w:color="auto"/>
        <w:right w:val="none" w:sz="0" w:space="0" w:color="auto"/>
      </w:divBdr>
    </w:div>
    <w:div w:id="478347660">
      <w:bodyDiv w:val="1"/>
      <w:marLeft w:val="0"/>
      <w:marRight w:val="0"/>
      <w:marTop w:val="0"/>
      <w:marBottom w:val="0"/>
      <w:divBdr>
        <w:top w:val="none" w:sz="0" w:space="0" w:color="auto"/>
        <w:left w:val="none" w:sz="0" w:space="0" w:color="auto"/>
        <w:bottom w:val="none" w:sz="0" w:space="0" w:color="auto"/>
        <w:right w:val="none" w:sz="0" w:space="0" w:color="auto"/>
      </w:divBdr>
    </w:div>
    <w:div w:id="488181852">
      <w:bodyDiv w:val="1"/>
      <w:marLeft w:val="0"/>
      <w:marRight w:val="0"/>
      <w:marTop w:val="0"/>
      <w:marBottom w:val="0"/>
      <w:divBdr>
        <w:top w:val="none" w:sz="0" w:space="0" w:color="auto"/>
        <w:left w:val="none" w:sz="0" w:space="0" w:color="auto"/>
        <w:bottom w:val="none" w:sz="0" w:space="0" w:color="auto"/>
        <w:right w:val="none" w:sz="0" w:space="0" w:color="auto"/>
      </w:divBdr>
    </w:div>
    <w:div w:id="501238321">
      <w:bodyDiv w:val="1"/>
      <w:marLeft w:val="0"/>
      <w:marRight w:val="0"/>
      <w:marTop w:val="0"/>
      <w:marBottom w:val="0"/>
      <w:divBdr>
        <w:top w:val="none" w:sz="0" w:space="0" w:color="auto"/>
        <w:left w:val="none" w:sz="0" w:space="0" w:color="auto"/>
        <w:bottom w:val="none" w:sz="0" w:space="0" w:color="auto"/>
        <w:right w:val="none" w:sz="0" w:space="0" w:color="auto"/>
      </w:divBdr>
    </w:div>
    <w:div w:id="733898165">
      <w:bodyDiv w:val="1"/>
      <w:marLeft w:val="0"/>
      <w:marRight w:val="0"/>
      <w:marTop w:val="0"/>
      <w:marBottom w:val="0"/>
      <w:divBdr>
        <w:top w:val="none" w:sz="0" w:space="0" w:color="auto"/>
        <w:left w:val="none" w:sz="0" w:space="0" w:color="auto"/>
        <w:bottom w:val="none" w:sz="0" w:space="0" w:color="auto"/>
        <w:right w:val="none" w:sz="0" w:space="0" w:color="auto"/>
      </w:divBdr>
    </w:div>
    <w:div w:id="744913155">
      <w:bodyDiv w:val="1"/>
      <w:marLeft w:val="0"/>
      <w:marRight w:val="0"/>
      <w:marTop w:val="0"/>
      <w:marBottom w:val="0"/>
      <w:divBdr>
        <w:top w:val="none" w:sz="0" w:space="0" w:color="auto"/>
        <w:left w:val="none" w:sz="0" w:space="0" w:color="auto"/>
        <w:bottom w:val="none" w:sz="0" w:space="0" w:color="auto"/>
        <w:right w:val="none" w:sz="0" w:space="0" w:color="auto"/>
      </w:divBdr>
    </w:div>
    <w:div w:id="923950037">
      <w:bodyDiv w:val="1"/>
      <w:marLeft w:val="0"/>
      <w:marRight w:val="0"/>
      <w:marTop w:val="0"/>
      <w:marBottom w:val="0"/>
      <w:divBdr>
        <w:top w:val="none" w:sz="0" w:space="0" w:color="auto"/>
        <w:left w:val="none" w:sz="0" w:space="0" w:color="auto"/>
        <w:bottom w:val="none" w:sz="0" w:space="0" w:color="auto"/>
        <w:right w:val="none" w:sz="0" w:space="0" w:color="auto"/>
      </w:divBdr>
    </w:div>
    <w:div w:id="984165441">
      <w:bodyDiv w:val="1"/>
      <w:marLeft w:val="0"/>
      <w:marRight w:val="0"/>
      <w:marTop w:val="0"/>
      <w:marBottom w:val="0"/>
      <w:divBdr>
        <w:top w:val="none" w:sz="0" w:space="0" w:color="auto"/>
        <w:left w:val="none" w:sz="0" w:space="0" w:color="auto"/>
        <w:bottom w:val="none" w:sz="0" w:space="0" w:color="auto"/>
        <w:right w:val="none" w:sz="0" w:space="0" w:color="auto"/>
      </w:divBdr>
    </w:div>
    <w:div w:id="1345127453">
      <w:bodyDiv w:val="1"/>
      <w:marLeft w:val="0"/>
      <w:marRight w:val="0"/>
      <w:marTop w:val="0"/>
      <w:marBottom w:val="0"/>
      <w:divBdr>
        <w:top w:val="none" w:sz="0" w:space="0" w:color="auto"/>
        <w:left w:val="none" w:sz="0" w:space="0" w:color="auto"/>
        <w:bottom w:val="none" w:sz="0" w:space="0" w:color="auto"/>
        <w:right w:val="none" w:sz="0" w:space="0" w:color="auto"/>
      </w:divBdr>
    </w:div>
    <w:div w:id="1410227291">
      <w:bodyDiv w:val="1"/>
      <w:marLeft w:val="0"/>
      <w:marRight w:val="0"/>
      <w:marTop w:val="0"/>
      <w:marBottom w:val="0"/>
      <w:divBdr>
        <w:top w:val="none" w:sz="0" w:space="0" w:color="auto"/>
        <w:left w:val="none" w:sz="0" w:space="0" w:color="auto"/>
        <w:bottom w:val="none" w:sz="0" w:space="0" w:color="auto"/>
        <w:right w:val="none" w:sz="0" w:space="0" w:color="auto"/>
      </w:divBdr>
    </w:div>
    <w:div w:id="1481579677">
      <w:bodyDiv w:val="1"/>
      <w:marLeft w:val="0"/>
      <w:marRight w:val="0"/>
      <w:marTop w:val="0"/>
      <w:marBottom w:val="0"/>
      <w:divBdr>
        <w:top w:val="none" w:sz="0" w:space="0" w:color="auto"/>
        <w:left w:val="none" w:sz="0" w:space="0" w:color="auto"/>
        <w:bottom w:val="none" w:sz="0" w:space="0" w:color="auto"/>
        <w:right w:val="none" w:sz="0" w:space="0" w:color="auto"/>
      </w:divBdr>
    </w:div>
    <w:div w:id="1560700690">
      <w:bodyDiv w:val="1"/>
      <w:marLeft w:val="0"/>
      <w:marRight w:val="0"/>
      <w:marTop w:val="0"/>
      <w:marBottom w:val="0"/>
      <w:divBdr>
        <w:top w:val="none" w:sz="0" w:space="0" w:color="auto"/>
        <w:left w:val="none" w:sz="0" w:space="0" w:color="auto"/>
        <w:bottom w:val="none" w:sz="0" w:space="0" w:color="auto"/>
        <w:right w:val="none" w:sz="0" w:space="0" w:color="auto"/>
      </w:divBdr>
    </w:div>
    <w:div w:id="1566529523">
      <w:bodyDiv w:val="1"/>
      <w:marLeft w:val="0"/>
      <w:marRight w:val="0"/>
      <w:marTop w:val="0"/>
      <w:marBottom w:val="0"/>
      <w:divBdr>
        <w:top w:val="none" w:sz="0" w:space="0" w:color="auto"/>
        <w:left w:val="none" w:sz="0" w:space="0" w:color="auto"/>
        <w:bottom w:val="none" w:sz="0" w:space="0" w:color="auto"/>
        <w:right w:val="none" w:sz="0" w:space="0" w:color="auto"/>
      </w:divBdr>
    </w:div>
    <w:div w:id="17757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Hexagon Housing Association Ltd</vt:lpstr>
    </vt:vector>
  </TitlesOfParts>
  <Company>Hexagon Housing Association</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Hexagon Housing Association Ltd</dc:title>
  <dc:creator>Chris Birchall</dc:creator>
  <cp:lastModifiedBy>Phil Newsam</cp:lastModifiedBy>
  <cp:revision>2</cp:revision>
  <cp:lastPrinted>2016-09-15T16:19:00Z</cp:lastPrinted>
  <dcterms:created xsi:type="dcterms:W3CDTF">2016-11-29T15:48:00Z</dcterms:created>
  <dcterms:modified xsi:type="dcterms:W3CDTF">2016-11-29T15:48:00Z</dcterms:modified>
</cp:coreProperties>
</file>