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4E" w:rsidRPr="00807642" w:rsidRDefault="004D3C07">
      <w:pPr>
        <w:jc w:val="both"/>
        <w:rPr>
          <w:rFonts w:ascii="Arial" w:hAnsi="Arial"/>
          <w:sz w:val="28"/>
          <w:szCs w:val="28"/>
        </w:rPr>
      </w:pPr>
      <w:bookmarkStart w:id="0" w:name="_GoBack"/>
      <w:bookmarkEnd w:id="0"/>
      <w:r>
        <w:rPr>
          <w:rFonts w:ascii="Arial" w:hAnsi="Arial"/>
          <w:sz w:val="40"/>
        </w:rPr>
        <w:t xml:space="preserve">Hexagon Housing </w:t>
      </w:r>
      <w:r w:rsidR="000B0E43">
        <w:rPr>
          <w:rFonts w:ascii="Arial" w:hAnsi="Arial"/>
          <w:sz w:val="40"/>
        </w:rPr>
        <w:t>Association</w:t>
      </w:r>
      <w:r w:rsidR="009467E9">
        <w:rPr>
          <w:rFonts w:ascii="Arial" w:hAnsi="Arial"/>
          <w:sz w:val="40"/>
        </w:rPr>
        <w:t xml:space="preserve">   </w:t>
      </w:r>
      <w:r w:rsidR="00A65A4E" w:rsidRPr="00807642">
        <w:rPr>
          <w:rFonts w:ascii="Arial" w:hAnsi="Arial"/>
          <w:sz w:val="28"/>
          <w:szCs w:val="28"/>
        </w:rPr>
        <w:tab/>
      </w:r>
      <w:r w:rsidR="00A65A4E" w:rsidRPr="00807642">
        <w:rPr>
          <w:rFonts w:ascii="Arial" w:hAnsi="Arial"/>
          <w:sz w:val="28"/>
          <w:szCs w:val="28"/>
        </w:rPr>
        <w:tab/>
      </w:r>
    </w:p>
    <w:p w:rsidR="00874A1A" w:rsidRDefault="00420A84">
      <w:pPr>
        <w:rPr>
          <w:rFonts w:ascii="Arial" w:hAnsi="Arial"/>
          <w:sz w:val="40"/>
        </w:rPr>
      </w:pPr>
      <w:r>
        <w:rPr>
          <w:rFonts w:ascii="Arial" w:hAnsi="Arial"/>
          <w:sz w:val="40"/>
        </w:rPr>
        <w:t>201</w:t>
      </w:r>
      <w:r w:rsidR="00662A46">
        <w:rPr>
          <w:rFonts w:ascii="Arial" w:hAnsi="Arial"/>
          <w:sz w:val="40"/>
        </w:rPr>
        <w:t>5/16</w:t>
      </w:r>
      <w:r w:rsidR="00467AF9">
        <w:rPr>
          <w:rFonts w:ascii="Arial" w:hAnsi="Arial"/>
          <w:sz w:val="40"/>
        </w:rPr>
        <w:t xml:space="preserve"> Value for Money </w:t>
      </w:r>
      <w:r w:rsidR="00C65B53">
        <w:rPr>
          <w:rFonts w:ascii="Arial" w:hAnsi="Arial"/>
          <w:sz w:val="40"/>
        </w:rPr>
        <w:t xml:space="preserve">Self - </w:t>
      </w:r>
      <w:r>
        <w:rPr>
          <w:rFonts w:ascii="Arial" w:hAnsi="Arial"/>
          <w:sz w:val="40"/>
        </w:rPr>
        <w:t>Assessment</w:t>
      </w:r>
    </w:p>
    <w:p w:rsidR="00A65A4E" w:rsidRDefault="00A65A4E">
      <w:pPr>
        <w:rPr>
          <w:rFonts w:ascii="Arial" w:hAnsi="Arial"/>
        </w:rPr>
      </w:pPr>
    </w:p>
    <w:p w:rsidR="00C77AED" w:rsidRPr="00423B92" w:rsidRDefault="004D3C07" w:rsidP="00423B92">
      <w:pPr>
        <w:numPr>
          <w:ilvl w:val="0"/>
          <w:numId w:val="39"/>
        </w:numPr>
        <w:jc w:val="both"/>
        <w:rPr>
          <w:rFonts w:ascii="Arial" w:hAnsi="Arial"/>
          <w:b/>
          <w:sz w:val="28"/>
        </w:rPr>
      </w:pPr>
      <w:r w:rsidRPr="005C7B8E">
        <w:rPr>
          <w:rFonts w:ascii="Arial" w:hAnsi="Arial"/>
          <w:b/>
          <w:sz w:val="28"/>
        </w:rPr>
        <w:t>Introduction</w:t>
      </w:r>
      <w:r w:rsidR="00BC6336" w:rsidRPr="005C7B8E">
        <w:rPr>
          <w:rFonts w:ascii="Arial" w:hAnsi="Arial"/>
          <w:b/>
          <w:sz w:val="28"/>
        </w:rPr>
        <w:t xml:space="preserve">    </w:t>
      </w:r>
    </w:p>
    <w:p w:rsidR="005C7B8E" w:rsidRDefault="005C7B8E" w:rsidP="00C77AED">
      <w:pPr>
        <w:jc w:val="both"/>
        <w:rPr>
          <w:rFonts w:ascii="Arial" w:hAnsi="Arial"/>
          <w:sz w:val="28"/>
        </w:rPr>
      </w:pPr>
    </w:p>
    <w:p w:rsidR="00C77AED" w:rsidRDefault="00C77AED" w:rsidP="00C77AED">
      <w:pPr>
        <w:jc w:val="both"/>
        <w:rPr>
          <w:rFonts w:ascii="Arial" w:hAnsi="Arial"/>
          <w:sz w:val="28"/>
        </w:rPr>
      </w:pPr>
      <w:r w:rsidRPr="00C77AED">
        <w:rPr>
          <w:rFonts w:ascii="Arial" w:hAnsi="Arial"/>
          <w:sz w:val="28"/>
        </w:rPr>
        <w:t>Why Value for Money is important</w:t>
      </w:r>
    </w:p>
    <w:p w:rsidR="00A65A4E" w:rsidRDefault="00A65A4E">
      <w:pPr>
        <w:jc w:val="both"/>
        <w:rPr>
          <w:rFonts w:ascii="Arial" w:hAnsi="Arial"/>
        </w:rPr>
      </w:pPr>
    </w:p>
    <w:p w:rsidR="00C77AED" w:rsidRPr="00C77AED" w:rsidRDefault="00C77AED" w:rsidP="00C77AED">
      <w:pPr>
        <w:rPr>
          <w:rFonts w:ascii="Arial" w:hAnsi="Arial"/>
        </w:rPr>
      </w:pPr>
      <w:r w:rsidRPr="00C77AED">
        <w:rPr>
          <w:rFonts w:ascii="Arial" w:hAnsi="Arial"/>
        </w:rPr>
        <w:t>For Hexagon, Value for Money (VFM) is about being effective in how we plan, manage and operate our business, it is important because</w:t>
      </w:r>
    </w:p>
    <w:p w:rsidR="00C77AED" w:rsidRPr="00C77AED" w:rsidRDefault="00C77AED" w:rsidP="00C77AED">
      <w:pPr>
        <w:numPr>
          <w:ilvl w:val="0"/>
          <w:numId w:val="38"/>
        </w:numPr>
        <w:jc w:val="both"/>
        <w:rPr>
          <w:rFonts w:ascii="Arial" w:hAnsi="Arial"/>
        </w:rPr>
      </w:pPr>
      <w:r w:rsidRPr="00C77AED">
        <w:rPr>
          <w:rFonts w:ascii="Arial" w:hAnsi="Arial"/>
        </w:rPr>
        <w:t>Residents pay their rent and service charges in the expectation that we will make the best use of them to fulfil Hexagon’s objectives;</w:t>
      </w:r>
    </w:p>
    <w:p w:rsidR="00C77AED" w:rsidRPr="00C77AED" w:rsidRDefault="00C77AED" w:rsidP="00C77AED">
      <w:pPr>
        <w:numPr>
          <w:ilvl w:val="0"/>
          <w:numId w:val="38"/>
        </w:numPr>
        <w:jc w:val="both"/>
        <w:rPr>
          <w:rFonts w:ascii="Arial" w:hAnsi="Arial"/>
        </w:rPr>
      </w:pPr>
      <w:r w:rsidRPr="00C77AED">
        <w:rPr>
          <w:rFonts w:ascii="Arial" w:hAnsi="Arial"/>
        </w:rPr>
        <w:t xml:space="preserve">Our main source of income (social housing rents) is constrained by a </w:t>
      </w:r>
      <w:r w:rsidR="00662A46">
        <w:rPr>
          <w:rFonts w:ascii="Arial" w:hAnsi="Arial"/>
        </w:rPr>
        <w:t xml:space="preserve">long term </w:t>
      </w:r>
      <w:r w:rsidRPr="00C77AED">
        <w:rPr>
          <w:rFonts w:ascii="Arial" w:hAnsi="Arial"/>
        </w:rPr>
        <w:t>formula that links it to inflation +</w:t>
      </w:r>
      <w:r>
        <w:rPr>
          <w:rFonts w:ascii="Arial" w:hAnsi="Arial"/>
        </w:rPr>
        <w:t>1</w:t>
      </w:r>
      <w:r w:rsidRPr="00C77AED">
        <w:rPr>
          <w:rFonts w:ascii="Arial" w:hAnsi="Arial"/>
        </w:rPr>
        <w:t xml:space="preserve">%. </w:t>
      </w:r>
      <w:r w:rsidR="00657161">
        <w:rPr>
          <w:rFonts w:ascii="Arial" w:hAnsi="Arial"/>
        </w:rPr>
        <w:t xml:space="preserve"> Further constraints have been introduced by the Government</w:t>
      </w:r>
      <w:r w:rsidR="00662A46">
        <w:rPr>
          <w:rFonts w:ascii="Arial" w:hAnsi="Arial"/>
        </w:rPr>
        <w:t>, which means that most of our rents will reduce by 1% a year for four years from July 2016</w:t>
      </w:r>
      <w:r w:rsidR="00657161">
        <w:rPr>
          <w:rFonts w:ascii="Arial" w:hAnsi="Arial"/>
        </w:rPr>
        <w:t xml:space="preserve">.  </w:t>
      </w:r>
      <w:r w:rsidRPr="00C77AED">
        <w:rPr>
          <w:rFonts w:ascii="Arial" w:hAnsi="Arial"/>
        </w:rPr>
        <w:t xml:space="preserve"> We have to ensure that other costs rise by no more than </w:t>
      </w:r>
      <w:r w:rsidR="00657161">
        <w:rPr>
          <w:rFonts w:ascii="Arial" w:hAnsi="Arial"/>
        </w:rPr>
        <w:t xml:space="preserve">rental income </w:t>
      </w:r>
      <w:r w:rsidR="00D15D5A">
        <w:rPr>
          <w:rFonts w:ascii="Arial" w:hAnsi="Arial"/>
        </w:rPr>
        <w:t>over the long term</w:t>
      </w:r>
      <w:r w:rsidRPr="00C77AED">
        <w:rPr>
          <w:rFonts w:ascii="Arial" w:hAnsi="Arial"/>
        </w:rPr>
        <w:t xml:space="preserve"> to secure Hexagon’s long term future; and</w:t>
      </w:r>
    </w:p>
    <w:p w:rsidR="00C77AED" w:rsidRDefault="00C77AED" w:rsidP="00C77AED">
      <w:pPr>
        <w:numPr>
          <w:ilvl w:val="0"/>
          <w:numId w:val="38"/>
        </w:numPr>
        <w:jc w:val="both"/>
        <w:rPr>
          <w:rFonts w:ascii="Arial" w:hAnsi="Arial"/>
        </w:rPr>
      </w:pPr>
      <w:r w:rsidRPr="00C77AED">
        <w:rPr>
          <w:rFonts w:ascii="Arial" w:hAnsi="Arial"/>
        </w:rPr>
        <w:t>Our regulators place great emphasis on VFM</w:t>
      </w:r>
    </w:p>
    <w:p w:rsidR="00C77AED" w:rsidRDefault="00C77AED" w:rsidP="00C77AED">
      <w:pPr>
        <w:jc w:val="both"/>
        <w:rPr>
          <w:rFonts w:ascii="Arial" w:hAnsi="Arial"/>
        </w:rPr>
      </w:pPr>
    </w:p>
    <w:p w:rsidR="00C77AED" w:rsidRPr="00C77AED" w:rsidRDefault="00C77AED" w:rsidP="00C77AED">
      <w:pPr>
        <w:jc w:val="both"/>
        <w:rPr>
          <w:rFonts w:ascii="Arial" w:hAnsi="Arial"/>
          <w:sz w:val="28"/>
        </w:rPr>
      </w:pPr>
      <w:r w:rsidRPr="00C77AED">
        <w:rPr>
          <w:rFonts w:ascii="Arial" w:hAnsi="Arial"/>
          <w:sz w:val="28"/>
        </w:rPr>
        <w:t>How the Board monitors VFM</w:t>
      </w:r>
    </w:p>
    <w:p w:rsidR="00C77AED" w:rsidRPr="00C77AED" w:rsidRDefault="00C77AED" w:rsidP="00C77AED">
      <w:pPr>
        <w:rPr>
          <w:rFonts w:ascii="Arial" w:hAnsi="Arial"/>
        </w:rPr>
      </w:pPr>
    </w:p>
    <w:p w:rsidR="00C77AED" w:rsidRPr="00C77AED" w:rsidRDefault="00C77AED" w:rsidP="00C77AED">
      <w:pPr>
        <w:rPr>
          <w:rFonts w:ascii="Arial" w:hAnsi="Arial"/>
        </w:rPr>
      </w:pPr>
      <w:r w:rsidRPr="00C77AED">
        <w:rPr>
          <w:rFonts w:ascii="Arial" w:hAnsi="Arial"/>
        </w:rPr>
        <w:t>Our Board obtains assurance on VFM through a range of means including:</w:t>
      </w:r>
    </w:p>
    <w:p w:rsidR="00C77AED" w:rsidRPr="00C77AED" w:rsidRDefault="00C77AED" w:rsidP="00C77AED">
      <w:pPr>
        <w:numPr>
          <w:ilvl w:val="0"/>
          <w:numId w:val="38"/>
        </w:numPr>
        <w:jc w:val="both"/>
        <w:rPr>
          <w:rFonts w:ascii="Arial" w:hAnsi="Arial"/>
        </w:rPr>
      </w:pPr>
      <w:r w:rsidRPr="00C77AED">
        <w:rPr>
          <w:rFonts w:ascii="Arial" w:hAnsi="Arial"/>
        </w:rPr>
        <w:t xml:space="preserve">A triennial </w:t>
      </w:r>
      <w:r>
        <w:rPr>
          <w:rFonts w:ascii="Arial" w:hAnsi="Arial"/>
        </w:rPr>
        <w:t xml:space="preserve">VFM </w:t>
      </w:r>
      <w:r w:rsidRPr="00C77AED">
        <w:rPr>
          <w:rFonts w:ascii="Arial" w:hAnsi="Arial"/>
        </w:rPr>
        <w:t>Strategy which it approves</w:t>
      </w:r>
      <w:r w:rsidR="00D15D5A">
        <w:rPr>
          <w:rFonts w:ascii="Arial" w:hAnsi="Arial"/>
        </w:rPr>
        <w:t xml:space="preserve"> (current Strategy was approved in May 2014)</w:t>
      </w:r>
      <w:r w:rsidRPr="00C77AED">
        <w:rPr>
          <w:rFonts w:ascii="Arial" w:hAnsi="Arial"/>
        </w:rPr>
        <w:t xml:space="preserve">; </w:t>
      </w:r>
    </w:p>
    <w:p w:rsidR="00D15D5A" w:rsidRDefault="00C77AED" w:rsidP="00C77AED">
      <w:pPr>
        <w:numPr>
          <w:ilvl w:val="0"/>
          <w:numId w:val="38"/>
        </w:numPr>
        <w:jc w:val="both"/>
        <w:rPr>
          <w:rFonts w:ascii="Arial" w:hAnsi="Arial"/>
        </w:rPr>
      </w:pPr>
      <w:r w:rsidRPr="00C77AED">
        <w:rPr>
          <w:rFonts w:ascii="Arial" w:hAnsi="Arial"/>
        </w:rPr>
        <w:t xml:space="preserve">Approving the annual </w:t>
      </w:r>
      <w:r w:rsidR="009315B4" w:rsidRPr="00C77AED">
        <w:rPr>
          <w:rFonts w:ascii="Arial" w:hAnsi="Arial"/>
        </w:rPr>
        <w:t>Self-Assessment</w:t>
      </w:r>
    </w:p>
    <w:p w:rsidR="00C77AED" w:rsidRPr="00EC3479" w:rsidRDefault="00D15D5A" w:rsidP="00C77AED">
      <w:pPr>
        <w:numPr>
          <w:ilvl w:val="0"/>
          <w:numId w:val="38"/>
        </w:numPr>
        <w:jc w:val="both"/>
        <w:rPr>
          <w:rFonts w:ascii="Arial" w:hAnsi="Arial"/>
        </w:rPr>
      </w:pPr>
      <w:r w:rsidRPr="00B01CB2">
        <w:rPr>
          <w:rFonts w:ascii="Arial" w:hAnsi="Arial"/>
        </w:rPr>
        <w:t>Reviewing delivery of the Strategy once a year (</w:t>
      </w:r>
      <w:r w:rsidRPr="00EC3479">
        <w:rPr>
          <w:rFonts w:ascii="Arial" w:hAnsi="Arial"/>
        </w:rPr>
        <w:t>see Appendix C)</w:t>
      </w:r>
      <w:r w:rsidR="00C77AED" w:rsidRPr="00EC3479">
        <w:rPr>
          <w:rFonts w:ascii="Arial" w:hAnsi="Arial"/>
        </w:rPr>
        <w:t xml:space="preserve">; </w:t>
      </w:r>
    </w:p>
    <w:p w:rsidR="00C77AED" w:rsidRDefault="00C77AED" w:rsidP="00C77AED">
      <w:pPr>
        <w:numPr>
          <w:ilvl w:val="0"/>
          <w:numId w:val="38"/>
        </w:numPr>
        <w:jc w:val="both"/>
        <w:rPr>
          <w:rFonts w:ascii="Arial" w:hAnsi="Arial"/>
        </w:rPr>
      </w:pPr>
      <w:r w:rsidRPr="00C77AED">
        <w:rPr>
          <w:rFonts w:ascii="Arial" w:hAnsi="Arial"/>
        </w:rPr>
        <w:t>A range of quarterly performance data which covers quality issues</w:t>
      </w:r>
      <w:r w:rsidR="00D15D5A">
        <w:rPr>
          <w:rFonts w:ascii="Arial" w:hAnsi="Arial"/>
        </w:rPr>
        <w:t>;</w:t>
      </w:r>
    </w:p>
    <w:p w:rsidR="00C77AED" w:rsidRDefault="00C77AED" w:rsidP="00C77AED">
      <w:pPr>
        <w:numPr>
          <w:ilvl w:val="0"/>
          <w:numId w:val="38"/>
        </w:numPr>
        <w:jc w:val="both"/>
        <w:rPr>
          <w:rFonts w:ascii="Arial" w:hAnsi="Arial"/>
        </w:rPr>
      </w:pPr>
      <w:r>
        <w:rPr>
          <w:rFonts w:ascii="Arial" w:hAnsi="Arial"/>
        </w:rPr>
        <w:t>Quarterly management accounts and treasury management updates;</w:t>
      </w:r>
    </w:p>
    <w:p w:rsidR="00C77AED" w:rsidRPr="00C77AED" w:rsidRDefault="00C77AED" w:rsidP="00C77AED">
      <w:pPr>
        <w:numPr>
          <w:ilvl w:val="0"/>
          <w:numId w:val="38"/>
        </w:numPr>
        <w:jc w:val="both"/>
        <w:rPr>
          <w:rFonts w:ascii="Arial" w:hAnsi="Arial"/>
        </w:rPr>
      </w:pPr>
      <w:r>
        <w:rPr>
          <w:rFonts w:ascii="Arial" w:hAnsi="Arial"/>
        </w:rPr>
        <w:t>An annual report against the long term financial plan</w:t>
      </w:r>
      <w:r w:rsidRPr="00C77AED">
        <w:rPr>
          <w:rFonts w:ascii="Arial" w:hAnsi="Arial"/>
        </w:rPr>
        <w:t xml:space="preserve">. </w:t>
      </w:r>
    </w:p>
    <w:p w:rsidR="00A65A4E" w:rsidRDefault="00A65A4E" w:rsidP="00F5003D">
      <w:pPr>
        <w:ind w:left="780"/>
        <w:jc w:val="both"/>
        <w:rPr>
          <w:rFonts w:ascii="Arial" w:hAnsi="Arial"/>
        </w:rPr>
      </w:pPr>
      <w:r>
        <w:rPr>
          <w:rFonts w:ascii="Arial" w:hAnsi="Arial"/>
        </w:rPr>
        <w:t>___________________________________</w:t>
      </w:r>
      <w:r w:rsidR="003E2970">
        <w:rPr>
          <w:rFonts w:ascii="Arial" w:hAnsi="Arial"/>
        </w:rPr>
        <w:t>__________________________</w:t>
      </w:r>
    </w:p>
    <w:p w:rsidR="00A65A4E" w:rsidRDefault="00A65A4E">
      <w:pPr>
        <w:jc w:val="both"/>
        <w:rPr>
          <w:rFonts w:ascii="Arial" w:hAnsi="Arial"/>
        </w:rPr>
      </w:pPr>
    </w:p>
    <w:p w:rsidR="00E1346E" w:rsidRPr="00E1346E" w:rsidRDefault="00E1346E" w:rsidP="00E1346E">
      <w:pPr>
        <w:numPr>
          <w:ilvl w:val="0"/>
          <w:numId w:val="39"/>
        </w:numPr>
        <w:jc w:val="both"/>
        <w:rPr>
          <w:rFonts w:ascii="Arial" w:hAnsi="Arial"/>
          <w:b/>
          <w:sz w:val="28"/>
        </w:rPr>
      </w:pPr>
      <w:r w:rsidRPr="00E1346E">
        <w:rPr>
          <w:rFonts w:ascii="Arial" w:hAnsi="Arial"/>
          <w:b/>
          <w:sz w:val="28"/>
        </w:rPr>
        <w:t>Overall assessment</w:t>
      </w:r>
    </w:p>
    <w:p w:rsidR="003233C4" w:rsidRDefault="009467E9" w:rsidP="00E1346E">
      <w:pPr>
        <w:rPr>
          <w:rFonts w:ascii="Arial" w:hAnsi="Arial"/>
        </w:rPr>
      </w:pPr>
      <w:r w:rsidRPr="009467E9">
        <w:rPr>
          <w:rFonts w:ascii="Arial" w:hAnsi="Arial"/>
        </w:rPr>
        <w:t>Value for money is about outputs</w:t>
      </w:r>
      <w:r>
        <w:rPr>
          <w:rFonts w:ascii="Arial" w:hAnsi="Arial"/>
        </w:rPr>
        <w:t xml:space="preserve">, </w:t>
      </w:r>
      <w:r w:rsidRPr="009467E9">
        <w:rPr>
          <w:rFonts w:ascii="Arial" w:hAnsi="Arial"/>
        </w:rPr>
        <w:t xml:space="preserve">outcomes </w:t>
      </w:r>
      <w:r>
        <w:rPr>
          <w:rFonts w:ascii="Arial" w:hAnsi="Arial"/>
        </w:rPr>
        <w:t xml:space="preserve">and resident satisfaction </w:t>
      </w:r>
      <w:r w:rsidRPr="009467E9">
        <w:rPr>
          <w:rFonts w:ascii="Arial" w:hAnsi="Arial"/>
        </w:rPr>
        <w:t>as well as costs</w:t>
      </w:r>
      <w:r>
        <w:rPr>
          <w:rFonts w:ascii="Arial" w:hAnsi="Arial"/>
        </w:rPr>
        <w:t>.</w:t>
      </w:r>
      <w:r w:rsidRPr="009467E9">
        <w:rPr>
          <w:rFonts w:ascii="Arial" w:hAnsi="Arial"/>
        </w:rPr>
        <w:t xml:space="preserve"> </w:t>
      </w:r>
      <w:r w:rsidR="003233C4" w:rsidRPr="003233C4">
        <w:rPr>
          <w:rFonts w:ascii="Arial" w:hAnsi="Arial"/>
        </w:rPr>
        <w:t>Hexagon performs well in overall value for money, with particular strengths being as follows:</w:t>
      </w:r>
    </w:p>
    <w:p w:rsidR="003233C4" w:rsidRDefault="003233C4" w:rsidP="00E1346E">
      <w:pPr>
        <w:rPr>
          <w:rFonts w:ascii="Arial" w:hAnsi="Arial"/>
        </w:rPr>
      </w:pPr>
    </w:p>
    <w:p w:rsidR="003233C4" w:rsidRPr="00EC3479" w:rsidRDefault="003233C4" w:rsidP="003233C4">
      <w:pPr>
        <w:numPr>
          <w:ilvl w:val="0"/>
          <w:numId w:val="42"/>
        </w:numPr>
        <w:rPr>
          <w:rFonts w:ascii="Arial" w:hAnsi="Arial"/>
        </w:rPr>
      </w:pPr>
      <w:r w:rsidRPr="00EC3479">
        <w:rPr>
          <w:rFonts w:ascii="Arial" w:hAnsi="Arial"/>
        </w:rPr>
        <w:lastRenderedPageBreak/>
        <w:t>The Board is prepared to make difficult decisions to withdraw from business streams that no longer meet Hexagon’s social and financial objectives, past examples being short-life housing and provision of support under supporting people contracts (other than for very specific needs);</w:t>
      </w:r>
    </w:p>
    <w:p w:rsidR="003233C4" w:rsidRDefault="00B01CB2" w:rsidP="003233C4">
      <w:pPr>
        <w:numPr>
          <w:ilvl w:val="0"/>
          <w:numId w:val="42"/>
        </w:numPr>
        <w:rPr>
          <w:rFonts w:ascii="Arial" w:hAnsi="Arial"/>
        </w:rPr>
      </w:pPr>
      <w:r w:rsidRPr="00EC3479">
        <w:rPr>
          <w:rFonts w:ascii="Arial" w:hAnsi="Arial"/>
        </w:rPr>
        <w:t xml:space="preserve">Other than responsive repairs, our </w:t>
      </w:r>
      <w:r w:rsidR="003233C4" w:rsidRPr="00EC3479">
        <w:rPr>
          <w:rFonts w:ascii="Arial" w:hAnsi="Arial"/>
        </w:rPr>
        <w:t xml:space="preserve">services are provided at lower </w:t>
      </w:r>
      <w:r w:rsidRPr="00EC3479">
        <w:rPr>
          <w:rFonts w:ascii="Arial" w:hAnsi="Arial"/>
        </w:rPr>
        <w:t xml:space="preserve">cost </w:t>
      </w:r>
      <w:r w:rsidR="003233C4" w:rsidRPr="00EC3479">
        <w:rPr>
          <w:rFonts w:ascii="Arial" w:hAnsi="Arial"/>
        </w:rPr>
        <w:t>tha</w:t>
      </w:r>
      <w:r w:rsidR="00B2361B" w:rsidRPr="00EC3479">
        <w:rPr>
          <w:rFonts w:ascii="Arial" w:hAnsi="Arial"/>
        </w:rPr>
        <w:t xml:space="preserve">n </w:t>
      </w:r>
      <w:r w:rsidRPr="00EC3479">
        <w:rPr>
          <w:rFonts w:ascii="Arial" w:hAnsi="Arial"/>
        </w:rPr>
        <w:t>average for London housing associations</w:t>
      </w:r>
      <w:r w:rsidR="003233C4" w:rsidRPr="00EC3479">
        <w:rPr>
          <w:rFonts w:ascii="Arial" w:hAnsi="Arial"/>
        </w:rPr>
        <w:t xml:space="preserve"> (see paragraph </w:t>
      </w:r>
      <w:r w:rsidRPr="00EC3479">
        <w:rPr>
          <w:rFonts w:ascii="Arial" w:hAnsi="Arial"/>
        </w:rPr>
        <w:t>3</w:t>
      </w:r>
      <w:r w:rsidR="00261824" w:rsidRPr="00EC3479">
        <w:rPr>
          <w:rFonts w:ascii="Arial" w:hAnsi="Arial"/>
        </w:rPr>
        <w:t>.2</w:t>
      </w:r>
      <w:r w:rsidR="003233C4" w:rsidRPr="00EC3479">
        <w:rPr>
          <w:rFonts w:ascii="Arial" w:hAnsi="Arial"/>
        </w:rPr>
        <w:t>)</w:t>
      </w:r>
    </w:p>
    <w:p w:rsidR="00D93FC0" w:rsidRPr="00EC3479" w:rsidRDefault="00D93FC0" w:rsidP="003233C4">
      <w:pPr>
        <w:numPr>
          <w:ilvl w:val="0"/>
          <w:numId w:val="42"/>
        </w:numPr>
        <w:rPr>
          <w:rFonts w:ascii="Arial" w:hAnsi="Arial"/>
        </w:rPr>
      </w:pPr>
      <w:r>
        <w:rPr>
          <w:rFonts w:ascii="Arial" w:hAnsi="Arial"/>
        </w:rPr>
        <w:t xml:space="preserve">Once data is adjusted for London weighting, figures from our Regulator show that our costs per social housing home managed are lower than those for 75% of English housing associations. </w:t>
      </w:r>
    </w:p>
    <w:p w:rsidR="003233C4" w:rsidRPr="00EC3479" w:rsidRDefault="003233C4" w:rsidP="003233C4">
      <w:pPr>
        <w:numPr>
          <w:ilvl w:val="0"/>
          <w:numId w:val="42"/>
        </w:numPr>
        <w:rPr>
          <w:rFonts w:ascii="Arial" w:hAnsi="Arial"/>
        </w:rPr>
      </w:pPr>
      <w:r w:rsidRPr="00EC3479">
        <w:rPr>
          <w:rFonts w:ascii="Arial" w:hAnsi="Arial"/>
        </w:rPr>
        <w:t>We have a</w:t>
      </w:r>
      <w:r w:rsidR="00B01CB2" w:rsidRPr="00EC3479">
        <w:rPr>
          <w:rFonts w:ascii="Arial" w:hAnsi="Arial"/>
        </w:rPr>
        <w:t>n</w:t>
      </w:r>
      <w:r w:rsidRPr="00EC3479">
        <w:rPr>
          <w:rFonts w:ascii="Arial" w:hAnsi="Arial"/>
        </w:rPr>
        <w:t xml:space="preserve"> </w:t>
      </w:r>
      <w:r w:rsidR="00B01CB2" w:rsidRPr="00EC3479">
        <w:rPr>
          <w:rFonts w:ascii="Arial" w:hAnsi="Arial"/>
        </w:rPr>
        <w:t>8</w:t>
      </w:r>
      <w:r w:rsidRPr="00EC3479">
        <w:rPr>
          <w:rFonts w:ascii="Arial" w:hAnsi="Arial"/>
        </w:rPr>
        <w:t xml:space="preserve">- year track record of keeping unit cost increases to less than inflation, in all areas other than major repairs and void repair costs (Appendix </w:t>
      </w:r>
      <w:r w:rsidR="00261824" w:rsidRPr="00EC3479">
        <w:rPr>
          <w:rFonts w:ascii="Arial" w:hAnsi="Arial"/>
        </w:rPr>
        <w:t>B</w:t>
      </w:r>
      <w:r w:rsidRPr="00EC3479">
        <w:rPr>
          <w:rFonts w:ascii="Arial" w:hAnsi="Arial"/>
        </w:rPr>
        <w:t>)</w:t>
      </w:r>
    </w:p>
    <w:p w:rsidR="003233C4" w:rsidRDefault="00B01CB2" w:rsidP="003233C4">
      <w:pPr>
        <w:numPr>
          <w:ilvl w:val="0"/>
          <w:numId w:val="42"/>
        </w:numPr>
        <w:rPr>
          <w:rFonts w:ascii="Arial" w:hAnsi="Arial"/>
        </w:rPr>
      </w:pPr>
      <w:r w:rsidRPr="00EC3479">
        <w:rPr>
          <w:rFonts w:ascii="Arial" w:hAnsi="Arial"/>
        </w:rPr>
        <w:t xml:space="preserve">Our interest costs are </w:t>
      </w:r>
      <w:r w:rsidR="003233C4" w:rsidRPr="00EC3479">
        <w:rPr>
          <w:rFonts w:ascii="Arial" w:hAnsi="Arial"/>
        </w:rPr>
        <w:t>low</w:t>
      </w:r>
      <w:r w:rsidRPr="00EC3479">
        <w:rPr>
          <w:rFonts w:ascii="Arial" w:hAnsi="Arial"/>
        </w:rPr>
        <w:t>er</w:t>
      </w:r>
      <w:r w:rsidR="003233C4" w:rsidRPr="00EC3479">
        <w:rPr>
          <w:rFonts w:ascii="Arial" w:hAnsi="Arial"/>
        </w:rPr>
        <w:t xml:space="preserve"> </w:t>
      </w:r>
      <w:r w:rsidRPr="00EC3479">
        <w:rPr>
          <w:rFonts w:ascii="Arial" w:hAnsi="Arial"/>
        </w:rPr>
        <w:t xml:space="preserve">than those </w:t>
      </w:r>
      <w:r>
        <w:rPr>
          <w:rFonts w:ascii="Arial" w:hAnsi="Arial"/>
        </w:rPr>
        <w:t xml:space="preserve">of 75% </w:t>
      </w:r>
      <w:r w:rsidRPr="00EC3479">
        <w:rPr>
          <w:rFonts w:ascii="Arial" w:hAnsi="Arial"/>
        </w:rPr>
        <w:t xml:space="preserve">of English </w:t>
      </w:r>
      <w:r w:rsidR="003233C4" w:rsidRPr="00EC3479">
        <w:rPr>
          <w:rFonts w:ascii="Arial" w:hAnsi="Arial"/>
        </w:rPr>
        <w:t xml:space="preserve">housing </w:t>
      </w:r>
      <w:r w:rsidR="0073266E" w:rsidRPr="00EC3479">
        <w:rPr>
          <w:rFonts w:ascii="Arial" w:hAnsi="Arial"/>
        </w:rPr>
        <w:t>associations</w:t>
      </w:r>
      <w:r w:rsidR="003233C4" w:rsidRPr="00EC3479">
        <w:rPr>
          <w:rFonts w:ascii="Arial" w:hAnsi="Arial"/>
        </w:rPr>
        <w:t xml:space="preserve"> (paragraph </w:t>
      </w:r>
      <w:r w:rsidRPr="00EC3479">
        <w:rPr>
          <w:rFonts w:ascii="Arial" w:hAnsi="Arial"/>
        </w:rPr>
        <w:t>3.6</w:t>
      </w:r>
      <w:r w:rsidR="003233C4" w:rsidRPr="00EC3479">
        <w:rPr>
          <w:rFonts w:ascii="Arial" w:hAnsi="Arial"/>
        </w:rPr>
        <w:t>)</w:t>
      </w:r>
    </w:p>
    <w:p w:rsidR="00B01CB2" w:rsidRPr="00EC3479" w:rsidRDefault="00B01CB2" w:rsidP="003233C4">
      <w:pPr>
        <w:numPr>
          <w:ilvl w:val="0"/>
          <w:numId w:val="42"/>
        </w:numPr>
        <w:rPr>
          <w:rFonts w:ascii="Arial" w:hAnsi="Arial"/>
        </w:rPr>
      </w:pPr>
      <w:r>
        <w:rPr>
          <w:rFonts w:ascii="Arial" w:hAnsi="Arial"/>
        </w:rPr>
        <w:t>We estimate that we save our general needs and co-op residents around £25m a year compared to market rents, which represents an 11.7% social return on the grants that the taxpayer has i</w:t>
      </w:r>
      <w:r w:rsidR="00D93FC0">
        <w:rPr>
          <w:rFonts w:ascii="Arial" w:hAnsi="Arial"/>
        </w:rPr>
        <w:t>nvested in these properties (paragraph 4.5)</w:t>
      </w:r>
    </w:p>
    <w:p w:rsidR="005019ED" w:rsidRDefault="005019ED" w:rsidP="003233C4">
      <w:pPr>
        <w:numPr>
          <w:ilvl w:val="0"/>
          <w:numId w:val="42"/>
        </w:numPr>
        <w:rPr>
          <w:rFonts w:ascii="Arial" w:hAnsi="Arial"/>
        </w:rPr>
      </w:pPr>
      <w:r w:rsidRPr="00EC3479">
        <w:rPr>
          <w:rFonts w:ascii="Arial" w:hAnsi="Arial"/>
        </w:rPr>
        <w:t xml:space="preserve">We have identified the most costly 15% of properties to repair and assess </w:t>
      </w:r>
      <w:r w:rsidR="004F6DEE" w:rsidRPr="00EC3479">
        <w:rPr>
          <w:rFonts w:ascii="Arial" w:hAnsi="Arial"/>
        </w:rPr>
        <w:t xml:space="preserve">for disposal </w:t>
      </w:r>
      <w:r w:rsidRPr="00EC3479">
        <w:rPr>
          <w:rFonts w:ascii="Arial" w:hAnsi="Arial"/>
        </w:rPr>
        <w:t>any of these that become empty using clear criteria</w:t>
      </w:r>
      <w:r w:rsidR="00B10A29" w:rsidRPr="00EC3479">
        <w:rPr>
          <w:rFonts w:ascii="Arial" w:hAnsi="Arial"/>
        </w:rPr>
        <w:t>, including an assessment of social value</w:t>
      </w:r>
      <w:r w:rsidRPr="00EC3479">
        <w:rPr>
          <w:rFonts w:ascii="Arial" w:hAnsi="Arial"/>
        </w:rPr>
        <w:t xml:space="preserve"> (paragraph </w:t>
      </w:r>
      <w:r w:rsidR="00D93FC0" w:rsidRPr="00EC3479">
        <w:rPr>
          <w:rFonts w:ascii="Arial" w:hAnsi="Arial"/>
        </w:rPr>
        <w:t>4.7</w:t>
      </w:r>
      <w:r w:rsidRPr="00EC3479">
        <w:rPr>
          <w:rFonts w:ascii="Arial" w:hAnsi="Arial"/>
        </w:rPr>
        <w:t>)</w:t>
      </w:r>
    </w:p>
    <w:p w:rsidR="001848A6" w:rsidRPr="00EC3479" w:rsidRDefault="008651DF" w:rsidP="003233C4">
      <w:pPr>
        <w:numPr>
          <w:ilvl w:val="0"/>
          <w:numId w:val="42"/>
        </w:numPr>
        <w:rPr>
          <w:rFonts w:ascii="Arial" w:hAnsi="Arial"/>
        </w:rPr>
      </w:pPr>
      <w:r>
        <w:rPr>
          <w:rFonts w:ascii="Arial" w:hAnsi="Arial"/>
        </w:rPr>
        <w:t xml:space="preserve">We have a </w:t>
      </w:r>
      <w:r w:rsidR="001848A6">
        <w:rPr>
          <w:rFonts w:ascii="Arial" w:hAnsi="Arial"/>
        </w:rPr>
        <w:t>VFM Strategy that contains challenging and measurable targets (Appendix C)</w:t>
      </w:r>
    </w:p>
    <w:p w:rsidR="003233C4" w:rsidRPr="00094B55" w:rsidRDefault="003233C4" w:rsidP="00E1346E">
      <w:pPr>
        <w:rPr>
          <w:rFonts w:ascii="Arial" w:hAnsi="Arial"/>
          <w:highlight w:val="yellow"/>
        </w:rPr>
      </w:pPr>
    </w:p>
    <w:p w:rsidR="005019ED" w:rsidRPr="00312E77" w:rsidRDefault="005019ED" w:rsidP="00E1346E">
      <w:pPr>
        <w:rPr>
          <w:rFonts w:ascii="Arial" w:hAnsi="Arial"/>
        </w:rPr>
      </w:pPr>
      <w:r w:rsidRPr="00312E77">
        <w:rPr>
          <w:rFonts w:ascii="Arial" w:hAnsi="Arial"/>
        </w:rPr>
        <w:t>However,</w:t>
      </w:r>
      <w:r w:rsidR="00D93FC0">
        <w:rPr>
          <w:rFonts w:ascii="Arial" w:hAnsi="Arial"/>
        </w:rPr>
        <w:t xml:space="preserve"> </w:t>
      </w:r>
      <w:r w:rsidRPr="00312E77">
        <w:rPr>
          <w:rFonts w:ascii="Arial" w:hAnsi="Arial"/>
        </w:rPr>
        <w:t>there are some specific areas where we want to do better, as follows:</w:t>
      </w:r>
    </w:p>
    <w:p w:rsidR="005019ED" w:rsidRPr="00312E77" w:rsidRDefault="005019ED" w:rsidP="00E1346E">
      <w:pPr>
        <w:rPr>
          <w:rFonts w:ascii="Arial" w:hAnsi="Arial"/>
        </w:rPr>
      </w:pPr>
    </w:p>
    <w:p w:rsidR="001A1E2D" w:rsidRPr="00EC3479" w:rsidRDefault="005019ED">
      <w:pPr>
        <w:numPr>
          <w:ilvl w:val="0"/>
          <w:numId w:val="43"/>
        </w:numPr>
        <w:rPr>
          <w:rFonts w:ascii="Arial" w:hAnsi="Arial"/>
        </w:rPr>
      </w:pPr>
      <w:r w:rsidRPr="00EC3479">
        <w:rPr>
          <w:rFonts w:ascii="Arial" w:hAnsi="Arial"/>
        </w:rPr>
        <w:t>Resident satisfaction with our responsive repairs service is lower than for our London peers</w:t>
      </w:r>
      <w:r w:rsidR="00B10A29" w:rsidRPr="00EC3479">
        <w:rPr>
          <w:rFonts w:ascii="Arial" w:hAnsi="Arial"/>
        </w:rPr>
        <w:t xml:space="preserve">, </w:t>
      </w:r>
      <w:r w:rsidR="007B7C15">
        <w:rPr>
          <w:rFonts w:ascii="Arial" w:hAnsi="Arial"/>
        </w:rPr>
        <w:t xml:space="preserve">and we take longer to complete repairs. This </w:t>
      </w:r>
      <w:r w:rsidR="00B10A29" w:rsidRPr="00EC3479">
        <w:rPr>
          <w:rFonts w:ascii="Arial" w:hAnsi="Arial"/>
        </w:rPr>
        <w:t xml:space="preserve">has been adversely affected in 2014/15 by the failure of our main responsive repairs contractor.  We </w:t>
      </w:r>
      <w:r w:rsidRPr="00EC3479">
        <w:rPr>
          <w:rFonts w:ascii="Arial" w:hAnsi="Arial"/>
        </w:rPr>
        <w:t>involv</w:t>
      </w:r>
      <w:r w:rsidR="00D93FC0" w:rsidRPr="00EC3479">
        <w:rPr>
          <w:rFonts w:ascii="Arial" w:hAnsi="Arial"/>
        </w:rPr>
        <w:t>ed</w:t>
      </w:r>
      <w:r w:rsidRPr="00EC3479">
        <w:rPr>
          <w:rFonts w:ascii="Arial" w:hAnsi="Arial"/>
        </w:rPr>
        <w:t xml:space="preserve"> residents in choosing new </w:t>
      </w:r>
      <w:r w:rsidR="00B10A29" w:rsidRPr="00EC3479">
        <w:rPr>
          <w:rFonts w:ascii="Arial" w:hAnsi="Arial"/>
        </w:rPr>
        <w:t xml:space="preserve">contractors </w:t>
      </w:r>
      <w:r w:rsidR="00D93FC0" w:rsidRPr="00EC3479">
        <w:rPr>
          <w:rFonts w:ascii="Arial" w:hAnsi="Arial"/>
        </w:rPr>
        <w:t xml:space="preserve">during 15/16, and are now seeing improvements in </w:t>
      </w:r>
      <w:r w:rsidR="007B7C15" w:rsidRPr="00EC3479">
        <w:rPr>
          <w:rFonts w:ascii="Arial" w:hAnsi="Arial"/>
        </w:rPr>
        <w:t xml:space="preserve">both </w:t>
      </w:r>
      <w:r w:rsidR="00D93FC0" w:rsidRPr="00EC3479">
        <w:rPr>
          <w:rFonts w:ascii="Arial" w:hAnsi="Arial"/>
        </w:rPr>
        <w:t>satisfaction rates</w:t>
      </w:r>
      <w:r w:rsidR="007B7C15" w:rsidRPr="00EC3479">
        <w:rPr>
          <w:rFonts w:ascii="Arial" w:hAnsi="Arial"/>
        </w:rPr>
        <w:t xml:space="preserve"> and repair completion times</w:t>
      </w:r>
      <w:r w:rsidR="00D93FC0" w:rsidRPr="00EC3479">
        <w:rPr>
          <w:rFonts w:ascii="Arial" w:hAnsi="Arial"/>
        </w:rPr>
        <w:t xml:space="preserve"> for 16/17 to date. </w:t>
      </w:r>
      <w:r w:rsidR="00B10A29" w:rsidRPr="00EC3479">
        <w:rPr>
          <w:rFonts w:ascii="Arial" w:hAnsi="Arial"/>
        </w:rPr>
        <w:t xml:space="preserve"> </w:t>
      </w:r>
    </w:p>
    <w:p w:rsidR="00F5056E" w:rsidRPr="00EC3479" w:rsidRDefault="00F5056E" w:rsidP="00F5056E">
      <w:pPr>
        <w:pStyle w:val="ListParagraph"/>
        <w:numPr>
          <w:ilvl w:val="0"/>
          <w:numId w:val="43"/>
        </w:numPr>
        <w:rPr>
          <w:rFonts w:ascii="Arial" w:hAnsi="Arial"/>
        </w:rPr>
      </w:pPr>
      <w:r w:rsidRPr="00EC3479">
        <w:rPr>
          <w:rFonts w:ascii="Arial" w:hAnsi="Arial"/>
        </w:rPr>
        <w:t>We have used the opportunity of the new responsive repairs contracts put in place for 16/17 to reinstate IT interfaces with each contractor, with a view to improving our control of repair costs.</w:t>
      </w:r>
    </w:p>
    <w:p w:rsidR="00D93FC0" w:rsidRPr="00EC3479" w:rsidRDefault="00F5056E">
      <w:pPr>
        <w:numPr>
          <w:ilvl w:val="0"/>
          <w:numId w:val="43"/>
        </w:numPr>
        <w:rPr>
          <w:rFonts w:ascii="Arial" w:hAnsi="Arial"/>
        </w:rPr>
      </w:pPr>
      <w:r w:rsidRPr="00EC3479">
        <w:rPr>
          <w:rFonts w:ascii="Arial" w:hAnsi="Arial"/>
        </w:rPr>
        <w:t xml:space="preserve">Despite the difficulties of making our Victorian and Edwardian street properties energy-efficient, we are investing significant amounts of money to improve the average </w:t>
      </w:r>
      <w:r w:rsidR="001A1E2D" w:rsidRPr="00EC3479">
        <w:rPr>
          <w:rFonts w:ascii="Arial" w:hAnsi="Arial"/>
        </w:rPr>
        <w:t>SAP rating</w:t>
      </w:r>
      <w:r w:rsidRPr="00EC3479">
        <w:rPr>
          <w:rFonts w:ascii="Arial" w:hAnsi="Arial"/>
        </w:rPr>
        <w:t xml:space="preserve"> of our homes.</w:t>
      </w:r>
    </w:p>
    <w:p w:rsidR="00925430" w:rsidRPr="00EC3479" w:rsidRDefault="00866A79" w:rsidP="005019ED">
      <w:pPr>
        <w:numPr>
          <w:ilvl w:val="0"/>
          <w:numId w:val="43"/>
        </w:numPr>
        <w:rPr>
          <w:rFonts w:ascii="Arial" w:hAnsi="Arial"/>
        </w:rPr>
      </w:pPr>
      <w:r w:rsidRPr="00EC3479">
        <w:rPr>
          <w:rFonts w:ascii="Arial" w:hAnsi="Arial"/>
        </w:rPr>
        <w:t xml:space="preserve">We </w:t>
      </w:r>
      <w:r w:rsidR="009467E9" w:rsidRPr="00EC3479">
        <w:rPr>
          <w:rFonts w:ascii="Arial" w:hAnsi="Arial"/>
        </w:rPr>
        <w:t xml:space="preserve">still taking </w:t>
      </w:r>
      <w:r w:rsidRPr="00EC3479">
        <w:rPr>
          <w:rFonts w:ascii="Arial" w:hAnsi="Arial"/>
        </w:rPr>
        <w:t>too long to relet empty properties</w:t>
      </w:r>
      <w:r w:rsidR="00C32991" w:rsidRPr="00EC3479">
        <w:rPr>
          <w:rFonts w:ascii="Arial" w:hAnsi="Arial"/>
        </w:rPr>
        <w:t>, although a true comparison with our peers is difficult because we have not been enforcing the 4 week notice period for tenancies</w:t>
      </w:r>
      <w:r w:rsidR="007B7C15" w:rsidRPr="00EC3479">
        <w:rPr>
          <w:rFonts w:ascii="Arial" w:hAnsi="Arial"/>
        </w:rPr>
        <w:t>.</w:t>
      </w:r>
      <w:r w:rsidR="00C32991" w:rsidRPr="00EC3479">
        <w:rPr>
          <w:rFonts w:ascii="Arial" w:hAnsi="Arial"/>
        </w:rPr>
        <w:t xml:space="preserve"> </w:t>
      </w:r>
      <w:r w:rsidR="00B10A29" w:rsidRPr="00EC3479">
        <w:rPr>
          <w:rFonts w:ascii="Arial" w:hAnsi="Arial"/>
        </w:rPr>
        <w:t xml:space="preserve"> </w:t>
      </w:r>
    </w:p>
    <w:p w:rsidR="00E1346E" w:rsidRPr="00DF3F09" w:rsidRDefault="00E1346E" w:rsidP="00E1346E">
      <w:pPr>
        <w:rPr>
          <w:rFonts w:ascii="Arial" w:hAnsi="Arial"/>
          <w:highlight w:val="yellow"/>
        </w:rPr>
      </w:pPr>
    </w:p>
    <w:p w:rsidR="00E1346E" w:rsidRPr="00DF3F09" w:rsidRDefault="00E1346E" w:rsidP="00E1346E">
      <w:pPr>
        <w:rPr>
          <w:rFonts w:ascii="Arial" w:hAnsi="Arial"/>
          <w:highlight w:val="yellow"/>
        </w:rPr>
      </w:pPr>
    </w:p>
    <w:p w:rsidR="00E1346E" w:rsidRPr="00DF3F09" w:rsidRDefault="00E1346E" w:rsidP="00E1346E">
      <w:pPr>
        <w:rPr>
          <w:rFonts w:ascii="Arial" w:hAnsi="Arial"/>
          <w:highlight w:val="yellow"/>
        </w:rPr>
      </w:pPr>
    </w:p>
    <w:p w:rsidR="00E1346E" w:rsidRDefault="00494E51">
      <w:pPr>
        <w:jc w:val="both"/>
        <w:rPr>
          <w:rFonts w:ascii="Arial" w:hAnsi="Arial"/>
        </w:rPr>
      </w:pPr>
      <w:r>
        <w:rPr>
          <w:rFonts w:ascii="Arial" w:hAnsi="Arial"/>
        </w:rPr>
        <w:br w:type="page"/>
      </w:r>
    </w:p>
    <w:p w:rsidR="00E1346E" w:rsidRDefault="00E1346E">
      <w:pPr>
        <w:jc w:val="both"/>
        <w:rPr>
          <w:rFonts w:ascii="Arial" w:hAnsi="Arial"/>
        </w:rPr>
      </w:pPr>
    </w:p>
    <w:p w:rsidR="0079297D" w:rsidRDefault="0079297D" w:rsidP="007E1BC6">
      <w:pPr>
        <w:jc w:val="both"/>
        <w:rPr>
          <w:rFonts w:ascii="Arial" w:hAnsi="Arial"/>
        </w:rPr>
      </w:pPr>
    </w:p>
    <w:p w:rsidR="00264B95" w:rsidRPr="00E1346E" w:rsidRDefault="00983925" w:rsidP="00983925">
      <w:pPr>
        <w:numPr>
          <w:ilvl w:val="0"/>
          <w:numId w:val="39"/>
        </w:numPr>
        <w:jc w:val="both"/>
        <w:rPr>
          <w:rFonts w:ascii="Arial" w:hAnsi="Arial"/>
          <w:b/>
          <w:sz w:val="28"/>
        </w:rPr>
      </w:pPr>
      <w:r w:rsidRPr="00E1346E">
        <w:rPr>
          <w:rFonts w:ascii="Arial" w:hAnsi="Arial"/>
          <w:b/>
          <w:sz w:val="28"/>
        </w:rPr>
        <w:t>A</w:t>
      </w:r>
      <w:r w:rsidR="00264B95" w:rsidRPr="00E1346E">
        <w:rPr>
          <w:rFonts w:ascii="Arial" w:hAnsi="Arial"/>
          <w:b/>
          <w:sz w:val="28"/>
        </w:rPr>
        <w:t>bsolute and comparative costs of delivering specific services</w:t>
      </w:r>
    </w:p>
    <w:p w:rsidR="00FA6B86" w:rsidRDefault="00FA6B86" w:rsidP="007E1BC6">
      <w:pPr>
        <w:jc w:val="both"/>
        <w:rPr>
          <w:rFonts w:ascii="Arial" w:hAnsi="Arial"/>
        </w:rPr>
      </w:pPr>
    </w:p>
    <w:p w:rsidR="00983925" w:rsidRPr="00983925" w:rsidRDefault="00983925" w:rsidP="007E1BC6">
      <w:pPr>
        <w:jc w:val="both"/>
        <w:rPr>
          <w:rFonts w:ascii="Arial" w:hAnsi="Arial"/>
          <w:b/>
        </w:rPr>
      </w:pPr>
      <w:r w:rsidRPr="00983925">
        <w:rPr>
          <w:rFonts w:ascii="Arial" w:hAnsi="Arial"/>
          <w:b/>
        </w:rPr>
        <w:t xml:space="preserve">What our services cost in </w:t>
      </w:r>
      <w:r w:rsidR="003F75E3">
        <w:rPr>
          <w:rFonts w:ascii="Arial" w:hAnsi="Arial"/>
          <w:b/>
        </w:rPr>
        <w:t>15/16</w:t>
      </w:r>
    </w:p>
    <w:p w:rsidR="000E67B7" w:rsidRDefault="003F75E3" w:rsidP="007E1BC6">
      <w:pPr>
        <w:jc w:val="both"/>
        <w:rPr>
          <w:rFonts w:ascii="Arial" w:hAnsi="Arial"/>
        </w:rPr>
      </w:pPr>
      <w:r>
        <w:rPr>
          <w:rFonts w:ascii="Arial" w:hAnsi="Arial"/>
        </w:rPr>
        <w:t>3</w:t>
      </w:r>
      <w:r w:rsidR="00261824">
        <w:rPr>
          <w:rFonts w:ascii="Arial" w:hAnsi="Arial"/>
        </w:rPr>
        <w:t xml:space="preserve">.1 </w:t>
      </w:r>
      <w:r w:rsidR="00FA6B86" w:rsidRPr="00FA6B86">
        <w:rPr>
          <w:rFonts w:ascii="Arial" w:hAnsi="Arial"/>
        </w:rPr>
        <w:t xml:space="preserve">The </w:t>
      </w:r>
      <w:r w:rsidR="00FA6B86" w:rsidRPr="008A18FC">
        <w:rPr>
          <w:rFonts w:ascii="Arial" w:hAnsi="Arial"/>
        </w:rPr>
        <w:t xml:space="preserve">table </w:t>
      </w:r>
      <w:r w:rsidR="00BC3CD6" w:rsidRPr="008A18FC">
        <w:rPr>
          <w:rFonts w:ascii="Arial" w:hAnsi="Arial"/>
        </w:rPr>
        <w:t xml:space="preserve">in Appendix A </w:t>
      </w:r>
      <w:r w:rsidR="00FA6B86" w:rsidRPr="008A18FC">
        <w:rPr>
          <w:rFonts w:ascii="Arial" w:hAnsi="Arial"/>
        </w:rPr>
        <w:t xml:space="preserve">shows the </w:t>
      </w:r>
      <w:r w:rsidRPr="008A18FC">
        <w:rPr>
          <w:rFonts w:ascii="Arial" w:hAnsi="Arial"/>
        </w:rPr>
        <w:t>15/16</w:t>
      </w:r>
      <w:r w:rsidR="00983925" w:rsidRPr="008A18FC">
        <w:rPr>
          <w:rFonts w:ascii="Arial" w:hAnsi="Arial"/>
        </w:rPr>
        <w:t xml:space="preserve"> cost of </w:t>
      </w:r>
      <w:r w:rsidR="00FA6B86" w:rsidRPr="008A18FC">
        <w:rPr>
          <w:rFonts w:ascii="Arial" w:hAnsi="Arial"/>
        </w:rPr>
        <w:t xml:space="preserve">delivering services. Expenditure on building new homes accounted for </w:t>
      </w:r>
      <w:r w:rsidR="00F825F6" w:rsidRPr="008A18FC">
        <w:rPr>
          <w:rFonts w:ascii="Arial" w:hAnsi="Arial"/>
        </w:rPr>
        <w:t>4</w:t>
      </w:r>
      <w:r w:rsidR="0061713B" w:rsidRPr="008A18FC">
        <w:rPr>
          <w:rFonts w:ascii="Arial" w:hAnsi="Arial"/>
        </w:rPr>
        <w:t>7</w:t>
      </w:r>
      <w:r w:rsidR="00FA6B86" w:rsidRPr="008A18FC">
        <w:rPr>
          <w:rFonts w:ascii="Arial" w:hAnsi="Arial"/>
        </w:rPr>
        <w:t>% of expenditure during the year. The pie</w:t>
      </w:r>
      <w:r w:rsidR="00BC3CD6" w:rsidRPr="008A18FC">
        <w:rPr>
          <w:rFonts w:ascii="Arial" w:hAnsi="Arial"/>
        </w:rPr>
        <w:t xml:space="preserve"> below</w:t>
      </w:r>
      <w:r w:rsidR="00FA6B86" w:rsidRPr="008A18FC">
        <w:rPr>
          <w:rFonts w:ascii="Arial" w:hAnsi="Arial"/>
        </w:rPr>
        <w:t xml:space="preserve"> chart shows</w:t>
      </w:r>
      <w:r w:rsidR="00FA6B86" w:rsidRPr="005E632D">
        <w:rPr>
          <w:rFonts w:ascii="Arial" w:hAnsi="Arial"/>
        </w:rPr>
        <w:t xml:space="preserve"> the same data, but excluding development costs.</w:t>
      </w:r>
      <w:r w:rsidR="008E2C70">
        <w:rPr>
          <w:rFonts w:ascii="Arial" w:hAnsi="Arial"/>
        </w:rPr>
        <w:t xml:space="preserve"> </w:t>
      </w:r>
    </w:p>
    <w:p w:rsidR="00FA6B86" w:rsidRDefault="00FA6B86" w:rsidP="007E1BC6">
      <w:pPr>
        <w:jc w:val="both"/>
        <w:rPr>
          <w:rFonts w:ascii="Arial" w:hAnsi="Arial"/>
        </w:rPr>
      </w:pPr>
    </w:p>
    <w:p w:rsidR="0061713B" w:rsidRPr="007F43ED" w:rsidRDefault="008A18FC" w:rsidP="007E1BC6">
      <w:pPr>
        <w:jc w:val="both"/>
        <w:rPr>
          <w:rFonts w:ascii="Arial" w:hAnsi="Arial"/>
        </w:rPr>
      </w:pPr>
      <w:r>
        <w:rPr>
          <w:noProof/>
          <w:lang w:val="en-GB" w:eastAsia="en-GB"/>
        </w:rPr>
        <w:drawing>
          <wp:inline distT="0" distB="0" distL="0" distR="0" wp14:anchorId="5E31F6E2" wp14:editId="3DD93736">
            <wp:extent cx="7197504" cy="4297789"/>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4193" cy="4301783"/>
                    </a:xfrm>
                    <a:prstGeom prst="rect">
                      <a:avLst/>
                    </a:prstGeom>
                    <a:noFill/>
                  </pic:spPr>
                </pic:pic>
              </a:graphicData>
            </a:graphic>
          </wp:inline>
        </w:drawing>
      </w:r>
    </w:p>
    <w:p w:rsidR="001632D3" w:rsidRPr="007F43ED" w:rsidRDefault="001632D3" w:rsidP="007E1BC6">
      <w:pPr>
        <w:jc w:val="both"/>
        <w:rPr>
          <w:rFonts w:ascii="Arial" w:hAnsi="Arial"/>
        </w:rPr>
      </w:pPr>
    </w:p>
    <w:p w:rsidR="00FA6B86" w:rsidRDefault="00FA6B86" w:rsidP="007E1BC6">
      <w:pPr>
        <w:jc w:val="both"/>
      </w:pPr>
    </w:p>
    <w:p w:rsidR="001632D3" w:rsidRDefault="001632D3" w:rsidP="007E1BC6">
      <w:pPr>
        <w:jc w:val="both"/>
        <w:rPr>
          <w:rFonts w:ascii="Arial" w:hAnsi="Arial"/>
          <w:highlight w:val="yellow"/>
        </w:rPr>
      </w:pPr>
    </w:p>
    <w:p w:rsidR="003F75E3" w:rsidRDefault="003F75E3" w:rsidP="003F75E3">
      <w:pPr>
        <w:jc w:val="both"/>
        <w:rPr>
          <w:rFonts w:ascii="Arial" w:hAnsi="Arial"/>
          <w:b/>
        </w:rPr>
      </w:pPr>
      <w:r>
        <w:rPr>
          <w:rFonts w:ascii="Arial" w:hAnsi="Arial"/>
          <w:b/>
        </w:rPr>
        <w:t>How our services compared on cost and qual</w:t>
      </w:r>
      <w:r w:rsidRPr="00983925">
        <w:rPr>
          <w:rFonts w:ascii="Arial" w:hAnsi="Arial"/>
          <w:b/>
        </w:rPr>
        <w:t xml:space="preserve">ity with other London </w:t>
      </w:r>
      <w:r>
        <w:rPr>
          <w:rFonts w:ascii="Arial" w:hAnsi="Arial"/>
          <w:b/>
        </w:rPr>
        <w:t>housing associations</w:t>
      </w:r>
    </w:p>
    <w:p w:rsidR="003F75E3" w:rsidRPr="00983925" w:rsidRDefault="003F75E3" w:rsidP="003F75E3">
      <w:pPr>
        <w:jc w:val="both"/>
        <w:rPr>
          <w:rFonts w:ascii="Arial" w:hAnsi="Arial"/>
          <w:b/>
        </w:rPr>
      </w:pPr>
    </w:p>
    <w:p w:rsidR="003F75E3" w:rsidRDefault="0026308F" w:rsidP="003F75E3">
      <w:pPr>
        <w:rPr>
          <w:rFonts w:ascii="Arial" w:hAnsi="Arial"/>
        </w:rPr>
      </w:pPr>
      <w:r>
        <w:rPr>
          <w:rFonts w:ascii="Arial" w:hAnsi="Arial"/>
        </w:rPr>
        <w:t>3.2</w:t>
      </w:r>
      <w:r w:rsidR="003F75E3">
        <w:rPr>
          <w:rFonts w:ascii="Arial" w:hAnsi="Arial"/>
        </w:rPr>
        <w:t xml:space="preserve"> Value for money is about outputs and outcomes as well as costs.  </w:t>
      </w:r>
      <w:r w:rsidR="00843CEB">
        <w:rPr>
          <w:rFonts w:ascii="Arial" w:hAnsi="Arial"/>
        </w:rPr>
        <w:t>The most recent s</w:t>
      </w:r>
      <w:r w:rsidR="003F75E3">
        <w:rPr>
          <w:rFonts w:ascii="Arial" w:hAnsi="Arial"/>
        </w:rPr>
        <w:t>ummary data from HouseMark</w:t>
      </w:r>
      <w:r w:rsidR="00843CEB">
        <w:rPr>
          <w:rFonts w:ascii="Arial" w:hAnsi="Arial"/>
        </w:rPr>
        <w:t xml:space="preserve"> for 2014/15</w:t>
      </w:r>
      <w:r w:rsidR="003F75E3">
        <w:rPr>
          <w:rFonts w:ascii="Arial" w:hAnsi="Arial"/>
        </w:rPr>
        <w:t xml:space="preserve"> (see chart </w:t>
      </w:r>
      <w:r w:rsidR="003F75E3" w:rsidRPr="002821E0">
        <w:rPr>
          <w:rFonts w:ascii="Arial" w:hAnsi="Arial"/>
        </w:rPr>
        <w:t xml:space="preserve">below) </w:t>
      </w:r>
      <w:r w:rsidR="003F75E3" w:rsidRPr="000E67B7">
        <w:rPr>
          <w:rFonts w:ascii="Arial" w:hAnsi="Arial"/>
        </w:rPr>
        <w:t>shows that Hexagon achieves</w:t>
      </w:r>
      <w:r w:rsidR="00843CEB" w:rsidRPr="00EC3479">
        <w:rPr>
          <w:rFonts w:ascii="Arial" w:hAnsi="Arial"/>
        </w:rPr>
        <w:t xml:space="preserve"> low costs in all service areas except repairs where costs went up during 20114/15 as a result of the need to use temporary contractors after our main contractor, </w:t>
      </w:r>
      <w:r w:rsidR="000E67B7" w:rsidRPr="00EC3479">
        <w:rPr>
          <w:rFonts w:ascii="Arial" w:hAnsi="Arial"/>
        </w:rPr>
        <w:t>ceased to trade</w:t>
      </w:r>
      <w:r w:rsidR="00843CEB" w:rsidRPr="00EC3479">
        <w:rPr>
          <w:rFonts w:ascii="Arial" w:hAnsi="Arial"/>
        </w:rPr>
        <w:t xml:space="preserve">.  </w:t>
      </w:r>
      <w:r w:rsidR="000E67B7" w:rsidRPr="00EC3479">
        <w:rPr>
          <w:rFonts w:ascii="Arial" w:hAnsi="Arial"/>
        </w:rPr>
        <w:t>W</w:t>
      </w:r>
      <w:r w:rsidR="00843CEB" w:rsidRPr="00EC3479">
        <w:rPr>
          <w:rFonts w:ascii="Arial" w:hAnsi="Arial"/>
        </w:rPr>
        <w:t>e achieved</w:t>
      </w:r>
      <w:r w:rsidR="003F75E3" w:rsidRPr="00EC3479">
        <w:rPr>
          <w:rFonts w:ascii="Arial" w:hAnsi="Arial"/>
        </w:rPr>
        <w:t xml:space="preserve"> high performance as well as low costs for rent collection and estate services.</w:t>
      </w:r>
    </w:p>
    <w:p w:rsidR="0013688A" w:rsidRDefault="0013688A" w:rsidP="003F75E3">
      <w:pPr>
        <w:rPr>
          <w:rFonts w:ascii="Arial" w:hAnsi="Arial"/>
        </w:rPr>
      </w:pPr>
    </w:p>
    <w:p w:rsidR="0013688A" w:rsidRDefault="0013688A" w:rsidP="003F75E3">
      <w:pPr>
        <w:rPr>
          <w:rFonts w:ascii="Arial" w:hAnsi="Arial"/>
        </w:rPr>
      </w:pPr>
    </w:p>
    <w:p w:rsidR="003F75E3" w:rsidRDefault="0013688A" w:rsidP="00EC3479">
      <w:pPr>
        <w:jc w:val="center"/>
        <w:rPr>
          <w:rFonts w:ascii="Arial" w:hAnsi="Arial"/>
        </w:rPr>
      </w:pPr>
      <w:r>
        <w:rPr>
          <w:noProof/>
          <w:lang w:val="en-GB" w:eastAsia="en-GB"/>
        </w:rPr>
        <w:drawing>
          <wp:inline distT="0" distB="0" distL="0" distR="0" wp14:anchorId="5127D6CD" wp14:editId="00685B8E">
            <wp:extent cx="5949315" cy="35153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15" cy="3515360"/>
                    </a:xfrm>
                    <a:prstGeom prst="rect">
                      <a:avLst/>
                    </a:prstGeom>
                    <a:noFill/>
                    <a:ln>
                      <a:noFill/>
                    </a:ln>
                  </pic:spPr>
                </pic:pic>
              </a:graphicData>
            </a:graphic>
          </wp:inline>
        </w:drawing>
      </w:r>
    </w:p>
    <w:p w:rsidR="003F75E3" w:rsidRDefault="003F75E3" w:rsidP="003F75E3">
      <w:pPr>
        <w:rPr>
          <w:rFonts w:ascii="Arial" w:hAnsi="Arial"/>
        </w:rPr>
      </w:pPr>
    </w:p>
    <w:p w:rsidR="00983925" w:rsidRPr="00983925" w:rsidRDefault="003F75E3" w:rsidP="003F75E3">
      <w:pPr>
        <w:jc w:val="both"/>
        <w:rPr>
          <w:rFonts w:ascii="Arial" w:hAnsi="Arial"/>
          <w:b/>
        </w:rPr>
      </w:pPr>
      <w:r>
        <w:rPr>
          <w:rFonts w:ascii="Arial" w:hAnsi="Arial"/>
        </w:rPr>
        <w:br w:type="page"/>
      </w:r>
      <w:r w:rsidR="00983925" w:rsidRPr="00983925">
        <w:rPr>
          <w:rFonts w:ascii="Arial" w:hAnsi="Arial"/>
          <w:b/>
        </w:rPr>
        <w:lastRenderedPageBreak/>
        <w:t xml:space="preserve">What our services cost compared to other London </w:t>
      </w:r>
      <w:r w:rsidR="002E230F">
        <w:rPr>
          <w:rFonts w:ascii="Arial" w:hAnsi="Arial"/>
          <w:b/>
        </w:rPr>
        <w:t>housing associations</w:t>
      </w:r>
    </w:p>
    <w:p w:rsidR="00983925" w:rsidRDefault="00983925" w:rsidP="007E1BC6">
      <w:pPr>
        <w:jc w:val="both"/>
        <w:rPr>
          <w:rFonts w:ascii="Arial" w:hAnsi="Arial"/>
          <w:highlight w:val="yellow"/>
        </w:rPr>
      </w:pPr>
    </w:p>
    <w:p w:rsidR="00983925" w:rsidRDefault="0026308F" w:rsidP="007E1BC6">
      <w:pPr>
        <w:jc w:val="both"/>
        <w:rPr>
          <w:rFonts w:ascii="Arial" w:hAnsi="Arial"/>
        </w:rPr>
      </w:pPr>
      <w:r>
        <w:rPr>
          <w:rFonts w:ascii="Arial" w:hAnsi="Arial"/>
        </w:rPr>
        <w:t>3.3</w:t>
      </w:r>
      <w:r w:rsidR="00261824">
        <w:rPr>
          <w:rFonts w:ascii="Arial" w:hAnsi="Arial"/>
        </w:rPr>
        <w:t xml:space="preserve"> </w:t>
      </w:r>
      <w:r w:rsidR="001632D3" w:rsidRPr="001632D3">
        <w:rPr>
          <w:rFonts w:ascii="Arial" w:hAnsi="Arial"/>
        </w:rPr>
        <w:t xml:space="preserve">The table below shows the comparative costs of Hexagon’s services, using the data from </w:t>
      </w:r>
      <w:r w:rsidR="0013688A" w:rsidRPr="001632D3">
        <w:rPr>
          <w:rFonts w:ascii="Arial" w:hAnsi="Arial"/>
        </w:rPr>
        <w:t>HouseMark</w:t>
      </w:r>
      <w:r w:rsidR="001632D3" w:rsidRPr="001632D3">
        <w:rPr>
          <w:rFonts w:ascii="Arial" w:hAnsi="Arial"/>
        </w:rPr>
        <w:t>. The services are as defined by House</w:t>
      </w:r>
      <w:r w:rsidR="00843CEB">
        <w:rPr>
          <w:rFonts w:ascii="Arial" w:hAnsi="Arial"/>
        </w:rPr>
        <w:t>M</w:t>
      </w:r>
      <w:r w:rsidR="001632D3" w:rsidRPr="001632D3">
        <w:rPr>
          <w:rFonts w:ascii="Arial" w:hAnsi="Arial"/>
        </w:rPr>
        <w:t>ark</w:t>
      </w:r>
      <w:r w:rsidR="00FA6B86">
        <w:rPr>
          <w:rFonts w:ascii="Arial" w:hAnsi="Arial"/>
        </w:rPr>
        <w:t xml:space="preserve">, so will allocate costs differently to Hexagon’s allocation. </w:t>
      </w:r>
      <w:r w:rsidR="001632D3" w:rsidRPr="001632D3">
        <w:rPr>
          <w:rFonts w:ascii="Arial" w:hAnsi="Arial"/>
        </w:rPr>
        <w:t xml:space="preserve"> The data is from Hexagon’s </w:t>
      </w:r>
      <w:r w:rsidR="00A75DA9">
        <w:rPr>
          <w:rFonts w:ascii="Arial" w:hAnsi="Arial"/>
        </w:rPr>
        <w:t>2014/15</w:t>
      </w:r>
      <w:r w:rsidR="003F75E3">
        <w:rPr>
          <w:rFonts w:ascii="Arial" w:hAnsi="Arial"/>
        </w:rPr>
        <w:t xml:space="preserve"> </w:t>
      </w:r>
      <w:r w:rsidR="001632D3" w:rsidRPr="009F7512">
        <w:rPr>
          <w:rFonts w:ascii="Arial" w:hAnsi="Arial"/>
        </w:rPr>
        <w:t xml:space="preserve">results, compared to other London housing </w:t>
      </w:r>
      <w:r w:rsidR="001632D3" w:rsidRPr="005E632D">
        <w:rPr>
          <w:rFonts w:ascii="Arial" w:hAnsi="Arial"/>
        </w:rPr>
        <w:t xml:space="preserve">associations </w:t>
      </w:r>
      <w:r w:rsidR="00CE7169" w:rsidRPr="005E632D">
        <w:rPr>
          <w:rFonts w:ascii="Arial" w:hAnsi="Arial"/>
        </w:rPr>
        <w:t>(</w:t>
      </w:r>
      <w:r w:rsidR="00A75DA9">
        <w:rPr>
          <w:rFonts w:ascii="Arial" w:hAnsi="Arial"/>
        </w:rPr>
        <w:t>30</w:t>
      </w:r>
      <w:r w:rsidR="00CE7169" w:rsidRPr="005E632D">
        <w:rPr>
          <w:rFonts w:ascii="Arial" w:hAnsi="Arial"/>
        </w:rPr>
        <w:t xml:space="preserve"> organisations)</w:t>
      </w:r>
      <w:r w:rsidR="001632D3" w:rsidRPr="005E632D">
        <w:rPr>
          <w:rFonts w:ascii="Arial" w:hAnsi="Arial"/>
        </w:rPr>
        <w:t>.</w:t>
      </w:r>
    </w:p>
    <w:p w:rsidR="001632D3" w:rsidRDefault="001632D3" w:rsidP="007E1BC6">
      <w:pPr>
        <w:jc w:val="both"/>
        <w:rPr>
          <w:rFonts w:ascii="Arial" w:hAnsi="Arial"/>
        </w:rPr>
      </w:pPr>
    </w:p>
    <w:p w:rsidR="00227CD6" w:rsidRDefault="00227CD6" w:rsidP="007E1BC6">
      <w:pPr>
        <w:jc w:val="both"/>
        <w:rPr>
          <w:rFonts w:ascii="Arial" w:hAnsi="Arial"/>
        </w:rPr>
      </w:pPr>
    </w:p>
    <w:p w:rsidR="00227CD6" w:rsidRDefault="003338E8" w:rsidP="00EC3479">
      <w:pPr>
        <w:jc w:val="center"/>
        <w:rPr>
          <w:rFonts w:ascii="Arial" w:hAnsi="Arial"/>
        </w:rPr>
      </w:pPr>
      <w:r>
        <w:rPr>
          <w:rFonts w:ascii="Arial" w:hAnsi="Arial"/>
          <w:noProof/>
          <w:lang w:val="en-GB" w:eastAsia="en-GB"/>
        </w:rPr>
        <w:drawing>
          <wp:inline distT="0" distB="0" distL="0" distR="0" wp14:anchorId="3E8D0B56" wp14:editId="43F8B74A">
            <wp:extent cx="8134597" cy="37714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4253" cy="3771255"/>
                    </a:xfrm>
                    <a:prstGeom prst="rect">
                      <a:avLst/>
                    </a:prstGeom>
                    <a:noFill/>
                    <a:ln>
                      <a:noFill/>
                    </a:ln>
                  </pic:spPr>
                </pic:pic>
              </a:graphicData>
            </a:graphic>
          </wp:inline>
        </w:drawing>
      </w:r>
    </w:p>
    <w:p w:rsidR="009F7512" w:rsidRDefault="009F7512" w:rsidP="007E1BC6">
      <w:pPr>
        <w:jc w:val="both"/>
        <w:rPr>
          <w:rFonts w:ascii="Arial" w:hAnsi="Arial"/>
        </w:rPr>
      </w:pPr>
    </w:p>
    <w:p w:rsidR="004A6355" w:rsidRPr="000E67B7" w:rsidRDefault="0026308F" w:rsidP="007E1BC6">
      <w:pPr>
        <w:jc w:val="both"/>
        <w:rPr>
          <w:rFonts w:ascii="Arial" w:hAnsi="Arial"/>
        </w:rPr>
      </w:pPr>
      <w:r w:rsidRPr="000E67B7">
        <w:rPr>
          <w:rFonts w:ascii="Arial" w:hAnsi="Arial"/>
        </w:rPr>
        <w:t>3.4</w:t>
      </w:r>
      <w:r w:rsidR="00261824" w:rsidRPr="000E67B7">
        <w:rPr>
          <w:rFonts w:ascii="Arial" w:hAnsi="Arial"/>
        </w:rPr>
        <w:t xml:space="preserve"> </w:t>
      </w:r>
      <w:r w:rsidR="004A6355" w:rsidRPr="00EC3479">
        <w:rPr>
          <w:rFonts w:ascii="Arial" w:hAnsi="Arial"/>
        </w:rPr>
        <w:t>This indicates that Hexagon saved around £</w:t>
      </w:r>
      <w:r w:rsidR="003338E8" w:rsidRPr="00EC3479">
        <w:rPr>
          <w:rFonts w:ascii="Arial" w:hAnsi="Arial"/>
        </w:rPr>
        <w:t>799</w:t>
      </w:r>
      <w:r w:rsidR="00D84464" w:rsidRPr="00EC3479">
        <w:rPr>
          <w:rFonts w:ascii="Arial" w:hAnsi="Arial"/>
        </w:rPr>
        <w:t>k</w:t>
      </w:r>
      <w:r w:rsidR="004A6355" w:rsidRPr="00EC3479">
        <w:rPr>
          <w:rFonts w:ascii="Arial" w:hAnsi="Arial"/>
        </w:rPr>
        <w:t xml:space="preserve"> in </w:t>
      </w:r>
      <w:r w:rsidR="003338E8" w:rsidRPr="00EC3479">
        <w:rPr>
          <w:rFonts w:ascii="Arial" w:hAnsi="Arial"/>
        </w:rPr>
        <w:t>2014/15</w:t>
      </w:r>
      <w:r w:rsidR="004A6355" w:rsidRPr="00EC3479">
        <w:rPr>
          <w:rFonts w:ascii="Arial" w:hAnsi="Arial"/>
        </w:rPr>
        <w:t xml:space="preserve"> by </w:t>
      </w:r>
      <w:r w:rsidR="00C82D7B" w:rsidRPr="00EC3479">
        <w:rPr>
          <w:rFonts w:ascii="Arial" w:hAnsi="Arial"/>
        </w:rPr>
        <w:t xml:space="preserve">providing </w:t>
      </w:r>
      <w:r w:rsidR="004A6355" w:rsidRPr="00EC3479">
        <w:rPr>
          <w:rFonts w:ascii="Arial" w:hAnsi="Arial"/>
        </w:rPr>
        <w:t>most services</w:t>
      </w:r>
      <w:r w:rsidR="00C82D7B" w:rsidRPr="00EC3479">
        <w:rPr>
          <w:rFonts w:ascii="Arial" w:hAnsi="Arial"/>
        </w:rPr>
        <w:t xml:space="preserve"> more cheaply than 75% of other London </w:t>
      </w:r>
      <w:r w:rsidR="00D84464" w:rsidRPr="00EC3479">
        <w:rPr>
          <w:rFonts w:ascii="Arial" w:hAnsi="Arial"/>
        </w:rPr>
        <w:t>housing associations</w:t>
      </w:r>
      <w:r w:rsidR="004A6355" w:rsidRPr="00EC3479">
        <w:rPr>
          <w:rFonts w:ascii="Arial" w:hAnsi="Arial"/>
        </w:rPr>
        <w:t>, but might be able to save a further £</w:t>
      </w:r>
      <w:r w:rsidR="003338E8" w:rsidRPr="00EC3479">
        <w:rPr>
          <w:rFonts w:ascii="Arial" w:hAnsi="Arial"/>
        </w:rPr>
        <w:t>1,026</w:t>
      </w:r>
      <w:r w:rsidR="000E67B7">
        <w:rPr>
          <w:rFonts w:ascii="Arial" w:hAnsi="Arial"/>
        </w:rPr>
        <w:t>k</w:t>
      </w:r>
      <w:r w:rsidR="004A6355" w:rsidRPr="00EC3479">
        <w:rPr>
          <w:rFonts w:ascii="Arial" w:hAnsi="Arial"/>
        </w:rPr>
        <w:t xml:space="preserve"> if the maintenance</w:t>
      </w:r>
      <w:r w:rsidR="00D84464" w:rsidRPr="00EC3479">
        <w:rPr>
          <w:rFonts w:ascii="Arial" w:hAnsi="Arial"/>
        </w:rPr>
        <w:t xml:space="preserve">, </w:t>
      </w:r>
      <w:r w:rsidR="004A6355" w:rsidRPr="00EC3479">
        <w:rPr>
          <w:rFonts w:ascii="Arial" w:hAnsi="Arial"/>
        </w:rPr>
        <w:t xml:space="preserve">shared ownership </w:t>
      </w:r>
      <w:r w:rsidR="00D84464" w:rsidRPr="00EC3479">
        <w:rPr>
          <w:rFonts w:ascii="Arial" w:hAnsi="Arial"/>
        </w:rPr>
        <w:t>and premise</w:t>
      </w:r>
      <w:r w:rsidR="00B2361B" w:rsidRPr="00EC3479">
        <w:rPr>
          <w:rFonts w:ascii="Arial" w:hAnsi="Arial"/>
        </w:rPr>
        <w:t>s</w:t>
      </w:r>
      <w:r w:rsidR="00D84464" w:rsidRPr="00EC3479">
        <w:rPr>
          <w:rFonts w:ascii="Arial" w:hAnsi="Arial"/>
        </w:rPr>
        <w:t xml:space="preserve"> costs</w:t>
      </w:r>
      <w:r w:rsidR="004A6355" w:rsidRPr="00EC3479">
        <w:rPr>
          <w:rFonts w:ascii="Arial" w:hAnsi="Arial"/>
        </w:rPr>
        <w:t xml:space="preserve"> were as </w:t>
      </w:r>
      <w:r w:rsidR="00AB0668" w:rsidRPr="00EC3479">
        <w:rPr>
          <w:rFonts w:ascii="Arial" w:hAnsi="Arial"/>
        </w:rPr>
        <w:t>economic</w:t>
      </w:r>
      <w:r w:rsidR="004A6355" w:rsidRPr="00EC3479">
        <w:rPr>
          <w:rFonts w:ascii="Arial" w:hAnsi="Arial"/>
        </w:rPr>
        <w:t xml:space="preserve"> as </w:t>
      </w:r>
      <w:r w:rsidR="00B2361B" w:rsidRPr="00EC3479">
        <w:rPr>
          <w:rFonts w:ascii="Arial" w:hAnsi="Arial"/>
        </w:rPr>
        <w:t>the best performers in these areas</w:t>
      </w:r>
      <w:r w:rsidR="000E67B7">
        <w:rPr>
          <w:rFonts w:ascii="Arial" w:hAnsi="Arial"/>
        </w:rPr>
        <w:t xml:space="preserve">. However, our results for 2014/15 included a one-off maintenance provision of £573k which </w:t>
      </w:r>
      <w:r w:rsidR="000E67B7">
        <w:rPr>
          <w:rFonts w:ascii="Arial" w:hAnsi="Arial"/>
        </w:rPr>
        <w:lastRenderedPageBreak/>
        <w:t>was written back in 15/16, so it w</w:t>
      </w:r>
      <w:r w:rsidR="00E72097">
        <w:rPr>
          <w:rFonts w:ascii="Arial" w:hAnsi="Arial"/>
        </w:rPr>
        <w:t>ould be more accurate to say that we could have saved £453k by being as economic as the best performers.</w:t>
      </w:r>
      <w:r w:rsidR="004A6355" w:rsidRPr="00EC3479">
        <w:rPr>
          <w:rFonts w:ascii="Arial" w:hAnsi="Arial"/>
        </w:rPr>
        <w:t xml:space="preserve"> </w:t>
      </w:r>
    </w:p>
    <w:p w:rsidR="004A6355" w:rsidRPr="00EC3479" w:rsidRDefault="004A6355" w:rsidP="007E1BC6">
      <w:pPr>
        <w:jc w:val="both"/>
        <w:rPr>
          <w:rFonts w:ascii="Arial" w:hAnsi="Arial"/>
          <w:highlight w:val="green"/>
        </w:rPr>
      </w:pPr>
    </w:p>
    <w:p w:rsidR="00E72097" w:rsidRPr="00EC3479" w:rsidRDefault="0026308F" w:rsidP="007E1BC6">
      <w:pPr>
        <w:jc w:val="both"/>
        <w:rPr>
          <w:rFonts w:ascii="Arial" w:hAnsi="Arial"/>
        </w:rPr>
      </w:pPr>
      <w:r w:rsidRPr="00EC3479">
        <w:rPr>
          <w:rFonts w:ascii="Arial" w:hAnsi="Arial"/>
        </w:rPr>
        <w:t>3.5</w:t>
      </w:r>
      <w:r w:rsidR="00261824" w:rsidRPr="00EC3479">
        <w:rPr>
          <w:rFonts w:ascii="Arial" w:hAnsi="Arial"/>
        </w:rPr>
        <w:t xml:space="preserve"> </w:t>
      </w:r>
      <w:r w:rsidR="00722B21" w:rsidRPr="00EC3479">
        <w:rPr>
          <w:rFonts w:ascii="Arial" w:hAnsi="Arial"/>
        </w:rPr>
        <w:t xml:space="preserve">Because of the variety of services provided, </w:t>
      </w:r>
      <w:r w:rsidR="0013688A" w:rsidRPr="00EC3479">
        <w:rPr>
          <w:rFonts w:ascii="Arial" w:hAnsi="Arial"/>
        </w:rPr>
        <w:t>HouseMark</w:t>
      </w:r>
      <w:r w:rsidR="00722B21" w:rsidRPr="00EC3479">
        <w:rPr>
          <w:rFonts w:ascii="Arial" w:hAnsi="Arial"/>
        </w:rPr>
        <w:t xml:space="preserve"> does not report on the costs per unit of supported housing and of develop</w:t>
      </w:r>
      <w:r w:rsidR="00960FA1" w:rsidRPr="00EC3479">
        <w:rPr>
          <w:rFonts w:ascii="Arial" w:hAnsi="Arial"/>
        </w:rPr>
        <w:t>ing new homes, but does provide a small suite of indicators on each.  In developing new homes, we have more development staff than average for each 100 new homes built. However, this reflects our strategy of building on smaller infill sites, rather than relying on large schemes</w:t>
      </w:r>
      <w:r w:rsidR="006B6388" w:rsidRPr="00EC3479">
        <w:rPr>
          <w:rFonts w:ascii="Arial" w:hAnsi="Arial"/>
        </w:rPr>
        <w:t xml:space="preserve"> and S106 schemes</w:t>
      </w:r>
      <w:r w:rsidR="00960FA1" w:rsidRPr="00EC3479">
        <w:rPr>
          <w:rFonts w:ascii="Arial" w:hAnsi="Arial"/>
        </w:rPr>
        <w:t xml:space="preserve">. </w:t>
      </w:r>
      <w:r w:rsidR="009A32FC" w:rsidRPr="00EC3479">
        <w:rPr>
          <w:rFonts w:ascii="Arial" w:hAnsi="Arial"/>
        </w:rPr>
        <w:t>In 1</w:t>
      </w:r>
      <w:r w:rsidR="003338E8" w:rsidRPr="00EC3479">
        <w:rPr>
          <w:rFonts w:ascii="Arial" w:hAnsi="Arial"/>
        </w:rPr>
        <w:t>4/15</w:t>
      </w:r>
      <w:r w:rsidR="009A32FC" w:rsidRPr="00EC3479">
        <w:rPr>
          <w:rFonts w:ascii="Arial" w:hAnsi="Arial"/>
        </w:rPr>
        <w:t xml:space="preserve"> w</w:t>
      </w:r>
      <w:r w:rsidR="00960FA1" w:rsidRPr="00EC3479">
        <w:rPr>
          <w:rFonts w:ascii="Arial" w:hAnsi="Arial"/>
        </w:rPr>
        <w:t>e also d</w:t>
      </w:r>
      <w:r w:rsidR="009467E9" w:rsidRPr="00EC3479">
        <w:rPr>
          <w:rFonts w:ascii="Arial" w:hAnsi="Arial"/>
        </w:rPr>
        <w:t xml:space="preserve">id </w:t>
      </w:r>
      <w:r w:rsidR="00960FA1" w:rsidRPr="00EC3479">
        <w:rPr>
          <w:rFonts w:ascii="Arial" w:hAnsi="Arial"/>
        </w:rPr>
        <w:t xml:space="preserve">less </w:t>
      </w:r>
      <w:r w:rsidR="009A32FC" w:rsidRPr="00EC3479">
        <w:rPr>
          <w:rFonts w:ascii="Arial" w:hAnsi="Arial"/>
        </w:rPr>
        <w:t>well than our peers o</w:t>
      </w:r>
      <w:r w:rsidR="00960FA1" w:rsidRPr="00EC3479">
        <w:rPr>
          <w:rFonts w:ascii="Arial" w:hAnsi="Arial"/>
        </w:rPr>
        <w:t xml:space="preserve">n resident satisfaction with new homes, which is why our VFM strategy aims to increase this from 82.5% </w:t>
      </w:r>
      <w:r w:rsidR="009467E9" w:rsidRPr="00EC3479">
        <w:rPr>
          <w:rFonts w:ascii="Arial" w:hAnsi="Arial"/>
        </w:rPr>
        <w:t xml:space="preserve">in </w:t>
      </w:r>
      <w:r w:rsidR="00EC34A5" w:rsidRPr="00EC3479">
        <w:rPr>
          <w:rFonts w:ascii="Arial" w:hAnsi="Arial"/>
        </w:rPr>
        <w:t>20</w:t>
      </w:r>
      <w:r w:rsidR="009467E9" w:rsidRPr="00EC3479">
        <w:rPr>
          <w:rFonts w:ascii="Arial" w:hAnsi="Arial"/>
        </w:rPr>
        <w:t xml:space="preserve">13/14 </w:t>
      </w:r>
      <w:r w:rsidR="00960FA1" w:rsidRPr="00EC3479">
        <w:rPr>
          <w:rFonts w:ascii="Arial" w:hAnsi="Arial"/>
        </w:rPr>
        <w:t>to 92% by March 2017.</w:t>
      </w:r>
      <w:r w:rsidR="009467E9" w:rsidRPr="00EC3479">
        <w:rPr>
          <w:rFonts w:ascii="Arial" w:hAnsi="Arial"/>
        </w:rPr>
        <w:t xml:space="preserve"> </w:t>
      </w:r>
      <w:r w:rsidR="009315B4" w:rsidRPr="00EC3479">
        <w:rPr>
          <w:rFonts w:ascii="Arial" w:hAnsi="Arial"/>
        </w:rPr>
        <w:t>The target</w:t>
      </w:r>
      <w:r w:rsidR="009467E9" w:rsidRPr="00EC3479">
        <w:rPr>
          <w:rFonts w:ascii="Arial" w:hAnsi="Arial"/>
        </w:rPr>
        <w:t xml:space="preserve"> was </w:t>
      </w:r>
      <w:r w:rsidR="00EC34A5" w:rsidRPr="00EC3479">
        <w:rPr>
          <w:rFonts w:ascii="Arial" w:hAnsi="Arial"/>
        </w:rPr>
        <w:t xml:space="preserve">more than met in 2015/16, with 100% of </w:t>
      </w:r>
      <w:r w:rsidR="00E72097" w:rsidRPr="00EC3479">
        <w:rPr>
          <w:rFonts w:ascii="Arial" w:hAnsi="Arial"/>
        </w:rPr>
        <w:t>residents</w:t>
      </w:r>
      <w:r w:rsidR="00EC34A5" w:rsidRPr="00EC3479">
        <w:rPr>
          <w:rFonts w:ascii="Arial" w:hAnsi="Arial"/>
        </w:rPr>
        <w:t xml:space="preserve"> being satisfied, </w:t>
      </w:r>
      <w:r w:rsidR="00E72097" w:rsidRPr="00EC3479">
        <w:rPr>
          <w:rFonts w:ascii="Arial" w:hAnsi="Arial"/>
        </w:rPr>
        <w:t>albeit</w:t>
      </w:r>
      <w:r w:rsidR="00EC34A5" w:rsidRPr="00EC3479">
        <w:rPr>
          <w:rFonts w:ascii="Arial" w:hAnsi="Arial"/>
        </w:rPr>
        <w:t xml:space="preserve"> on a small number of surveys</w:t>
      </w:r>
      <w:r w:rsidR="009467E9" w:rsidRPr="00EC3479">
        <w:rPr>
          <w:rFonts w:ascii="Arial" w:hAnsi="Arial"/>
        </w:rPr>
        <w:t xml:space="preserve">. </w:t>
      </w:r>
      <w:r w:rsidR="006B6388" w:rsidRPr="00EC3479">
        <w:rPr>
          <w:rFonts w:ascii="Arial" w:hAnsi="Arial"/>
        </w:rPr>
        <w:t xml:space="preserve"> </w:t>
      </w:r>
    </w:p>
    <w:p w:rsidR="00960FA1" w:rsidRPr="00A24565" w:rsidRDefault="00960FA1" w:rsidP="007E1BC6">
      <w:pPr>
        <w:jc w:val="both"/>
        <w:rPr>
          <w:rFonts w:ascii="Arial" w:hAnsi="Arial"/>
          <w:highlight w:val="yellow"/>
        </w:rPr>
      </w:pPr>
    </w:p>
    <w:p w:rsidR="008E2C70" w:rsidRDefault="0026308F" w:rsidP="007E1BC6">
      <w:pPr>
        <w:jc w:val="both"/>
        <w:rPr>
          <w:rFonts w:ascii="Arial" w:hAnsi="Arial"/>
        </w:rPr>
      </w:pPr>
      <w:r w:rsidRPr="00EC3479">
        <w:rPr>
          <w:rFonts w:ascii="Arial" w:hAnsi="Arial"/>
        </w:rPr>
        <w:t>3.6</w:t>
      </w:r>
      <w:r w:rsidR="00261824" w:rsidRPr="00EC3479">
        <w:rPr>
          <w:rFonts w:ascii="Arial" w:hAnsi="Arial"/>
        </w:rPr>
        <w:t xml:space="preserve"> </w:t>
      </w:r>
      <w:r w:rsidR="00C2423F" w:rsidRPr="00EC3479">
        <w:rPr>
          <w:rFonts w:ascii="Arial" w:hAnsi="Arial"/>
        </w:rPr>
        <w:t>Hexagon borrows from banks and other financial institutions to fund the building of new homes and the improvement of existing homes. At March 201</w:t>
      </w:r>
      <w:r w:rsidR="00FE1955" w:rsidRPr="00EC3479">
        <w:rPr>
          <w:rFonts w:ascii="Arial" w:hAnsi="Arial"/>
        </w:rPr>
        <w:t>6</w:t>
      </w:r>
      <w:r w:rsidR="00C2423F" w:rsidRPr="00EC3479">
        <w:rPr>
          <w:rFonts w:ascii="Arial" w:hAnsi="Arial"/>
        </w:rPr>
        <w:t>, total borrowings were £1</w:t>
      </w:r>
      <w:r w:rsidR="00FE1955" w:rsidRPr="00EC3479">
        <w:rPr>
          <w:rFonts w:ascii="Arial" w:hAnsi="Arial"/>
        </w:rPr>
        <w:t>52</w:t>
      </w:r>
      <w:r w:rsidR="00C2423F" w:rsidRPr="00EC3479">
        <w:rPr>
          <w:rFonts w:ascii="Arial" w:hAnsi="Arial"/>
        </w:rPr>
        <w:t xml:space="preserve">m, mainly on loans which need to be paid back gradually over the next 30 years. Interest charges on these loans form around </w:t>
      </w:r>
      <w:r w:rsidR="00FE1955" w:rsidRPr="00EC3479">
        <w:rPr>
          <w:rFonts w:ascii="Arial" w:hAnsi="Arial"/>
        </w:rPr>
        <w:t>17</w:t>
      </w:r>
      <w:r w:rsidR="00C2423F" w:rsidRPr="00EC3479">
        <w:rPr>
          <w:rFonts w:ascii="Arial" w:hAnsi="Arial"/>
        </w:rPr>
        <w:t>% of Hexagon’s costs, so it is important that we manage these rates carefully. The Board aims to strike a balance between taking advantage of the best interest rates on offer without exposing the Association to large increases in costs when the official bank rate starts to rise.  Benchmarking data from HouseMark showed that Hexagon's borrowing costs were in the best 25% of housing associations in both London and nationally</w:t>
      </w:r>
      <w:r w:rsidR="00FE1955" w:rsidRPr="00EC3479">
        <w:rPr>
          <w:rFonts w:ascii="Arial" w:hAnsi="Arial"/>
        </w:rPr>
        <w:t xml:space="preserve"> in 2014/15</w:t>
      </w:r>
      <w:r w:rsidR="00C2423F" w:rsidRPr="00EC3479">
        <w:rPr>
          <w:rFonts w:ascii="Arial" w:hAnsi="Arial"/>
        </w:rPr>
        <w:t>.</w:t>
      </w:r>
    </w:p>
    <w:p w:rsidR="00C2423F" w:rsidRDefault="00C2423F" w:rsidP="007E1BC6">
      <w:pPr>
        <w:jc w:val="both"/>
        <w:rPr>
          <w:rFonts w:ascii="Arial" w:hAnsi="Arial"/>
        </w:rPr>
      </w:pPr>
    </w:p>
    <w:p w:rsidR="003F75E3" w:rsidRDefault="003F75E3" w:rsidP="003F75E3">
      <w:pPr>
        <w:rPr>
          <w:rFonts w:ascii="Arial" w:hAnsi="Arial"/>
        </w:rPr>
      </w:pPr>
    </w:p>
    <w:p w:rsidR="003F75E3" w:rsidRPr="00A24565" w:rsidRDefault="003F75E3" w:rsidP="003F75E3">
      <w:pPr>
        <w:rPr>
          <w:rFonts w:ascii="Arial" w:hAnsi="Arial"/>
          <w:b/>
        </w:rPr>
      </w:pPr>
      <w:r w:rsidRPr="00A24565">
        <w:rPr>
          <w:rFonts w:ascii="Arial" w:hAnsi="Arial"/>
          <w:b/>
        </w:rPr>
        <w:t>How our non-cost performance compares to other London Housing Associations</w:t>
      </w:r>
    </w:p>
    <w:p w:rsidR="003F75E3" w:rsidRDefault="0026308F" w:rsidP="003F75E3">
      <w:pPr>
        <w:rPr>
          <w:rFonts w:ascii="Arial" w:hAnsi="Arial"/>
        </w:rPr>
      </w:pPr>
      <w:r>
        <w:rPr>
          <w:rFonts w:ascii="Arial" w:hAnsi="Arial"/>
        </w:rPr>
        <w:t xml:space="preserve">3.8 </w:t>
      </w:r>
      <w:r w:rsidR="003F75E3">
        <w:rPr>
          <w:rFonts w:ascii="Arial" w:hAnsi="Arial"/>
        </w:rPr>
        <w:t xml:space="preserve">Quality measures on which Hexagon performs better than average are as follows: </w:t>
      </w:r>
    </w:p>
    <w:p w:rsidR="00D85E9F" w:rsidRDefault="00D85E9F" w:rsidP="003F75E3">
      <w:pPr>
        <w:rPr>
          <w:rFonts w:ascii="Arial" w:hAnsi="Arial"/>
        </w:rPr>
      </w:pPr>
    </w:p>
    <w:p w:rsidR="00AF1924" w:rsidRDefault="00D85E9F" w:rsidP="003F75E3">
      <w:pPr>
        <w:rPr>
          <w:rFonts w:ascii="Arial" w:hAnsi="Arial"/>
        </w:rPr>
      </w:pPr>
      <w:r>
        <w:rPr>
          <w:rFonts w:ascii="Arial" w:hAnsi="Arial"/>
          <w:noProof/>
          <w:lang w:val="en-GB" w:eastAsia="en-GB"/>
        </w:rPr>
        <w:lastRenderedPageBreak/>
        <w:drawing>
          <wp:inline distT="0" distB="0" distL="0" distR="0" wp14:anchorId="379C59F7" wp14:editId="04342888">
            <wp:extent cx="8764270" cy="40138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4270" cy="4013835"/>
                    </a:xfrm>
                    <a:prstGeom prst="rect">
                      <a:avLst/>
                    </a:prstGeom>
                    <a:noFill/>
                    <a:ln>
                      <a:noFill/>
                    </a:ln>
                  </pic:spPr>
                </pic:pic>
              </a:graphicData>
            </a:graphic>
          </wp:inline>
        </w:drawing>
      </w:r>
    </w:p>
    <w:p w:rsidR="00AF1924" w:rsidRDefault="00AF1924" w:rsidP="003F75E3">
      <w:pPr>
        <w:rPr>
          <w:rFonts w:ascii="Arial" w:hAnsi="Arial"/>
        </w:rPr>
      </w:pPr>
    </w:p>
    <w:p w:rsidR="003F75E3" w:rsidRDefault="003F75E3" w:rsidP="003F75E3">
      <w:pPr>
        <w:rPr>
          <w:rFonts w:ascii="Arial" w:hAnsi="Arial"/>
        </w:rPr>
      </w:pPr>
    </w:p>
    <w:p w:rsidR="00D0434A" w:rsidRDefault="0026308F" w:rsidP="00D0434A">
      <w:pPr>
        <w:rPr>
          <w:rFonts w:ascii="Arial" w:hAnsi="Arial"/>
        </w:rPr>
      </w:pPr>
      <w:r>
        <w:rPr>
          <w:rFonts w:ascii="Arial" w:hAnsi="Arial"/>
        </w:rPr>
        <w:t>3.9</w:t>
      </w:r>
      <w:r w:rsidR="00BF7C99">
        <w:rPr>
          <w:rFonts w:ascii="Arial" w:hAnsi="Arial"/>
        </w:rPr>
        <w:t xml:space="preserve"> </w:t>
      </w:r>
      <w:r w:rsidR="00D0434A" w:rsidRPr="00662408">
        <w:rPr>
          <w:rFonts w:ascii="Arial" w:hAnsi="Arial"/>
        </w:rPr>
        <w:t xml:space="preserve">Areas where Hexagon performs worse than the median (mid-point) for the HouseMark </w:t>
      </w:r>
      <w:r w:rsidR="00E72097" w:rsidRPr="00662408">
        <w:rPr>
          <w:rFonts w:ascii="Arial" w:hAnsi="Arial"/>
        </w:rPr>
        <w:t>201</w:t>
      </w:r>
      <w:r w:rsidR="00E72097">
        <w:rPr>
          <w:rFonts w:ascii="Arial" w:hAnsi="Arial"/>
        </w:rPr>
        <w:t>4/15</w:t>
      </w:r>
      <w:r w:rsidR="00D0434A" w:rsidRPr="00662408">
        <w:rPr>
          <w:rFonts w:ascii="Arial" w:hAnsi="Arial"/>
        </w:rPr>
        <w:t xml:space="preserve"> data</w:t>
      </w:r>
      <w:r w:rsidR="00D0434A" w:rsidRPr="00312E77">
        <w:rPr>
          <w:rFonts w:ascii="Arial" w:hAnsi="Arial"/>
          <w:vertAlign w:val="superscript"/>
        </w:rPr>
        <w:footnoteReference w:id="1"/>
      </w:r>
      <w:r w:rsidR="00D0434A" w:rsidRPr="00312E77">
        <w:rPr>
          <w:rFonts w:ascii="Arial" w:hAnsi="Arial"/>
          <w:vertAlign w:val="superscript"/>
        </w:rPr>
        <w:t xml:space="preserve"> </w:t>
      </w:r>
      <w:r w:rsidR="00D0434A" w:rsidRPr="00662408">
        <w:rPr>
          <w:rFonts w:ascii="Arial" w:hAnsi="Arial"/>
        </w:rPr>
        <w:t>are as follows:</w:t>
      </w:r>
    </w:p>
    <w:p w:rsidR="00D85E9F" w:rsidRDefault="00D85E9F" w:rsidP="00D0434A">
      <w:pPr>
        <w:rPr>
          <w:rFonts w:ascii="Arial" w:hAnsi="Arial"/>
        </w:rPr>
      </w:pPr>
    </w:p>
    <w:p w:rsidR="00B67DE6" w:rsidRDefault="00B67DE6" w:rsidP="00D0434A">
      <w:pPr>
        <w:rPr>
          <w:rFonts w:ascii="Arial" w:hAnsi="Arial"/>
          <w:highlight w:val="cyan"/>
        </w:rPr>
      </w:pPr>
      <w:r>
        <w:rPr>
          <w:rFonts w:ascii="Arial" w:hAnsi="Arial"/>
          <w:noProof/>
          <w:lang w:val="en-GB" w:eastAsia="en-GB"/>
        </w:rPr>
        <w:lastRenderedPageBreak/>
        <w:drawing>
          <wp:inline distT="0" distB="0" distL="0" distR="0" wp14:anchorId="6003AE0A" wp14:editId="08389E29">
            <wp:extent cx="9436735" cy="54253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6735" cy="5425337"/>
                    </a:xfrm>
                    <a:prstGeom prst="rect">
                      <a:avLst/>
                    </a:prstGeom>
                    <a:noFill/>
                    <a:ln>
                      <a:noFill/>
                    </a:ln>
                  </pic:spPr>
                </pic:pic>
              </a:graphicData>
            </a:graphic>
          </wp:inline>
        </w:drawing>
      </w:r>
    </w:p>
    <w:p w:rsidR="00B67DE6" w:rsidRDefault="00B67DE6" w:rsidP="00D0434A">
      <w:pPr>
        <w:rPr>
          <w:rFonts w:ascii="Arial" w:hAnsi="Arial"/>
          <w:highlight w:val="cyan"/>
        </w:rPr>
      </w:pPr>
    </w:p>
    <w:p w:rsidR="00D0434A" w:rsidRPr="00662408" w:rsidRDefault="00D0434A" w:rsidP="00D0434A">
      <w:pPr>
        <w:rPr>
          <w:rFonts w:ascii="Arial" w:hAnsi="Arial"/>
        </w:rPr>
      </w:pPr>
    </w:p>
    <w:p w:rsidR="00264B95" w:rsidRDefault="00F77E90" w:rsidP="007E1BC6">
      <w:pPr>
        <w:jc w:val="both"/>
        <w:rPr>
          <w:rFonts w:ascii="Arial" w:hAnsi="Arial"/>
        </w:rPr>
      </w:pPr>
      <w:r>
        <w:rPr>
          <w:rFonts w:ascii="Arial" w:hAnsi="Arial"/>
        </w:rPr>
        <w:t>3.10  The following actions are being taken to address weaknesses in quality of service:</w:t>
      </w:r>
    </w:p>
    <w:p w:rsidR="00E00697" w:rsidRDefault="00E00697" w:rsidP="007E1BC6">
      <w:pPr>
        <w:jc w:val="both"/>
        <w:rPr>
          <w:rFonts w:ascii="Arial" w:hAnsi="Arial"/>
        </w:rPr>
      </w:pPr>
    </w:p>
    <w:p w:rsidR="00E00697" w:rsidRDefault="00E00697" w:rsidP="00273E8B">
      <w:pPr>
        <w:pStyle w:val="ListParagraph"/>
        <w:numPr>
          <w:ilvl w:val="0"/>
          <w:numId w:val="50"/>
        </w:numPr>
        <w:jc w:val="both"/>
        <w:rPr>
          <w:rFonts w:ascii="Arial" w:hAnsi="Arial"/>
        </w:rPr>
      </w:pPr>
      <w:r>
        <w:rPr>
          <w:rFonts w:ascii="Arial" w:hAnsi="Arial"/>
        </w:rPr>
        <w:t>Average completion time – responsive repairs contracts for 15/16 onwards include penalties for contractors if target times are missed</w:t>
      </w:r>
    </w:p>
    <w:p w:rsidR="00E00697" w:rsidRDefault="00E00697" w:rsidP="00273E8B">
      <w:pPr>
        <w:pStyle w:val="ListParagraph"/>
        <w:numPr>
          <w:ilvl w:val="0"/>
          <w:numId w:val="50"/>
        </w:numPr>
        <w:jc w:val="both"/>
        <w:rPr>
          <w:rFonts w:ascii="Arial" w:hAnsi="Arial"/>
        </w:rPr>
      </w:pPr>
      <w:r>
        <w:rPr>
          <w:rFonts w:ascii="Arial" w:hAnsi="Arial"/>
        </w:rPr>
        <w:t xml:space="preserve">Satisfaction with repairs -  </w:t>
      </w:r>
      <w:r w:rsidRPr="00E00697">
        <w:rPr>
          <w:rFonts w:ascii="Arial" w:hAnsi="Arial"/>
        </w:rPr>
        <w:t xml:space="preserve">responsive repairs contracts for 15/16 onwards include penalties for contractors if </w:t>
      </w:r>
      <w:r>
        <w:rPr>
          <w:rFonts w:ascii="Arial" w:hAnsi="Arial"/>
        </w:rPr>
        <w:t>satisfaction targets a</w:t>
      </w:r>
      <w:r w:rsidRPr="00E00697">
        <w:rPr>
          <w:rFonts w:ascii="Arial" w:hAnsi="Arial"/>
        </w:rPr>
        <w:t>re missed</w:t>
      </w:r>
      <w:r>
        <w:rPr>
          <w:rFonts w:ascii="Arial" w:hAnsi="Arial"/>
        </w:rPr>
        <w:t>. We also plan to collect satisfaction data via hand held devices as soon as possible</w:t>
      </w:r>
    </w:p>
    <w:p w:rsidR="00E00697" w:rsidRDefault="00E00697" w:rsidP="00273E8B">
      <w:pPr>
        <w:pStyle w:val="ListParagraph"/>
        <w:numPr>
          <w:ilvl w:val="0"/>
          <w:numId w:val="50"/>
        </w:numPr>
        <w:jc w:val="both"/>
        <w:rPr>
          <w:rFonts w:ascii="Arial" w:hAnsi="Arial"/>
        </w:rPr>
      </w:pPr>
      <w:r>
        <w:rPr>
          <w:rFonts w:ascii="Arial" w:hAnsi="Arial"/>
        </w:rPr>
        <w:t xml:space="preserve">Satisfaction with the Anti Social Behaviour service – </w:t>
      </w:r>
      <w:r w:rsidR="009609D7">
        <w:rPr>
          <w:rFonts w:ascii="Arial" w:hAnsi="Arial"/>
        </w:rPr>
        <w:t xml:space="preserve">we plan to make changes to the way we provide the service, with more emphasis on regular updates to residents. </w:t>
      </w:r>
    </w:p>
    <w:p w:rsidR="00E00697" w:rsidRPr="00273E8B" w:rsidRDefault="00E00697" w:rsidP="00273E8B">
      <w:pPr>
        <w:pStyle w:val="ListParagraph"/>
        <w:numPr>
          <w:ilvl w:val="0"/>
          <w:numId w:val="50"/>
        </w:numPr>
        <w:jc w:val="both"/>
        <w:rPr>
          <w:rFonts w:ascii="Arial" w:hAnsi="Arial"/>
        </w:rPr>
      </w:pPr>
      <w:r>
        <w:rPr>
          <w:rFonts w:ascii="Arial" w:hAnsi="Arial"/>
        </w:rPr>
        <w:t xml:space="preserve">Average re-let time - </w:t>
      </w:r>
      <w:r w:rsidRPr="00E00697">
        <w:rPr>
          <w:rFonts w:ascii="Arial" w:hAnsi="Arial"/>
        </w:rPr>
        <w:t xml:space="preserve">responsive repairs contracts for 15/16 onwards include penalties for contractors if </w:t>
      </w:r>
      <w:r>
        <w:rPr>
          <w:rFonts w:ascii="Arial" w:hAnsi="Arial"/>
        </w:rPr>
        <w:t xml:space="preserve">void </w:t>
      </w:r>
      <w:r w:rsidRPr="00E00697">
        <w:rPr>
          <w:rFonts w:ascii="Arial" w:hAnsi="Arial"/>
        </w:rPr>
        <w:t>target times are missed</w:t>
      </w:r>
      <w:r>
        <w:rPr>
          <w:rFonts w:ascii="Arial" w:hAnsi="Arial"/>
        </w:rPr>
        <w:t>. An improved system for recording and analysing other causes of delay is in place.</w:t>
      </w:r>
    </w:p>
    <w:p w:rsidR="00F77E90" w:rsidRDefault="00F77E90" w:rsidP="007E1BC6">
      <w:pPr>
        <w:jc w:val="both"/>
        <w:rPr>
          <w:rFonts w:ascii="Arial" w:hAnsi="Arial"/>
        </w:rPr>
      </w:pPr>
    </w:p>
    <w:p w:rsidR="003F75E3" w:rsidRDefault="003F75E3" w:rsidP="008E7419">
      <w:pPr>
        <w:ind w:left="720"/>
        <w:jc w:val="both"/>
        <w:rPr>
          <w:rFonts w:ascii="Arial" w:hAnsi="Arial"/>
          <w:b/>
          <w:sz w:val="28"/>
        </w:rPr>
      </w:pPr>
    </w:p>
    <w:p w:rsidR="00A27A05" w:rsidRDefault="00A27A05" w:rsidP="00A24565">
      <w:pPr>
        <w:jc w:val="both"/>
        <w:rPr>
          <w:rFonts w:ascii="Arial" w:hAnsi="Arial"/>
          <w:b/>
        </w:rPr>
      </w:pPr>
      <w:r>
        <w:rPr>
          <w:rFonts w:ascii="Arial" w:hAnsi="Arial"/>
          <w:b/>
        </w:rPr>
        <w:t>Looking more widely – costs compared to those of other English housing associations</w:t>
      </w:r>
    </w:p>
    <w:p w:rsidR="0017602E" w:rsidRDefault="0017602E" w:rsidP="00A24565">
      <w:pPr>
        <w:jc w:val="both"/>
        <w:rPr>
          <w:rFonts w:ascii="Arial" w:hAnsi="Arial"/>
          <w:b/>
        </w:rPr>
      </w:pPr>
    </w:p>
    <w:p w:rsidR="0017602E" w:rsidRPr="00EC3479" w:rsidRDefault="00803E81" w:rsidP="00A24565">
      <w:pPr>
        <w:jc w:val="both"/>
        <w:rPr>
          <w:rFonts w:ascii="Arial" w:hAnsi="Arial"/>
        </w:rPr>
      </w:pPr>
      <w:r>
        <w:rPr>
          <w:rFonts w:ascii="Arial" w:hAnsi="Arial"/>
        </w:rPr>
        <w:t>3.1</w:t>
      </w:r>
      <w:r w:rsidR="00F77E90">
        <w:rPr>
          <w:rFonts w:ascii="Arial" w:hAnsi="Arial"/>
        </w:rPr>
        <w:t>1</w:t>
      </w:r>
      <w:r>
        <w:rPr>
          <w:rFonts w:ascii="Arial" w:hAnsi="Arial"/>
        </w:rPr>
        <w:t xml:space="preserve"> </w:t>
      </w:r>
      <w:r w:rsidR="0017602E" w:rsidRPr="00EC3479">
        <w:rPr>
          <w:rFonts w:ascii="Arial" w:hAnsi="Arial"/>
        </w:rPr>
        <w:t xml:space="preserve">In </w:t>
      </w:r>
      <w:r w:rsidR="00B923F5" w:rsidRPr="00EC3479">
        <w:rPr>
          <w:rFonts w:ascii="Arial" w:hAnsi="Arial"/>
        </w:rPr>
        <w:t xml:space="preserve">July 2016, the Board considered Hexagon’s headline social housing costs per property which had been </w:t>
      </w:r>
      <w:r w:rsidR="00D85E9F" w:rsidRPr="00EC3479">
        <w:rPr>
          <w:rFonts w:ascii="Arial" w:hAnsi="Arial"/>
        </w:rPr>
        <w:t>circulated</w:t>
      </w:r>
      <w:r w:rsidR="00B923F5" w:rsidRPr="00EC3479">
        <w:rPr>
          <w:rFonts w:ascii="Arial" w:hAnsi="Arial"/>
        </w:rPr>
        <w:t xml:space="preserve"> by the HCA and was derived from the 2015 global accounts data and broken down into several cost lines. This was compared to the equivalent figures for the sector as a whole.</w:t>
      </w:r>
    </w:p>
    <w:p w:rsidR="00B923F5" w:rsidRPr="00EC3479" w:rsidRDefault="00B923F5" w:rsidP="00EC3479">
      <w:pPr>
        <w:spacing w:before="240"/>
        <w:jc w:val="both"/>
        <w:rPr>
          <w:rFonts w:ascii="Arial" w:hAnsi="Arial"/>
        </w:rPr>
      </w:pPr>
      <w:r w:rsidRPr="00EC3479">
        <w:rPr>
          <w:rFonts w:ascii="Arial" w:hAnsi="Arial"/>
        </w:rPr>
        <w:t xml:space="preserve">This data is repeated below, adjusted firstly to take </w:t>
      </w:r>
      <w:r w:rsidR="009435D3" w:rsidRPr="00EC3479">
        <w:rPr>
          <w:rFonts w:ascii="Arial" w:hAnsi="Arial"/>
        </w:rPr>
        <w:t>into account the London weighting that the HCA gave as contextual information</w:t>
      </w:r>
      <w:r w:rsidR="00626881" w:rsidRPr="00EC3479">
        <w:rPr>
          <w:rFonts w:ascii="Arial" w:hAnsi="Arial"/>
        </w:rPr>
        <w:t>,</w:t>
      </w:r>
      <w:r w:rsidR="009435D3" w:rsidRPr="00EC3479">
        <w:rPr>
          <w:rFonts w:ascii="Arial" w:hAnsi="Arial"/>
        </w:rPr>
        <w:t xml:space="preserve"> but did not use in the data, and secondly to adjust </w:t>
      </w:r>
      <w:r w:rsidR="00E72097" w:rsidRPr="00EC3479">
        <w:rPr>
          <w:rFonts w:ascii="Arial" w:hAnsi="Arial"/>
        </w:rPr>
        <w:t>this weighting t</w:t>
      </w:r>
      <w:r w:rsidR="009435D3" w:rsidRPr="00EC3479">
        <w:rPr>
          <w:rFonts w:ascii="Arial" w:hAnsi="Arial"/>
        </w:rPr>
        <w:t xml:space="preserve">o reflect that around 15% of associations are London based. Generally, Hexagon uses the HouseMark for benchmarking as it is more detailed and is undertaken on a much more like-for-like basis. The nearest </w:t>
      </w:r>
      <w:r w:rsidR="00626881" w:rsidRPr="00EC3479">
        <w:rPr>
          <w:rFonts w:ascii="Arial" w:hAnsi="Arial"/>
        </w:rPr>
        <w:t>HouseMark</w:t>
      </w:r>
      <w:r w:rsidR="009435D3" w:rsidRPr="00EC3479">
        <w:rPr>
          <w:rFonts w:ascii="Arial" w:hAnsi="Arial"/>
        </w:rPr>
        <w:t xml:space="preserve"> data </w:t>
      </w:r>
      <w:r w:rsidR="00626881" w:rsidRPr="00EC3479">
        <w:rPr>
          <w:rFonts w:ascii="Arial" w:hAnsi="Arial"/>
        </w:rPr>
        <w:t>using</w:t>
      </w:r>
      <w:r w:rsidR="009435D3" w:rsidRPr="00EC3479">
        <w:rPr>
          <w:rFonts w:ascii="Arial" w:hAnsi="Arial"/>
        </w:rPr>
        <w:t xml:space="preserve"> our London HA benchmark is presented </w:t>
      </w:r>
      <w:r w:rsidR="00626881" w:rsidRPr="00EC3479">
        <w:rPr>
          <w:rFonts w:ascii="Arial" w:hAnsi="Arial"/>
        </w:rPr>
        <w:t>below</w:t>
      </w:r>
      <w:r w:rsidR="009435D3" w:rsidRPr="00EC3479">
        <w:rPr>
          <w:rFonts w:ascii="Arial" w:hAnsi="Arial"/>
        </w:rPr>
        <w:t xml:space="preserve"> the HCA </w:t>
      </w:r>
      <w:r w:rsidR="009315B4" w:rsidRPr="00EC3479">
        <w:rPr>
          <w:rFonts w:ascii="Arial" w:hAnsi="Arial"/>
        </w:rPr>
        <w:t>data</w:t>
      </w:r>
      <w:r w:rsidR="009435D3" w:rsidRPr="00EC3479">
        <w:rPr>
          <w:rFonts w:ascii="Arial" w:hAnsi="Arial"/>
        </w:rPr>
        <w:t>.</w:t>
      </w:r>
    </w:p>
    <w:p w:rsidR="00EC34A5" w:rsidRDefault="008E5595" w:rsidP="00EC3479">
      <w:pPr>
        <w:spacing w:before="240"/>
        <w:jc w:val="center"/>
        <w:rPr>
          <w:rFonts w:ascii="Arial" w:hAnsi="Arial"/>
          <w:b/>
        </w:rPr>
      </w:pPr>
      <w:r>
        <w:rPr>
          <w:rFonts w:ascii="Arial" w:hAnsi="Arial"/>
          <w:b/>
          <w:noProof/>
          <w:lang w:val="en-GB" w:eastAsia="en-GB"/>
        </w:rPr>
        <w:lastRenderedPageBreak/>
        <w:drawing>
          <wp:inline distT="0" distB="0" distL="0" distR="0" wp14:anchorId="64EEA926" wp14:editId="32DBF36B">
            <wp:extent cx="6133465" cy="4971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3465" cy="4971415"/>
                    </a:xfrm>
                    <a:prstGeom prst="rect">
                      <a:avLst/>
                    </a:prstGeom>
                    <a:noFill/>
                  </pic:spPr>
                </pic:pic>
              </a:graphicData>
            </a:graphic>
          </wp:inline>
        </w:drawing>
      </w:r>
    </w:p>
    <w:p w:rsidR="00626881" w:rsidRDefault="00626881" w:rsidP="00EC3479">
      <w:pPr>
        <w:spacing w:before="240"/>
        <w:jc w:val="center"/>
        <w:rPr>
          <w:rFonts w:ascii="Arial" w:hAnsi="Arial"/>
          <w:b/>
        </w:rPr>
      </w:pPr>
    </w:p>
    <w:p w:rsidR="00EC34A5" w:rsidRDefault="00EC34A5" w:rsidP="00EC3479">
      <w:pPr>
        <w:spacing w:before="240"/>
        <w:jc w:val="center"/>
        <w:rPr>
          <w:rFonts w:ascii="Arial" w:hAnsi="Arial"/>
          <w:b/>
        </w:rPr>
      </w:pPr>
    </w:p>
    <w:p w:rsidR="009435D3" w:rsidRPr="00EC3479" w:rsidRDefault="00803E81" w:rsidP="00EC3479">
      <w:pPr>
        <w:spacing w:before="240"/>
        <w:jc w:val="both"/>
        <w:rPr>
          <w:rFonts w:ascii="Arial" w:hAnsi="Arial"/>
        </w:rPr>
      </w:pPr>
      <w:r w:rsidRPr="00EC3479">
        <w:rPr>
          <w:rFonts w:ascii="Arial" w:hAnsi="Arial"/>
        </w:rPr>
        <w:lastRenderedPageBreak/>
        <w:t>3.1</w:t>
      </w:r>
      <w:r w:rsidR="00F77E90">
        <w:rPr>
          <w:rFonts w:ascii="Arial" w:hAnsi="Arial"/>
        </w:rPr>
        <w:t>2</w:t>
      </w:r>
      <w:r>
        <w:rPr>
          <w:rFonts w:ascii="Arial" w:hAnsi="Arial"/>
          <w:b/>
        </w:rPr>
        <w:t xml:space="preserve"> </w:t>
      </w:r>
      <w:r w:rsidR="008E5595">
        <w:rPr>
          <w:rFonts w:ascii="Arial" w:hAnsi="Arial"/>
          <w:b/>
        </w:rPr>
        <w:tab/>
      </w:r>
      <w:r w:rsidRPr="00EC3479">
        <w:rPr>
          <w:rFonts w:ascii="Arial" w:hAnsi="Arial"/>
        </w:rPr>
        <w:t>Once adjusted to take the London weighting into account,</w:t>
      </w:r>
      <w:r>
        <w:rPr>
          <w:rFonts w:ascii="Arial" w:hAnsi="Arial"/>
          <w:b/>
        </w:rPr>
        <w:t xml:space="preserve"> </w:t>
      </w:r>
      <w:r>
        <w:rPr>
          <w:rFonts w:ascii="Arial" w:hAnsi="Arial"/>
        </w:rPr>
        <w:t xml:space="preserve">the HCA data shows Hexagon’s cost per social housing unit in management to be better than 75% of English social landlords.  However, within this our maintenance, service costs and “other” costs are higher than the median. This borne out by the second table which shows that our maintenance cost per unit </w:t>
      </w:r>
      <w:r w:rsidR="003B6885">
        <w:rPr>
          <w:rFonts w:ascii="Arial" w:hAnsi="Arial"/>
        </w:rPr>
        <w:t>is</w:t>
      </w:r>
      <w:r>
        <w:rPr>
          <w:rFonts w:ascii="Arial" w:hAnsi="Arial"/>
        </w:rPr>
        <w:t xml:space="preserve"> higher than the median for London</w:t>
      </w:r>
      <w:r w:rsidR="00F72B27">
        <w:rPr>
          <w:rFonts w:ascii="Arial" w:hAnsi="Arial"/>
        </w:rPr>
        <w:t xml:space="preserve">, using </w:t>
      </w:r>
      <w:r w:rsidR="004A0ABC">
        <w:rPr>
          <w:rFonts w:ascii="Arial" w:hAnsi="Arial"/>
        </w:rPr>
        <w:t>HouseMark</w:t>
      </w:r>
      <w:r w:rsidR="00F72B27">
        <w:rPr>
          <w:rFonts w:ascii="Arial" w:hAnsi="Arial"/>
        </w:rPr>
        <w:t xml:space="preserve"> data.  As explained elsewhere in this document, our maintenance costs for 14/15 were increased by the need to use temporary contractors for routin</w:t>
      </w:r>
      <w:r w:rsidR="003B6885">
        <w:rPr>
          <w:rFonts w:ascii="Arial" w:hAnsi="Arial"/>
        </w:rPr>
        <w:t>e</w:t>
      </w:r>
      <w:r w:rsidR="00F72B27">
        <w:rPr>
          <w:rFonts w:ascii="Arial" w:hAnsi="Arial"/>
        </w:rPr>
        <w:t xml:space="preserve"> repairs.  Our service costs look higher than the median because we have a relatively large proportion of supported </w:t>
      </w:r>
      <w:r w:rsidR="00F72B27" w:rsidRPr="003B6885">
        <w:rPr>
          <w:rFonts w:ascii="Arial" w:hAnsi="Arial"/>
        </w:rPr>
        <w:t>housing (</w:t>
      </w:r>
      <w:r w:rsidR="003B6885" w:rsidRPr="00EC3479">
        <w:rPr>
          <w:rFonts w:ascii="Arial" w:hAnsi="Arial"/>
        </w:rPr>
        <w:t>6.7% compared to the median of 1</w:t>
      </w:r>
      <w:r w:rsidR="00F72B27" w:rsidRPr="003B6885">
        <w:rPr>
          <w:rFonts w:ascii="Arial" w:hAnsi="Arial"/>
        </w:rPr>
        <w:t>%),</w:t>
      </w:r>
      <w:r w:rsidR="00F72B27">
        <w:rPr>
          <w:rFonts w:ascii="Arial" w:hAnsi="Arial"/>
        </w:rPr>
        <w:t xml:space="preserve"> for which we provide more services.  “Other” costs </w:t>
      </w:r>
      <w:r w:rsidR="00273E8B">
        <w:rPr>
          <w:rFonts w:ascii="Arial" w:hAnsi="Arial"/>
        </w:rPr>
        <w:t xml:space="preserve">are higher by £0.22k a unit because they include costs for the 489 co-op and agency managed units which are not included in the units managed figure, and by £0.11 a unit because of the costs of support contracts which are recovered from the local authority commissioners. The remaining difference to the median </w:t>
      </w:r>
      <w:r w:rsidR="00F72B27">
        <w:rPr>
          <w:rFonts w:ascii="Arial" w:hAnsi="Arial"/>
        </w:rPr>
        <w:t xml:space="preserve">may because we allocate to this line in our financial statements some costs such as </w:t>
      </w:r>
      <w:r w:rsidR="00D8123C">
        <w:rPr>
          <w:rFonts w:ascii="Arial" w:hAnsi="Arial"/>
        </w:rPr>
        <w:t xml:space="preserve">resident newsletters and council tax on voids </w:t>
      </w:r>
      <w:r w:rsidR="00F72B27">
        <w:rPr>
          <w:rFonts w:ascii="Arial" w:hAnsi="Arial"/>
        </w:rPr>
        <w:t xml:space="preserve">that other landlords may include with their housing management costs. </w:t>
      </w:r>
      <w:r w:rsidR="00D8123C">
        <w:rPr>
          <w:rFonts w:ascii="Arial" w:hAnsi="Arial"/>
        </w:rPr>
        <w:t>We will review this for the 16/17 financial statements.</w:t>
      </w:r>
    </w:p>
    <w:p w:rsidR="00A27A05" w:rsidRDefault="00A27A05" w:rsidP="00A24565">
      <w:pPr>
        <w:jc w:val="both"/>
        <w:rPr>
          <w:rFonts w:ascii="Arial" w:hAnsi="Arial"/>
          <w:b/>
          <w:sz w:val="28"/>
        </w:rPr>
      </w:pPr>
    </w:p>
    <w:p w:rsidR="003F75E3" w:rsidRPr="00EC3479" w:rsidRDefault="003F75E3" w:rsidP="003F75E3">
      <w:pPr>
        <w:numPr>
          <w:ilvl w:val="0"/>
          <w:numId w:val="39"/>
        </w:numPr>
        <w:jc w:val="both"/>
        <w:rPr>
          <w:rFonts w:ascii="Arial" w:hAnsi="Arial"/>
          <w:sz w:val="28"/>
        </w:rPr>
      </w:pPr>
      <w:r w:rsidRPr="00EC3479">
        <w:rPr>
          <w:rFonts w:ascii="Arial" w:hAnsi="Arial"/>
          <w:sz w:val="28"/>
        </w:rPr>
        <w:t xml:space="preserve">Our return on assets </w:t>
      </w:r>
    </w:p>
    <w:p w:rsidR="003F75E3" w:rsidRPr="008A18FC" w:rsidRDefault="003F75E3" w:rsidP="003F75E3">
      <w:pPr>
        <w:jc w:val="both"/>
        <w:rPr>
          <w:rFonts w:ascii="Arial" w:hAnsi="Arial"/>
          <w:sz w:val="28"/>
        </w:rPr>
      </w:pPr>
    </w:p>
    <w:p w:rsidR="003F75E3" w:rsidRPr="008A18FC" w:rsidRDefault="00A27A05" w:rsidP="003F75E3">
      <w:pPr>
        <w:jc w:val="both"/>
        <w:rPr>
          <w:rFonts w:ascii="Arial" w:hAnsi="Arial"/>
          <w:sz w:val="28"/>
        </w:rPr>
      </w:pPr>
      <w:r w:rsidRPr="008A18FC">
        <w:rPr>
          <w:rFonts w:ascii="Arial" w:hAnsi="Arial"/>
        </w:rPr>
        <w:t>4</w:t>
      </w:r>
      <w:r w:rsidR="003F75E3" w:rsidRPr="008A18FC">
        <w:rPr>
          <w:rFonts w:ascii="Arial" w:hAnsi="Arial"/>
        </w:rPr>
        <w:t>.1</w:t>
      </w:r>
      <w:r w:rsidR="003F75E3" w:rsidRPr="008A18FC">
        <w:rPr>
          <w:rFonts w:ascii="Arial" w:hAnsi="Arial"/>
        </w:rPr>
        <w:tab/>
        <w:t xml:space="preserve">Hexagon’s mission is to meet housing, care and support needs in South London and assist with economic and social regeneration. Our predominant area of operation is South East London. Our objectives for the three years to March 2017 are set out in our Corporate Plan. </w:t>
      </w:r>
    </w:p>
    <w:p w:rsidR="003F75E3" w:rsidRPr="008A18FC" w:rsidRDefault="003F75E3" w:rsidP="003F75E3">
      <w:pPr>
        <w:jc w:val="both"/>
        <w:rPr>
          <w:rFonts w:ascii="Arial" w:hAnsi="Arial"/>
          <w:sz w:val="28"/>
        </w:rPr>
      </w:pPr>
    </w:p>
    <w:p w:rsidR="003F75E3" w:rsidRPr="008A18FC" w:rsidRDefault="003F75E3" w:rsidP="003F75E3">
      <w:pPr>
        <w:jc w:val="both"/>
        <w:rPr>
          <w:rFonts w:ascii="Arial" w:hAnsi="Arial"/>
          <w:sz w:val="28"/>
        </w:rPr>
      </w:pPr>
      <w:r w:rsidRPr="008A18FC">
        <w:rPr>
          <w:rFonts w:ascii="Arial" w:hAnsi="Arial"/>
          <w:sz w:val="28"/>
        </w:rPr>
        <w:t>Financial return on assets</w:t>
      </w:r>
    </w:p>
    <w:p w:rsidR="003F75E3" w:rsidRPr="008A18FC" w:rsidRDefault="003F75E3" w:rsidP="003F75E3">
      <w:pPr>
        <w:jc w:val="both"/>
        <w:rPr>
          <w:rFonts w:ascii="Arial" w:hAnsi="Arial"/>
          <w:sz w:val="28"/>
        </w:rPr>
      </w:pPr>
    </w:p>
    <w:p w:rsidR="00C56A58" w:rsidRPr="00AB7648" w:rsidRDefault="00C56A58" w:rsidP="00C56A58">
      <w:pPr>
        <w:jc w:val="both"/>
        <w:rPr>
          <w:rFonts w:ascii="Arial" w:hAnsi="Arial"/>
        </w:rPr>
      </w:pPr>
      <w:r>
        <w:rPr>
          <w:rFonts w:ascii="Arial" w:hAnsi="Arial"/>
        </w:rPr>
        <w:t>4.2</w:t>
      </w:r>
      <w:r>
        <w:rPr>
          <w:rFonts w:ascii="Arial" w:hAnsi="Arial"/>
        </w:rPr>
        <w:tab/>
        <w:t xml:space="preserve">Hexagon has received Social Housing Grant to enable us to charge below- market rents. For Hexagon to be a sustainable business, it is important that the return net of grant will pay the interest bill on our borrowings.  </w:t>
      </w:r>
      <w:r w:rsidRPr="001E2B33">
        <w:rPr>
          <w:rFonts w:ascii="Arial" w:hAnsi="Arial"/>
        </w:rPr>
        <w:t>The table below looks at the cost of Hexagon’s property assets, net of grant and depreciation and the surplus as reported in the 1</w:t>
      </w:r>
      <w:r>
        <w:rPr>
          <w:rFonts w:ascii="Arial" w:hAnsi="Arial"/>
        </w:rPr>
        <w:t>5/16</w:t>
      </w:r>
      <w:r w:rsidRPr="001E2B33">
        <w:rPr>
          <w:rFonts w:ascii="Arial" w:hAnsi="Arial"/>
        </w:rPr>
        <w:t xml:space="preserve"> accounts to derive a financial return on each type of property</w:t>
      </w:r>
      <w:r>
        <w:rPr>
          <w:rFonts w:ascii="Arial" w:hAnsi="Arial"/>
        </w:rPr>
        <w:t xml:space="preserve">, before interest. </w:t>
      </w:r>
      <w:r w:rsidRPr="00EC3479">
        <w:rPr>
          <w:rFonts w:ascii="Arial" w:hAnsi="Arial"/>
        </w:rPr>
        <w:t xml:space="preserve">This compares to a projected long term interest rate of 4.2% for the loan portfolio at September 2015.  </w:t>
      </w:r>
      <w:r w:rsidRPr="00AB7648">
        <w:rPr>
          <w:rFonts w:ascii="Arial" w:hAnsi="Arial"/>
        </w:rPr>
        <w:t xml:space="preserve">The cost net of grant represents Hexagon’s investment in our properties, which is funded by our loans and reserves. The grant is the total of all capital grants provided over the years to allow Hexagon to let the properties at a subsidised rent, thus representing investment by taxpayers. </w:t>
      </w:r>
    </w:p>
    <w:p w:rsidR="00C56A58" w:rsidRPr="00A24565" w:rsidRDefault="00C56A58" w:rsidP="00C56A58">
      <w:pPr>
        <w:jc w:val="both"/>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13"/>
        <w:gridCol w:w="1914"/>
        <w:gridCol w:w="1913"/>
        <w:gridCol w:w="2198"/>
        <w:gridCol w:w="1630"/>
      </w:tblGrid>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Type of property asset</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Cost net of grant £’000</w:t>
            </w:r>
          </w:p>
          <w:p w:rsidR="00C56A58" w:rsidRPr="00AB7648" w:rsidRDefault="00C56A58" w:rsidP="00F5056E">
            <w:pPr>
              <w:jc w:val="right"/>
              <w:rPr>
                <w:rFonts w:ascii="Arial" w:hAnsi="Arial"/>
              </w:rPr>
            </w:pP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Grant</w:t>
            </w:r>
          </w:p>
          <w:p w:rsidR="00C56A58" w:rsidRPr="00AB7648" w:rsidRDefault="00C56A58" w:rsidP="00F5056E">
            <w:pPr>
              <w:jc w:val="right"/>
              <w:rPr>
                <w:rFonts w:ascii="Arial" w:hAnsi="Arial"/>
              </w:rPr>
            </w:pPr>
            <w:r w:rsidRPr="00AB7648">
              <w:rPr>
                <w:rFonts w:ascii="Arial" w:hAnsi="Arial"/>
              </w:rPr>
              <w:t>£’000</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15/16 Surplus before interest </w:t>
            </w:r>
          </w:p>
          <w:p w:rsidR="00C56A58" w:rsidRPr="00AB7648" w:rsidRDefault="00C56A58" w:rsidP="00F5056E">
            <w:pPr>
              <w:jc w:val="right"/>
              <w:rPr>
                <w:rFonts w:ascii="Arial" w:hAnsi="Arial"/>
              </w:rPr>
            </w:pPr>
            <w:r w:rsidRPr="00AB7648">
              <w:rPr>
                <w:rFonts w:ascii="Arial" w:hAnsi="Arial"/>
              </w:rPr>
              <w:t>£’000</w:t>
            </w:r>
          </w:p>
        </w:tc>
        <w:tc>
          <w:tcPr>
            <w:tcW w:w="2198" w:type="dxa"/>
          </w:tcPr>
          <w:p w:rsidR="00C56A58" w:rsidRPr="00AB7648" w:rsidRDefault="00C56A58" w:rsidP="00F5056E">
            <w:pPr>
              <w:jc w:val="right"/>
              <w:rPr>
                <w:rFonts w:ascii="Arial" w:hAnsi="Arial"/>
                <w:b/>
              </w:rPr>
            </w:pPr>
            <w:r w:rsidRPr="00AB7648">
              <w:rPr>
                <w:rFonts w:ascii="Arial" w:hAnsi="Arial"/>
                <w:b/>
              </w:rPr>
              <w:t xml:space="preserve">Financial return </w:t>
            </w:r>
          </w:p>
          <w:p w:rsidR="00C56A58" w:rsidRPr="00AB7648" w:rsidRDefault="00C56A58" w:rsidP="00F5056E">
            <w:pPr>
              <w:jc w:val="right"/>
              <w:rPr>
                <w:rFonts w:ascii="Arial" w:hAnsi="Arial"/>
                <w:b/>
              </w:rPr>
            </w:pPr>
            <w:r w:rsidRPr="00AB7648">
              <w:rPr>
                <w:rFonts w:ascii="Arial" w:hAnsi="Arial"/>
                <w:b/>
              </w:rPr>
              <w:t>% for 15/16</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 xml:space="preserve">Financial return </w:t>
            </w:r>
          </w:p>
          <w:p w:rsidR="00C56A58" w:rsidRPr="00AB7648" w:rsidRDefault="00C56A58" w:rsidP="00F5056E">
            <w:pPr>
              <w:jc w:val="right"/>
              <w:rPr>
                <w:rFonts w:ascii="Arial" w:hAnsi="Arial"/>
                <w:sz w:val="22"/>
                <w:szCs w:val="22"/>
              </w:rPr>
            </w:pPr>
            <w:r w:rsidRPr="00AB7648">
              <w:rPr>
                <w:rFonts w:ascii="Arial" w:hAnsi="Arial"/>
                <w:sz w:val="22"/>
                <w:szCs w:val="22"/>
              </w:rPr>
              <w:t>% for 14/15</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General needs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171,949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195,287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8,691 </w:t>
            </w:r>
          </w:p>
        </w:tc>
        <w:tc>
          <w:tcPr>
            <w:tcW w:w="2198" w:type="dxa"/>
          </w:tcPr>
          <w:p w:rsidR="00C56A58" w:rsidRPr="00AB7648" w:rsidRDefault="00C56A58" w:rsidP="00F5056E">
            <w:pPr>
              <w:jc w:val="right"/>
              <w:rPr>
                <w:rFonts w:ascii="Arial" w:hAnsi="Arial"/>
                <w:b/>
              </w:rPr>
            </w:pPr>
            <w:r w:rsidRPr="00AB7648">
              <w:rPr>
                <w:rFonts w:ascii="Arial" w:hAnsi="Arial"/>
                <w:b/>
              </w:rPr>
              <w:t>5.1%</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5.3%</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Shared ownership</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19,006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11,321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1,031 </w:t>
            </w:r>
          </w:p>
        </w:tc>
        <w:tc>
          <w:tcPr>
            <w:tcW w:w="2198" w:type="dxa"/>
          </w:tcPr>
          <w:p w:rsidR="00C56A58" w:rsidRPr="00AB7648" w:rsidRDefault="00C56A58" w:rsidP="00F5056E">
            <w:pPr>
              <w:jc w:val="right"/>
              <w:rPr>
                <w:rFonts w:ascii="Arial" w:hAnsi="Arial"/>
                <w:b/>
              </w:rPr>
            </w:pPr>
            <w:r w:rsidRPr="00AB7648">
              <w:rPr>
                <w:rFonts w:ascii="Arial" w:hAnsi="Arial"/>
                <w:b/>
              </w:rPr>
              <w:t>5.4%</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6.0%</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lastRenderedPageBreak/>
              <w:t>Directly managed supported housing</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4,804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10,990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108 </w:t>
            </w:r>
          </w:p>
        </w:tc>
        <w:tc>
          <w:tcPr>
            <w:tcW w:w="2198" w:type="dxa"/>
          </w:tcPr>
          <w:p w:rsidR="00C56A58" w:rsidRPr="00AB7648" w:rsidRDefault="00C56A58" w:rsidP="00F5056E">
            <w:pPr>
              <w:jc w:val="right"/>
              <w:rPr>
                <w:rFonts w:ascii="Arial" w:hAnsi="Arial"/>
                <w:b/>
              </w:rPr>
            </w:pPr>
            <w:r w:rsidRPr="00AB7648">
              <w:rPr>
                <w:rFonts w:ascii="Arial" w:hAnsi="Arial"/>
                <w:b/>
              </w:rPr>
              <w:t>2.2%</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1.1%</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Co-op managed general needs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8,110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17,482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621 </w:t>
            </w:r>
          </w:p>
        </w:tc>
        <w:tc>
          <w:tcPr>
            <w:tcW w:w="2198" w:type="dxa"/>
          </w:tcPr>
          <w:p w:rsidR="00C56A58" w:rsidRPr="00AB7648" w:rsidRDefault="00C56A58" w:rsidP="00F5056E">
            <w:pPr>
              <w:jc w:val="right"/>
              <w:rPr>
                <w:rFonts w:ascii="Arial" w:hAnsi="Arial"/>
                <w:b/>
              </w:rPr>
            </w:pPr>
            <w:r w:rsidRPr="00AB7648">
              <w:rPr>
                <w:rFonts w:ascii="Arial" w:hAnsi="Arial"/>
                <w:b/>
              </w:rPr>
              <w:t>7.7%</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8.3%</w:t>
            </w:r>
          </w:p>
        </w:tc>
      </w:tr>
      <w:tr w:rsidR="00C56A58" w:rsidRPr="00A24565"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Agency managed supported housing</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1,021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4,920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15 </w:t>
            </w:r>
          </w:p>
        </w:tc>
        <w:tc>
          <w:tcPr>
            <w:tcW w:w="2198" w:type="dxa"/>
          </w:tcPr>
          <w:p w:rsidR="00C56A58" w:rsidRPr="00AB7648" w:rsidRDefault="00C56A58" w:rsidP="00F5056E">
            <w:pPr>
              <w:jc w:val="right"/>
              <w:rPr>
                <w:rFonts w:ascii="Arial" w:hAnsi="Arial"/>
                <w:b/>
              </w:rPr>
            </w:pPr>
            <w:r w:rsidRPr="00AB7648">
              <w:rPr>
                <w:rFonts w:ascii="Arial" w:hAnsi="Arial"/>
                <w:b/>
              </w:rPr>
              <w:t>1.5%</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5.0%</w:t>
            </w:r>
          </w:p>
        </w:tc>
      </w:tr>
      <w:tr w:rsidR="00C56A58" w:rsidRPr="00D46AD2" w:rsidTr="00F5056E">
        <w:tc>
          <w:tcPr>
            <w:tcW w:w="4503" w:type="dxa"/>
            <w:shd w:val="clear" w:color="auto" w:fill="auto"/>
          </w:tcPr>
          <w:p w:rsidR="00C56A58" w:rsidRPr="00AB7648" w:rsidRDefault="00C56A58" w:rsidP="00F5056E">
            <w:pPr>
              <w:jc w:val="both"/>
              <w:rPr>
                <w:rFonts w:ascii="Arial" w:hAnsi="Arial"/>
              </w:rPr>
            </w:pPr>
            <w:r w:rsidRPr="00AB7648">
              <w:rPr>
                <w:rFonts w:ascii="Arial" w:hAnsi="Arial"/>
              </w:rPr>
              <w:t xml:space="preserve">All </w:t>
            </w:r>
            <w:r>
              <w:rPr>
                <w:rFonts w:ascii="Arial" w:hAnsi="Arial"/>
              </w:rPr>
              <w:t xml:space="preserve">main </w:t>
            </w:r>
            <w:r w:rsidRPr="00AB7648">
              <w:rPr>
                <w:rFonts w:ascii="Arial" w:hAnsi="Arial"/>
              </w:rPr>
              <w:t>asset classes</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204,891 </w:t>
            </w:r>
          </w:p>
        </w:tc>
        <w:tc>
          <w:tcPr>
            <w:tcW w:w="1914" w:type="dxa"/>
            <w:shd w:val="clear" w:color="auto" w:fill="auto"/>
          </w:tcPr>
          <w:p w:rsidR="00C56A58" w:rsidRPr="00AB7648" w:rsidRDefault="00C56A58" w:rsidP="00F5056E">
            <w:pPr>
              <w:jc w:val="right"/>
              <w:rPr>
                <w:rFonts w:ascii="Arial" w:hAnsi="Arial"/>
              </w:rPr>
            </w:pPr>
            <w:r w:rsidRPr="00AB7648">
              <w:rPr>
                <w:rFonts w:ascii="Arial" w:hAnsi="Arial"/>
              </w:rPr>
              <w:t xml:space="preserve"> 240,000 </w:t>
            </w:r>
          </w:p>
        </w:tc>
        <w:tc>
          <w:tcPr>
            <w:tcW w:w="1913" w:type="dxa"/>
            <w:shd w:val="clear" w:color="auto" w:fill="auto"/>
          </w:tcPr>
          <w:p w:rsidR="00C56A58" w:rsidRPr="00AB7648" w:rsidRDefault="00C56A58" w:rsidP="00F5056E">
            <w:pPr>
              <w:jc w:val="right"/>
              <w:rPr>
                <w:rFonts w:ascii="Arial" w:hAnsi="Arial"/>
              </w:rPr>
            </w:pPr>
            <w:r w:rsidRPr="00AB7648">
              <w:rPr>
                <w:rFonts w:ascii="Arial" w:hAnsi="Arial"/>
              </w:rPr>
              <w:t xml:space="preserve"> 10,466 </w:t>
            </w:r>
          </w:p>
        </w:tc>
        <w:tc>
          <w:tcPr>
            <w:tcW w:w="2198" w:type="dxa"/>
          </w:tcPr>
          <w:p w:rsidR="00C56A58" w:rsidRPr="00AB7648" w:rsidRDefault="00C56A58" w:rsidP="00F5056E">
            <w:pPr>
              <w:jc w:val="right"/>
              <w:rPr>
                <w:rFonts w:ascii="Arial" w:hAnsi="Arial"/>
                <w:b/>
              </w:rPr>
            </w:pPr>
            <w:r w:rsidRPr="00AB7648">
              <w:rPr>
                <w:rFonts w:ascii="Arial" w:hAnsi="Arial"/>
                <w:b/>
              </w:rPr>
              <w:t>5.1%</w:t>
            </w:r>
          </w:p>
        </w:tc>
        <w:tc>
          <w:tcPr>
            <w:tcW w:w="1630" w:type="dxa"/>
            <w:shd w:val="clear" w:color="auto" w:fill="auto"/>
          </w:tcPr>
          <w:p w:rsidR="00C56A58" w:rsidRPr="00AB7648" w:rsidRDefault="00C56A58" w:rsidP="00F5056E">
            <w:pPr>
              <w:jc w:val="right"/>
              <w:rPr>
                <w:rFonts w:ascii="Arial" w:hAnsi="Arial"/>
                <w:sz w:val="22"/>
                <w:szCs w:val="22"/>
              </w:rPr>
            </w:pPr>
            <w:r w:rsidRPr="00AB7648">
              <w:rPr>
                <w:rFonts w:ascii="Arial" w:hAnsi="Arial"/>
                <w:sz w:val="22"/>
                <w:szCs w:val="22"/>
              </w:rPr>
              <w:t>5.4%</w:t>
            </w:r>
          </w:p>
        </w:tc>
      </w:tr>
    </w:tbl>
    <w:p w:rsidR="003F75E3" w:rsidRPr="008A18FC" w:rsidRDefault="003F75E3" w:rsidP="003F75E3">
      <w:pPr>
        <w:jc w:val="both"/>
        <w:rPr>
          <w:rFonts w:ascii="Arial" w:hAnsi="Arial"/>
        </w:rPr>
      </w:pPr>
      <w:r w:rsidRPr="008A18FC">
        <w:rPr>
          <w:rFonts w:ascii="Arial" w:hAnsi="Arial"/>
        </w:rPr>
        <w:t xml:space="preserve"> </w:t>
      </w:r>
    </w:p>
    <w:p w:rsidR="003F75E3" w:rsidRDefault="003F75E3" w:rsidP="003F75E3">
      <w:pPr>
        <w:jc w:val="both"/>
        <w:rPr>
          <w:rFonts w:ascii="Arial" w:hAnsi="Arial"/>
        </w:rPr>
      </w:pPr>
    </w:p>
    <w:p w:rsidR="00C56A58" w:rsidRDefault="00C56A58" w:rsidP="00C56A58">
      <w:pPr>
        <w:jc w:val="both"/>
        <w:rPr>
          <w:rFonts w:ascii="Arial" w:hAnsi="Arial"/>
        </w:rPr>
      </w:pPr>
      <w:r>
        <w:rPr>
          <w:rFonts w:ascii="Arial" w:hAnsi="Arial"/>
        </w:rPr>
        <w:t>4</w:t>
      </w:r>
      <w:r w:rsidRPr="00427062">
        <w:rPr>
          <w:rFonts w:ascii="Arial" w:hAnsi="Arial"/>
        </w:rPr>
        <w:t xml:space="preserve">.3  </w:t>
      </w:r>
      <w:r w:rsidR="005B1F56">
        <w:rPr>
          <w:rFonts w:ascii="Arial" w:hAnsi="Arial"/>
        </w:rPr>
        <w:t>The % financial return appears to have dropped from 5.4% to 5.1% since 14/15. However, this is because of the net extra depreciation included in the 15/16 surplus as a result of a change in accounting policies. Once this is adjusted for, the return on assets has actually risen by 0.2% between 14/15 and 15/16.</w:t>
      </w:r>
      <w:r>
        <w:rPr>
          <w:rFonts w:ascii="Arial" w:hAnsi="Arial"/>
        </w:rPr>
        <w:t xml:space="preserve">  </w:t>
      </w:r>
      <w:r w:rsidRPr="00AB7648">
        <w:rPr>
          <w:rFonts w:ascii="Arial" w:hAnsi="Arial"/>
        </w:rPr>
        <w:t xml:space="preserve">The % financial return is greater on the older stock, such those managed by co-ops, as this was funded by high levels of grant.  Supported housing shows lower rates of return because of the greater intensity of housing management and the higher risk of voids, but there is also a higher social return. </w:t>
      </w:r>
    </w:p>
    <w:p w:rsidR="00C56A58" w:rsidRDefault="00C56A58" w:rsidP="00C56A58">
      <w:pPr>
        <w:jc w:val="both"/>
        <w:rPr>
          <w:rFonts w:ascii="Arial" w:hAnsi="Arial"/>
          <w:sz w:val="28"/>
        </w:rPr>
      </w:pPr>
    </w:p>
    <w:p w:rsidR="00C56A58" w:rsidRDefault="00C56A58" w:rsidP="00C56A58">
      <w:pPr>
        <w:jc w:val="both"/>
        <w:rPr>
          <w:rFonts w:ascii="Arial" w:hAnsi="Arial"/>
          <w:sz w:val="28"/>
        </w:rPr>
      </w:pPr>
      <w:r w:rsidRPr="00EC3479">
        <w:rPr>
          <w:rFonts w:ascii="Arial" w:hAnsi="Arial"/>
        </w:rPr>
        <w:t>4.4</w:t>
      </w:r>
      <w:r>
        <w:rPr>
          <w:rFonts w:ascii="Arial" w:hAnsi="Arial"/>
          <w:sz w:val="28"/>
        </w:rPr>
        <w:t xml:space="preserve">  </w:t>
      </w:r>
      <w:r w:rsidRPr="00A24565">
        <w:rPr>
          <w:rFonts w:ascii="Arial" w:hAnsi="Arial"/>
        </w:rPr>
        <w:t xml:space="preserve">But how do we compare to non-social landlords? </w:t>
      </w:r>
      <w:r w:rsidR="00AA34DE" w:rsidRPr="00AA34DE">
        <w:rPr>
          <w:rFonts w:ascii="Arial" w:hAnsi="Arial"/>
        </w:rPr>
        <w:t xml:space="preserve">We have undertaken a calculation which, solely for the purpose of demonstrating value for money, compares our rents to those in the commercial sector.  </w:t>
      </w:r>
      <w:r w:rsidRPr="00A24565">
        <w:rPr>
          <w:rFonts w:ascii="Arial" w:hAnsi="Arial"/>
        </w:rPr>
        <w:t xml:space="preserve">If we were to charge market rents for our general needs </w:t>
      </w:r>
      <w:r w:rsidR="00206666">
        <w:rPr>
          <w:rFonts w:ascii="Arial" w:hAnsi="Arial"/>
        </w:rPr>
        <w:t xml:space="preserve">and co-op </w:t>
      </w:r>
      <w:r w:rsidRPr="00A24565">
        <w:rPr>
          <w:rFonts w:ascii="Arial" w:hAnsi="Arial"/>
        </w:rPr>
        <w:t>properties</w:t>
      </w:r>
      <w:r>
        <w:rPr>
          <w:rFonts w:ascii="Arial" w:hAnsi="Arial"/>
        </w:rPr>
        <w:t xml:space="preserve">, then we estimate that we would make a financial return on </w:t>
      </w:r>
      <w:r w:rsidR="00206666">
        <w:rPr>
          <w:rFonts w:ascii="Arial" w:hAnsi="Arial"/>
        </w:rPr>
        <w:t>8.7</w:t>
      </w:r>
      <w:r w:rsidRPr="00EC3479">
        <w:rPr>
          <w:rFonts w:ascii="Arial" w:hAnsi="Arial"/>
        </w:rPr>
        <w:t>% on</w:t>
      </w:r>
      <w:r>
        <w:rPr>
          <w:rFonts w:ascii="Arial" w:hAnsi="Arial"/>
        </w:rPr>
        <w:t xml:space="preserve"> the gross cost of our properties (</w:t>
      </w:r>
      <w:r w:rsidR="009315B4">
        <w:rPr>
          <w:rFonts w:ascii="Arial" w:hAnsi="Arial"/>
        </w:rPr>
        <w:t>i.e.</w:t>
      </w:r>
      <w:r>
        <w:rPr>
          <w:rFonts w:ascii="Arial" w:hAnsi="Arial"/>
        </w:rPr>
        <w:t xml:space="preserve"> assuming no grant).  This compares well with the yields of 2.8%-5.4</w:t>
      </w:r>
      <w:r w:rsidRPr="00A24565">
        <w:rPr>
          <w:rFonts w:ascii="Arial" w:hAnsi="Arial"/>
        </w:rPr>
        <w:t>% on buy to let in South East London, but we do have the advantage of having refurbished or developed the properties over a number of years.</w:t>
      </w:r>
      <w:r>
        <w:rPr>
          <w:rFonts w:ascii="Arial" w:hAnsi="Arial"/>
        </w:rPr>
        <w:t xml:space="preserve">  </w:t>
      </w:r>
    </w:p>
    <w:p w:rsidR="00ED173E" w:rsidRDefault="00ED173E" w:rsidP="003F75E3">
      <w:pPr>
        <w:jc w:val="both"/>
        <w:rPr>
          <w:rFonts w:ascii="Arial" w:hAnsi="Arial"/>
          <w:sz w:val="28"/>
        </w:rPr>
      </w:pPr>
    </w:p>
    <w:p w:rsidR="003F75E3" w:rsidRDefault="003F75E3" w:rsidP="003F75E3">
      <w:pPr>
        <w:jc w:val="both"/>
        <w:rPr>
          <w:rFonts w:ascii="Arial" w:hAnsi="Arial"/>
          <w:sz w:val="28"/>
        </w:rPr>
      </w:pPr>
      <w:r>
        <w:rPr>
          <w:rFonts w:ascii="Arial" w:hAnsi="Arial"/>
          <w:sz w:val="28"/>
        </w:rPr>
        <w:t>Social return on assets</w:t>
      </w:r>
    </w:p>
    <w:p w:rsidR="003F75E3" w:rsidRDefault="003F75E3" w:rsidP="003F75E3">
      <w:pPr>
        <w:jc w:val="both"/>
        <w:rPr>
          <w:rFonts w:ascii="Arial" w:hAnsi="Arial"/>
          <w:sz w:val="28"/>
        </w:rPr>
      </w:pPr>
    </w:p>
    <w:p w:rsidR="0039433A" w:rsidRDefault="0026308F" w:rsidP="003F75E3">
      <w:pPr>
        <w:jc w:val="both"/>
        <w:rPr>
          <w:rFonts w:ascii="Arial" w:hAnsi="Arial"/>
        </w:rPr>
      </w:pPr>
      <w:r w:rsidRPr="00C56A58">
        <w:rPr>
          <w:rFonts w:ascii="Arial" w:hAnsi="Arial"/>
        </w:rPr>
        <w:t>4.5</w:t>
      </w:r>
      <w:r w:rsidR="00DE4899">
        <w:rPr>
          <w:rFonts w:ascii="Arial" w:hAnsi="Arial"/>
        </w:rPr>
        <w:t xml:space="preserve"> </w:t>
      </w:r>
      <w:r w:rsidR="00AA34DE">
        <w:rPr>
          <w:rFonts w:ascii="Arial" w:hAnsi="Arial"/>
        </w:rPr>
        <w:t>Using the same calculation as for 4.4 above</w:t>
      </w:r>
      <w:r w:rsidR="00DD4FBB" w:rsidRPr="00C56A58">
        <w:rPr>
          <w:rFonts w:ascii="Arial" w:hAnsi="Arial"/>
        </w:rPr>
        <w:t>, we estimate that we would be able to charge £</w:t>
      </w:r>
      <w:r w:rsidR="006C7535" w:rsidRPr="00EC3479">
        <w:rPr>
          <w:rFonts w:ascii="Arial" w:hAnsi="Arial"/>
        </w:rPr>
        <w:t>25</w:t>
      </w:r>
      <w:r w:rsidR="00C720EB">
        <w:rPr>
          <w:rFonts w:ascii="Arial" w:hAnsi="Arial"/>
        </w:rPr>
        <w:t>m</w:t>
      </w:r>
      <w:r w:rsidR="00DD4FBB" w:rsidRPr="00C56A58">
        <w:rPr>
          <w:rFonts w:ascii="Arial" w:hAnsi="Arial"/>
        </w:rPr>
        <w:t xml:space="preserve"> more a year for our </w:t>
      </w:r>
      <w:r w:rsidR="00206666">
        <w:rPr>
          <w:rFonts w:ascii="Arial" w:hAnsi="Arial"/>
        </w:rPr>
        <w:t>g</w:t>
      </w:r>
      <w:r w:rsidR="00B0445E" w:rsidRPr="00C56A58">
        <w:rPr>
          <w:rFonts w:ascii="Arial" w:hAnsi="Arial"/>
        </w:rPr>
        <w:t xml:space="preserve">eneral </w:t>
      </w:r>
      <w:r w:rsidR="00206666">
        <w:rPr>
          <w:rFonts w:ascii="Arial" w:hAnsi="Arial"/>
        </w:rPr>
        <w:t>n</w:t>
      </w:r>
      <w:r w:rsidR="00B0445E" w:rsidRPr="00C56A58">
        <w:rPr>
          <w:rFonts w:ascii="Arial" w:hAnsi="Arial"/>
        </w:rPr>
        <w:t xml:space="preserve">eeds </w:t>
      </w:r>
      <w:r w:rsidR="00206666">
        <w:rPr>
          <w:rFonts w:ascii="Arial" w:hAnsi="Arial"/>
        </w:rPr>
        <w:t xml:space="preserve">and co-op </w:t>
      </w:r>
      <w:r w:rsidR="00B0445E" w:rsidRPr="00C56A58">
        <w:rPr>
          <w:rFonts w:ascii="Arial" w:hAnsi="Arial"/>
        </w:rPr>
        <w:t>home</w:t>
      </w:r>
      <w:r w:rsidR="00AA34DE">
        <w:rPr>
          <w:rFonts w:ascii="Arial" w:hAnsi="Arial"/>
        </w:rPr>
        <w:t>s if we were a purely commercial organisation</w:t>
      </w:r>
      <w:r w:rsidR="00DD4FBB" w:rsidRPr="00C56A58">
        <w:rPr>
          <w:rFonts w:ascii="Arial" w:hAnsi="Arial"/>
        </w:rPr>
        <w:t xml:space="preserve">. This is a conservative estimate, </w:t>
      </w:r>
      <w:r w:rsidR="00B0445E" w:rsidRPr="00C56A58">
        <w:rPr>
          <w:rFonts w:ascii="Arial" w:hAnsi="Arial"/>
        </w:rPr>
        <w:t xml:space="preserve">as it excludes homes that we own but do not </w:t>
      </w:r>
      <w:r w:rsidR="006167B4" w:rsidRPr="00C56A58">
        <w:rPr>
          <w:rFonts w:ascii="Arial" w:hAnsi="Arial"/>
        </w:rPr>
        <w:t>manage</w:t>
      </w:r>
      <w:r w:rsidR="00B0445E" w:rsidRPr="00C56A58">
        <w:rPr>
          <w:rFonts w:ascii="Arial" w:hAnsi="Arial"/>
        </w:rPr>
        <w:t xml:space="preserve"> and is based on the Local Housing Allowance</w:t>
      </w:r>
      <w:r w:rsidR="006167B4" w:rsidRPr="00C56A58">
        <w:rPr>
          <w:rFonts w:ascii="Arial" w:hAnsi="Arial"/>
        </w:rPr>
        <w:t xml:space="preserve"> (LHA) rather than average rents; the LHA is </w:t>
      </w:r>
      <w:r w:rsidR="00B0445E" w:rsidRPr="00C56A58">
        <w:rPr>
          <w:rFonts w:ascii="Arial" w:hAnsi="Arial"/>
        </w:rPr>
        <w:t xml:space="preserve">the maximum amount of Housing Benefit that can be paid for a </w:t>
      </w:r>
      <w:r w:rsidR="004C3B5E" w:rsidRPr="00C56A58">
        <w:rPr>
          <w:rFonts w:ascii="Arial" w:hAnsi="Arial"/>
        </w:rPr>
        <w:t>home</w:t>
      </w:r>
      <w:r w:rsidR="00B0445E" w:rsidRPr="00C56A58">
        <w:rPr>
          <w:rFonts w:ascii="Arial" w:hAnsi="Arial"/>
        </w:rPr>
        <w:t xml:space="preserve"> of a particular size. </w:t>
      </w:r>
      <w:r w:rsidR="00DD4FBB" w:rsidRPr="00C56A58">
        <w:rPr>
          <w:rFonts w:ascii="Arial" w:hAnsi="Arial"/>
        </w:rPr>
        <w:t>So this one measure of the social return we provide as a result of the Government’s past investment of £</w:t>
      </w:r>
      <w:r w:rsidR="0039433A">
        <w:rPr>
          <w:rFonts w:ascii="Arial" w:hAnsi="Arial"/>
        </w:rPr>
        <w:t>2</w:t>
      </w:r>
      <w:r w:rsidR="00206666">
        <w:rPr>
          <w:rFonts w:ascii="Arial" w:hAnsi="Arial"/>
        </w:rPr>
        <w:t>13</w:t>
      </w:r>
      <w:r w:rsidR="00DD4FBB" w:rsidRPr="00C56A58">
        <w:rPr>
          <w:rFonts w:ascii="Arial" w:hAnsi="Arial"/>
        </w:rPr>
        <w:t xml:space="preserve">m of Social Housing Grant – a return of </w:t>
      </w:r>
      <w:r w:rsidR="0039433A">
        <w:rPr>
          <w:rFonts w:ascii="Arial" w:hAnsi="Arial"/>
        </w:rPr>
        <w:t>1</w:t>
      </w:r>
      <w:r w:rsidR="00206666">
        <w:rPr>
          <w:rFonts w:ascii="Arial" w:hAnsi="Arial"/>
        </w:rPr>
        <w:t>1.7</w:t>
      </w:r>
      <w:r w:rsidR="00DD4FBB" w:rsidRPr="00C56A58">
        <w:rPr>
          <w:rFonts w:ascii="Arial" w:hAnsi="Arial"/>
        </w:rPr>
        <w:t>% pa.</w:t>
      </w:r>
    </w:p>
    <w:p w:rsidR="0039433A" w:rsidRDefault="0039433A" w:rsidP="003F75E3">
      <w:pPr>
        <w:jc w:val="both"/>
        <w:rPr>
          <w:rFonts w:ascii="Arial" w:hAnsi="Arial"/>
        </w:rPr>
      </w:pPr>
    </w:p>
    <w:p w:rsidR="00DD4FBB" w:rsidRDefault="0039433A" w:rsidP="003F75E3">
      <w:pPr>
        <w:jc w:val="both"/>
        <w:rPr>
          <w:rFonts w:ascii="Arial" w:hAnsi="Arial"/>
        </w:rPr>
      </w:pPr>
      <w:r>
        <w:rPr>
          <w:rFonts w:ascii="Arial" w:hAnsi="Arial"/>
        </w:rPr>
        <w:t xml:space="preserve">4.6 The social return provided by our sub-market rents </w:t>
      </w:r>
      <w:r w:rsidR="00DD4FBB" w:rsidRPr="00C56A58">
        <w:rPr>
          <w:rFonts w:ascii="Arial" w:hAnsi="Arial"/>
        </w:rPr>
        <w:t>does not take account of the other social benefits accruing from our properties being in better maintained</w:t>
      </w:r>
      <w:r>
        <w:rPr>
          <w:rFonts w:ascii="Arial" w:hAnsi="Arial"/>
        </w:rPr>
        <w:t xml:space="preserve"> -</w:t>
      </w:r>
      <w:r w:rsidR="006167B4" w:rsidRPr="00C56A58">
        <w:rPr>
          <w:rFonts w:ascii="Arial" w:hAnsi="Arial"/>
        </w:rPr>
        <w:t xml:space="preserve"> the </w:t>
      </w:r>
      <w:hyperlink r:id="rId15" w:history="1">
        <w:r w:rsidR="006167B4" w:rsidRPr="00C56A58">
          <w:rPr>
            <w:rStyle w:val="Hyperlink"/>
            <w:rFonts w:ascii="Arial" w:hAnsi="Arial"/>
          </w:rPr>
          <w:t>2015 English House Condition Survey</w:t>
        </w:r>
      </w:hyperlink>
      <w:r w:rsidR="006167B4" w:rsidRPr="00C56A58">
        <w:rPr>
          <w:rFonts w:ascii="Arial" w:hAnsi="Arial"/>
        </w:rPr>
        <w:t xml:space="preserve"> found that 28.6% of private re</w:t>
      </w:r>
      <w:r>
        <w:rPr>
          <w:rFonts w:ascii="Arial" w:hAnsi="Arial"/>
        </w:rPr>
        <w:t>n</w:t>
      </w:r>
      <w:r w:rsidR="006167B4" w:rsidRPr="00C56A58">
        <w:rPr>
          <w:rFonts w:ascii="Arial" w:hAnsi="Arial"/>
        </w:rPr>
        <w:t xml:space="preserve">ted homes failed the Decent Homes </w:t>
      </w:r>
      <w:r>
        <w:rPr>
          <w:rFonts w:ascii="Arial" w:hAnsi="Arial"/>
        </w:rPr>
        <w:t>s</w:t>
      </w:r>
      <w:r w:rsidR="006167B4" w:rsidRPr="00C56A58">
        <w:rPr>
          <w:rFonts w:ascii="Arial" w:hAnsi="Arial"/>
        </w:rPr>
        <w:t>tandard, compared with 12.8% for housing associations</w:t>
      </w:r>
      <w:r>
        <w:rPr>
          <w:rFonts w:ascii="Arial" w:hAnsi="Arial"/>
        </w:rPr>
        <w:t xml:space="preserve">. </w:t>
      </w:r>
      <w:r w:rsidR="006167B4" w:rsidRPr="00C56A58">
        <w:rPr>
          <w:rFonts w:ascii="Arial" w:hAnsi="Arial"/>
        </w:rPr>
        <w:t xml:space="preserve"> Hexagon had no homes failing the Standard at the end of 2015/16. There is also the benefit </w:t>
      </w:r>
      <w:r w:rsidR="009315B4" w:rsidRPr="00C56A58">
        <w:rPr>
          <w:rFonts w:ascii="Arial" w:hAnsi="Arial"/>
        </w:rPr>
        <w:t>of more</w:t>
      </w:r>
      <w:r w:rsidR="00DD4FBB" w:rsidRPr="00C56A58">
        <w:rPr>
          <w:rFonts w:ascii="Arial" w:hAnsi="Arial"/>
        </w:rPr>
        <w:t xml:space="preserve"> energy</w:t>
      </w:r>
      <w:r>
        <w:rPr>
          <w:rFonts w:ascii="Arial" w:hAnsi="Arial"/>
        </w:rPr>
        <w:t>-efficient</w:t>
      </w:r>
      <w:r w:rsidR="00DD4FBB" w:rsidRPr="00C56A58">
        <w:rPr>
          <w:rFonts w:ascii="Arial" w:hAnsi="Arial"/>
        </w:rPr>
        <w:t xml:space="preserve"> </w:t>
      </w:r>
      <w:r w:rsidR="006167B4" w:rsidRPr="00C56A58">
        <w:rPr>
          <w:rFonts w:ascii="Arial" w:hAnsi="Arial"/>
        </w:rPr>
        <w:t>homes</w:t>
      </w:r>
      <w:r w:rsidR="00DD4FBB" w:rsidRPr="00C56A58">
        <w:rPr>
          <w:rFonts w:ascii="Arial" w:hAnsi="Arial"/>
        </w:rPr>
        <w:t xml:space="preserve"> </w:t>
      </w:r>
      <w:r w:rsidR="00444CBE" w:rsidRPr="00C56A58">
        <w:rPr>
          <w:rFonts w:ascii="Arial" w:hAnsi="Arial"/>
        </w:rPr>
        <w:t xml:space="preserve">– the </w:t>
      </w:r>
      <w:hyperlink r:id="rId16" w:history="1">
        <w:r w:rsidR="00444CBE" w:rsidRPr="00C56A58">
          <w:rPr>
            <w:rStyle w:val="Hyperlink"/>
            <w:rFonts w:ascii="Arial" w:hAnsi="Arial"/>
          </w:rPr>
          <w:t>English House Condition Survey found in 2015</w:t>
        </w:r>
      </w:hyperlink>
      <w:r w:rsidR="00444CBE" w:rsidRPr="00C56A58">
        <w:rPr>
          <w:rFonts w:ascii="Arial" w:hAnsi="Arial"/>
        </w:rPr>
        <w:t xml:space="preserve"> that the private rented sector had an average SAP rating of 58.4, compared with a housing association average of 66.2 and a Hexagon average of 70.2.</w:t>
      </w:r>
    </w:p>
    <w:p w:rsidR="00DD4FBB" w:rsidRDefault="00DD4FBB" w:rsidP="003F75E3">
      <w:pPr>
        <w:jc w:val="both"/>
        <w:rPr>
          <w:rFonts w:ascii="Arial" w:hAnsi="Arial"/>
        </w:rPr>
      </w:pPr>
    </w:p>
    <w:p w:rsidR="003F75E3" w:rsidRPr="00261824" w:rsidRDefault="0026308F" w:rsidP="003F75E3">
      <w:pPr>
        <w:jc w:val="both"/>
        <w:rPr>
          <w:rFonts w:ascii="Arial" w:hAnsi="Arial"/>
        </w:rPr>
      </w:pPr>
      <w:r>
        <w:rPr>
          <w:rFonts w:ascii="Arial" w:hAnsi="Arial"/>
        </w:rPr>
        <w:lastRenderedPageBreak/>
        <w:t xml:space="preserve">4.6 </w:t>
      </w:r>
      <w:r w:rsidR="00A27A05">
        <w:rPr>
          <w:rFonts w:ascii="Arial" w:hAnsi="Arial"/>
        </w:rPr>
        <w:t>The</w:t>
      </w:r>
      <w:r w:rsidR="003F75E3">
        <w:rPr>
          <w:rFonts w:ascii="Arial" w:hAnsi="Arial"/>
        </w:rPr>
        <w:t xml:space="preserve"> table </w:t>
      </w:r>
      <w:r w:rsidR="00C56A58">
        <w:rPr>
          <w:rFonts w:ascii="Arial" w:hAnsi="Arial"/>
        </w:rPr>
        <w:t xml:space="preserve">below </w:t>
      </w:r>
      <w:r w:rsidR="00DD4FBB">
        <w:rPr>
          <w:rFonts w:ascii="Arial" w:hAnsi="Arial"/>
        </w:rPr>
        <w:t>provides some other measure</w:t>
      </w:r>
      <w:r w:rsidR="0039433A">
        <w:rPr>
          <w:rFonts w:ascii="Arial" w:hAnsi="Arial"/>
        </w:rPr>
        <w:t>s</w:t>
      </w:r>
      <w:r w:rsidR="00DD4FBB">
        <w:rPr>
          <w:rFonts w:ascii="Arial" w:hAnsi="Arial"/>
        </w:rPr>
        <w:t xml:space="preserve"> of</w:t>
      </w:r>
      <w:r w:rsidR="003F75E3">
        <w:rPr>
          <w:rFonts w:ascii="Arial" w:hAnsi="Arial"/>
        </w:rPr>
        <w:t xml:space="preserve"> the social return on our assets:</w:t>
      </w:r>
    </w:p>
    <w:p w:rsidR="003F75E3" w:rsidRDefault="003F75E3" w:rsidP="003F75E3">
      <w:pPr>
        <w:jc w:val="both"/>
        <w:rPr>
          <w:rFonts w:ascii="Arial" w:hAnsi="Arial"/>
          <w:sz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612"/>
        <w:gridCol w:w="10639"/>
      </w:tblGrid>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Type of property asset</w:t>
            </w:r>
          </w:p>
        </w:tc>
        <w:tc>
          <w:tcPr>
            <w:tcW w:w="1612" w:type="dxa"/>
            <w:shd w:val="clear" w:color="auto" w:fill="auto"/>
          </w:tcPr>
          <w:p w:rsidR="00C56A58" w:rsidRPr="00D46AD2" w:rsidRDefault="00C56A58" w:rsidP="00F5056E">
            <w:pPr>
              <w:jc w:val="right"/>
              <w:rPr>
                <w:rFonts w:ascii="Arial" w:hAnsi="Arial"/>
              </w:rPr>
            </w:pPr>
            <w:r w:rsidRPr="00D46AD2">
              <w:rPr>
                <w:rFonts w:ascii="Arial" w:hAnsi="Arial"/>
              </w:rPr>
              <w:t>Grant</w:t>
            </w:r>
          </w:p>
          <w:p w:rsidR="00C56A58" w:rsidRPr="00D46AD2" w:rsidRDefault="00C56A58" w:rsidP="00F5056E">
            <w:pPr>
              <w:jc w:val="right"/>
              <w:rPr>
                <w:rFonts w:ascii="Arial" w:hAnsi="Arial"/>
              </w:rPr>
            </w:pPr>
            <w:r w:rsidRPr="00D46AD2">
              <w:rPr>
                <w:rFonts w:ascii="Arial" w:hAnsi="Arial"/>
              </w:rPr>
              <w:t>£</w:t>
            </w:r>
            <w:r>
              <w:rPr>
                <w:rFonts w:ascii="Arial" w:hAnsi="Arial"/>
              </w:rPr>
              <w:t>m</w:t>
            </w:r>
            <w:r w:rsidRPr="00D46AD2">
              <w:rPr>
                <w:rFonts w:ascii="Arial" w:hAnsi="Arial"/>
              </w:rPr>
              <w:t xml:space="preserve"> </w:t>
            </w:r>
          </w:p>
        </w:tc>
        <w:tc>
          <w:tcPr>
            <w:tcW w:w="10639" w:type="dxa"/>
            <w:shd w:val="clear" w:color="auto" w:fill="auto"/>
          </w:tcPr>
          <w:p w:rsidR="00C56A58" w:rsidRPr="00D46AD2" w:rsidRDefault="00C56A58" w:rsidP="00F5056E">
            <w:pPr>
              <w:jc w:val="both"/>
              <w:rPr>
                <w:rFonts w:ascii="Arial" w:hAnsi="Arial"/>
              </w:rPr>
            </w:pPr>
            <w:r w:rsidRPr="00D46AD2">
              <w:rPr>
                <w:rFonts w:ascii="Arial" w:hAnsi="Arial"/>
              </w:rPr>
              <w:t>Social return</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General needs</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195</w:t>
            </w:r>
            <w:r>
              <w:rPr>
                <w:rFonts w:ascii="Arial" w:hAnsi="Arial"/>
              </w:rPr>
              <w:t>.3</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2809 households in properties at or under target rents</w:t>
            </w:r>
          </w:p>
          <w:p w:rsidR="00C56A58" w:rsidRPr="00AB7648" w:rsidRDefault="00C56A58" w:rsidP="00F5056E">
            <w:pPr>
              <w:jc w:val="both"/>
              <w:rPr>
                <w:rFonts w:ascii="Arial" w:hAnsi="Arial"/>
              </w:rPr>
            </w:pPr>
            <w:r w:rsidRPr="00AB7648">
              <w:rPr>
                <w:rFonts w:ascii="Arial" w:hAnsi="Arial"/>
              </w:rPr>
              <w:t>355 households in properties at a discount of at least 20% to market rent</w:t>
            </w:r>
          </w:p>
          <w:p w:rsidR="00C56A58" w:rsidRPr="00AB7648" w:rsidRDefault="00C56A58" w:rsidP="00F5056E">
            <w:pPr>
              <w:jc w:val="both"/>
              <w:rPr>
                <w:rFonts w:ascii="Arial" w:hAnsi="Arial"/>
              </w:rPr>
            </w:pPr>
            <w:r w:rsidRPr="00AB7648">
              <w:rPr>
                <w:rFonts w:ascii="Arial" w:hAnsi="Arial"/>
              </w:rPr>
              <w:t>143 households on local authority waiting lists housed in 15/16</w:t>
            </w:r>
          </w:p>
          <w:p w:rsidR="00C56A58" w:rsidRPr="00A24565" w:rsidRDefault="00C56A58" w:rsidP="00F5056E">
            <w:pPr>
              <w:jc w:val="both"/>
              <w:rPr>
                <w:rFonts w:ascii="Arial" w:hAnsi="Arial"/>
                <w:highlight w:val="yellow"/>
              </w:rPr>
            </w:pPr>
            <w:r w:rsidRPr="00AB7648">
              <w:rPr>
                <w:rFonts w:ascii="Arial" w:hAnsi="Arial"/>
              </w:rPr>
              <w:t xml:space="preserve">24 existing tenant households moved to more appropriate accommodation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Shared ownership</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11</w:t>
            </w:r>
            <w:r>
              <w:rPr>
                <w:rFonts w:ascii="Arial" w:hAnsi="Arial"/>
              </w:rPr>
              <w:t>.3</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220 households in homes that they have part-purchased.</w:t>
            </w:r>
          </w:p>
          <w:p w:rsidR="00C56A58" w:rsidRPr="00AB7648" w:rsidRDefault="00C56A58" w:rsidP="00F5056E">
            <w:pPr>
              <w:jc w:val="both"/>
              <w:rPr>
                <w:rFonts w:ascii="Arial" w:hAnsi="Arial"/>
              </w:rPr>
            </w:pPr>
            <w:r w:rsidRPr="00AB7648">
              <w:rPr>
                <w:rFonts w:ascii="Arial" w:hAnsi="Arial"/>
              </w:rPr>
              <w:t>13 households in homes at intermediate rent that they are saving for a deposit to buy.</w:t>
            </w:r>
          </w:p>
          <w:p w:rsidR="00C56A58" w:rsidRPr="00A24565" w:rsidRDefault="00C56A58" w:rsidP="00F5056E">
            <w:pPr>
              <w:jc w:val="both"/>
              <w:rPr>
                <w:rFonts w:ascii="Arial" w:hAnsi="Arial"/>
                <w:highlight w:val="yellow"/>
              </w:rPr>
            </w:pPr>
            <w:r w:rsidRPr="00AB7648">
              <w:rPr>
                <w:rFonts w:ascii="Arial" w:hAnsi="Arial"/>
              </w:rPr>
              <w:t xml:space="preserve">9 households have been able to buy the remaining share of their home in 15/16.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Directly managed supported housing</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w:t>
            </w:r>
            <w:r>
              <w:rPr>
                <w:rFonts w:ascii="Arial" w:hAnsi="Arial"/>
              </w:rPr>
              <w:t>1.0</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197 households in properties at target rents</w:t>
            </w:r>
          </w:p>
          <w:p w:rsidR="00C56A58" w:rsidRDefault="00C56A58" w:rsidP="00F5056E">
            <w:pPr>
              <w:jc w:val="both"/>
              <w:rPr>
                <w:rFonts w:ascii="Arial" w:hAnsi="Arial"/>
              </w:rPr>
            </w:pPr>
            <w:r w:rsidRPr="00AB7648">
              <w:rPr>
                <w:rFonts w:ascii="Arial" w:hAnsi="Arial"/>
              </w:rPr>
              <w:t xml:space="preserve">13 </w:t>
            </w:r>
            <w:r w:rsidRPr="00BB05FC">
              <w:rPr>
                <w:rFonts w:ascii="Arial" w:hAnsi="Arial"/>
              </w:rPr>
              <w:t>households</w:t>
            </w:r>
            <w:r w:rsidRPr="005F6B8B">
              <w:rPr>
                <w:rFonts w:ascii="Arial" w:hAnsi="Arial"/>
              </w:rPr>
              <w:t xml:space="preserve"> in properties at a discount of at least 20% to market rent</w:t>
            </w:r>
          </w:p>
          <w:p w:rsidR="00C56A58" w:rsidRPr="00AB7648" w:rsidRDefault="00C56A58" w:rsidP="00F5056E">
            <w:pPr>
              <w:jc w:val="both"/>
              <w:rPr>
                <w:rFonts w:ascii="Arial" w:hAnsi="Arial"/>
              </w:rPr>
            </w:pPr>
            <w:r w:rsidRPr="00AB7648">
              <w:rPr>
                <w:rFonts w:ascii="Arial" w:hAnsi="Arial"/>
              </w:rPr>
              <w:t>35 people housed from inappropriate accommodation (such as hostels, hospitals and very short-stay accommodation) during 15/16</w:t>
            </w:r>
          </w:p>
          <w:p w:rsidR="00C56A58" w:rsidRPr="00A24565" w:rsidRDefault="00C56A58" w:rsidP="00F5056E">
            <w:pPr>
              <w:jc w:val="both"/>
              <w:rPr>
                <w:rFonts w:ascii="Arial" w:hAnsi="Arial"/>
                <w:highlight w:val="yellow"/>
              </w:rPr>
            </w:pPr>
            <w:r w:rsidRPr="00AB7648">
              <w:rPr>
                <w:rFonts w:ascii="Arial" w:hAnsi="Arial"/>
              </w:rPr>
              <w:t xml:space="preserve">5 existing tenant households moved to more appropriate </w:t>
            </w:r>
            <w:r w:rsidRPr="00BB05FC">
              <w:rPr>
                <w:rFonts w:ascii="Arial" w:hAnsi="Arial"/>
              </w:rPr>
              <w:t>accommodation</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Co-op managed general needs</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17</w:t>
            </w:r>
            <w:r>
              <w:rPr>
                <w:rFonts w:ascii="Arial" w:hAnsi="Arial"/>
              </w:rPr>
              <w:t>.5</w:t>
            </w:r>
            <w:r w:rsidRPr="00AB7648">
              <w:rPr>
                <w:rFonts w:ascii="Arial" w:hAnsi="Arial"/>
              </w:rPr>
              <w:t xml:space="preserve"> </w:t>
            </w:r>
          </w:p>
        </w:tc>
        <w:tc>
          <w:tcPr>
            <w:tcW w:w="10639" w:type="dxa"/>
            <w:shd w:val="clear" w:color="auto" w:fill="auto"/>
          </w:tcPr>
          <w:p w:rsidR="00C56A58" w:rsidRPr="00A24565" w:rsidRDefault="00C56A58" w:rsidP="00F5056E">
            <w:pPr>
              <w:jc w:val="both"/>
              <w:rPr>
                <w:rFonts w:ascii="Arial" w:hAnsi="Arial"/>
                <w:highlight w:val="yellow"/>
              </w:rPr>
            </w:pPr>
            <w:r w:rsidRPr="00AB7648">
              <w:rPr>
                <w:rFonts w:ascii="Arial" w:hAnsi="Arial"/>
              </w:rPr>
              <w:t xml:space="preserve">294 households in properties at or under target rents being managed by tenant co-operatives.  </w:t>
            </w:r>
          </w:p>
        </w:tc>
      </w:tr>
      <w:tr w:rsidR="00C56A58" w:rsidRPr="00D46AD2" w:rsidTr="00EC3479">
        <w:tc>
          <w:tcPr>
            <w:tcW w:w="1607" w:type="dxa"/>
            <w:shd w:val="clear" w:color="auto" w:fill="auto"/>
          </w:tcPr>
          <w:p w:rsidR="00C56A58" w:rsidRPr="00D46AD2" w:rsidRDefault="00C56A58" w:rsidP="00F5056E">
            <w:pPr>
              <w:jc w:val="both"/>
              <w:rPr>
                <w:rFonts w:ascii="Arial" w:hAnsi="Arial"/>
              </w:rPr>
            </w:pPr>
            <w:r w:rsidRPr="00D46AD2">
              <w:rPr>
                <w:rFonts w:ascii="Arial" w:hAnsi="Arial"/>
              </w:rPr>
              <w:t>Agency managed supported housing</w:t>
            </w:r>
          </w:p>
        </w:tc>
        <w:tc>
          <w:tcPr>
            <w:tcW w:w="1612" w:type="dxa"/>
            <w:shd w:val="clear" w:color="auto" w:fill="auto"/>
          </w:tcPr>
          <w:p w:rsidR="00C56A58" w:rsidRPr="00AB7648" w:rsidRDefault="00C56A58" w:rsidP="00F5056E">
            <w:pPr>
              <w:jc w:val="right"/>
              <w:rPr>
                <w:rFonts w:ascii="Arial" w:hAnsi="Arial"/>
              </w:rPr>
            </w:pPr>
            <w:r w:rsidRPr="00AB7648">
              <w:rPr>
                <w:rFonts w:ascii="Arial" w:hAnsi="Arial"/>
              </w:rPr>
              <w:t xml:space="preserve"> 4</w:t>
            </w:r>
            <w:r>
              <w:rPr>
                <w:rFonts w:ascii="Arial" w:hAnsi="Arial"/>
              </w:rPr>
              <w:t>.9</w:t>
            </w:r>
            <w:r w:rsidRPr="00AB7648">
              <w:rPr>
                <w:rFonts w:ascii="Arial" w:hAnsi="Arial"/>
              </w:rPr>
              <w:t xml:space="preserve"> </w:t>
            </w:r>
          </w:p>
        </w:tc>
        <w:tc>
          <w:tcPr>
            <w:tcW w:w="10639" w:type="dxa"/>
            <w:shd w:val="clear" w:color="auto" w:fill="auto"/>
          </w:tcPr>
          <w:p w:rsidR="00C56A58" w:rsidRPr="00AB7648" w:rsidRDefault="00C56A58" w:rsidP="00F5056E">
            <w:pPr>
              <w:jc w:val="both"/>
              <w:rPr>
                <w:rFonts w:ascii="Arial" w:hAnsi="Arial"/>
              </w:rPr>
            </w:pPr>
            <w:r w:rsidRPr="00AB7648">
              <w:rPr>
                <w:rFonts w:ascii="Arial" w:hAnsi="Arial"/>
              </w:rPr>
              <w:t xml:space="preserve">110 households in properties at target rents or funded by commissioning authorities </w:t>
            </w:r>
          </w:p>
          <w:p w:rsidR="00C56A58" w:rsidRPr="00AB7648" w:rsidRDefault="00C56A58" w:rsidP="00F5056E">
            <w:pPr>
              <w:jc w:val="both"/>
              <w:rPr>
                <w:rFonts w:ascii="Arial" w:hAnsi="Arial"/>
              </w:rPr>
            </w:pPr>
            <w:r w:rsidRPr="00AB7648">
              <w:rPr>
                <w:rFonts w:ascii="Arial" w:hAnsi="Arial"/>
              </w:rPr>
              <w:t xml:space="preserve">Of these 42 are </w:t>
            </w:r>
            <w:r>
              <w:rPr>
                <w:rFonts w:ascii="Arial" w:hAnsi="Arial"/>
              </w:rPr>
              <w:t xml:space="preserve">in </w:t>
            </w:r>
            <w:r w:rsidRPr="00AB7648">
              <w:rPr>
                <w:rFonts w:ascii="Arial" w:hAnsi="Arial"/>
              </w:rPr>
              <w:t>a scheme for single homeless people with additional support needs, 26 in a registered care home for people with alcohol, mental health and homelessness issues and 9 in a refuge for women who are in danger of domestic violence.</w:t>
            </w:r>
          </w:p>
          <w:p w:rsidR="00C56A58" w:rsidRPr="00A24565" w:rsidRDefault="00C56A58" w:rsidP="00F5056E">
            <w:pPr>
              <w:jc w:val="both"/>
              <w:rPr>
                <w:rFonts w:ascii="Arial" w:hAnsi="Arial"/>
                <w:highlight w:val="yellow"/>
              </w:rPr>
            </w:pPr>
          </w:p>
        </w:tc>
      </w:tr>
    </w:tbl>
    <w:p w:rsidR="003F75E3" w:rsidRDefault="003F75E3" w:rsidP="003F75E3">
      <w:pPr>
        <w:jc w:val="both"/>
        <w:rPr>
          <w:rFonts w:ascii="Arial" w:hAnsi="Arial"/>
          <w:sz w:val="28"/>
        </w:rPr>
      </w:pPr>
    </w:p>
    <w:p w:rsidR="003F75E3" w:rsidRPr="00E1346E" w:rsidRDefault="003F75E3" w:rsidP="003F75E3">
      <w:pPr>
        <w:jc w:val="both"/>
        <w:rPr>
          <w:rFonts w:ascii="Arial" w:hAnsi="Arial"/>
          <w:b/>
        </w:rPr>
      </w:pPr>
      <w:r w:rsidRPr="00E1346E">
        <w:rPr>
          <w:rFonts w:ascii="Arial" w:hAnsi="Arial"/>
          <w:b/>
        </w:rPr>
        <w:t>Disposal of properties that are uneconomic to repair</w:t>
      </w:r>
    </w:p>
    <w:p w:rsidR="003F75E3" w:rsidRPr="00DA50D8" w:rsidRDefault="003F75E3" w:rsidP="003F75E3">
      <w:pPr>
        <w:jc w:val="both"/>
        <w:rPr>
          <w:rFonts w:ascii="Arial" w:hAnsi="Arial"/>
          <w:sz w:val="28"/>
        </w:rPr>
      </w:pPr>
    </w:p>
    <w:p w:rsidR="003F75E3" w:rsidRPr="00EC3479" w:rsidRDefault="0026308F" w:rsidP="003F75E3">
      <w:pPr>
        <w:rPr>
          <w:rFonts w:ascii="Arial" w:hAnsi="Arial"/>
        </w:rPr>
      </w:pPr>
      <w:r w:rsidRPr="001A07C4">
        <w:rPr>
          <w:rFonts w:ascii="Arial" w:hAnsi="Arial"/>
        </w:rPr>
        <w:t>4.7</w:t>
      </w:r>
      <w:r w:rsidR="003F75E3" w:rsidRPr="001A07C4">
        <w:rPr>
          <w:rFonts w:ascii="Arial" w:hAnsi="Arial"/>
        </w:rPr>
        <w:t xml:space="preserve">  At the centre of Hexagon’s approach to ensuring that we make an appropriate return on our assets is a review which has identified the homes that are the most expensive maintain both in terms of responsive costs and longer-term component replacement.  This has highlighted about 15% of our homes and when empty these units receive an options appraisal to determine whether to either retain or sell </w:t>
      </w:r>
      <w:r w:rsidR="003F75E3" w:rsidRPr="001A07C4">
        <w:rPr>
          <w:rFonts w:ascii="Arial" w:hAnsi="Arial"/>
        </w:rPr>
        <w:lastRenderedPageBreak/>
        <w:t>and reinvest the receipts in new homes.</w:t>
      </w:r>
      <w:r w:rsidR="001A07C4">
        <w:rPr>
          <w:rFonts w:ascii="Arial" w:hAnsi="Arial"/>
        </w:rPr>
        <w:t xml:space="preserve"> As the review is now over two years old, we plan to implement some software which will enable the data to be kept up to date as stock improvement work is completed. </w:t>
      </w:r>
    </w:p>
    <w:p w:rsidR="001A07C4" w:rsidRDefault="001A07C4" w:rsidP="003F75E3">
      <w:pPr>
        <w:rPr>
          <w:rFonts w:ascii="Arial" w:hAnsi="Arial"/>
        </w:rPr>
      </w:pPr>
    </w:p>
    <w:p w:rsidR="003F75E3" w:rsidRPr="00EC3479" w:rsidRDefault="003F75E3" w:rsidP="003F75E3">
      <w:pPr>
        <w:rPr>
          <w:rFonts w:ascii="Arial" w:hAnsi="Arial"/>
        </w:rPr>
      </w:pPr>
      <w:r w:rsidRPr="00EC3479">
        <w:rPr>
          <w:rFonts w:ascii="Arial" w:hAnsi="Arial"/>
        </w:rPr>
        <w:t>The options appraisal effectively asks a number of questions:</w:t>
      </w:r>
    </w:p>
    <w:p w:rsidR="003F75E3" w:rsidRPr="00EC3479" w:rsidRDefault="003F75E3" w:rsidP="003F75E3">
      <w:pPr>
        <w:numPr>
          <w:ilvl w:val="0"/>
          <w:numId w:val="38"/>
        </w:numPr>
        <w:jc w:val="both"/>
        <w:rPr>
          <w:rFonts w:ascii="Arial" w:hAnsi="Arial"/>
        </w:rPr>
      </w:pPr>
      <w:r w:rsidRPr="00EC3479">
        <w:rPr>
          <w:rFonts w:ascii="Arial" w:hAnsi="Arial"/>
        </w:rPr>
        <w:t>How much the home is worth now?</w:t>
      </w:r>
    </w:p>
    <w:p w:rsidR="003F75E3" w:rsidRPr="00EC3479" w:rsidRDefault="003F75E3" w:rsidP="003F75E3">
      <w:pPr>
        <w:numPr>
          <w:ilvl w:val="0"/>
          <w:numId w:val="38"/>
        </w:numPr>
        <w:jc w:val="both"/>
        <w:rPr>
          <w:rFonts w:ascii="Arial" w:hAnsi="Arial"/>
        </w:rPr>
      </w:pPr>
      <w:r w:rsidRPr="00EC3479">
        <w:rPr>
          <w:rFonts w:ascii="Arial" w:hAnsi="Arial"/>
        </w:rPr>
        <w:t>How much will the work (including energy efficiency improvements) cost?</w:t>
      </w:r>
    </w:p>
    <w:p w:rsidR="003F75E3" w:rsidRPr="00EC3479" w:rsidRDefault="003F75E3" w:rsidP="003F75E3">
      <w:pPr>
        <w:numPr>
          <w:ilvl w:val="0"/>
          <w:numId w:val="38"/>
        </w:numPr>
        <w:jc w:val="both"/>
        <w:rPr>
          <w:rFonts w:ascii="Arial" w:hAnsi="Arial"/>
        </w:rPr>
      </w:pPr>
      <w:r w:rsidRPr="00EC3479">
        <w:rPr>
          <w:rFonts w:ascii="Arial" w:hAnsi="Arial"/>
        </w:rPr>
        <w:t>How much the property will be worth after the work?</w:t>
      </w:r>
    </w:p>
    <w:p w:rsidR="000351B0" w:rsidRPr="00EC3479" w:rsidRDefault="000351B0" w:rsidP="003F75E3">
      <w:pPr>
        <w:numPr>
          <w:ilvl w:val="0"/>
          <w:numId w:val="38"/>
        </w:numPr>
        <w:jc w:val="both"/>
        <w:rPr>
          <w:rFonts w:ascii="Arial" w:hAnsi="Arial"/>
        </w:rPr>
      </w:pPr>
      <w:r w:rsidRPr="00EC3479">
        <w:rPr>
          <w:rFonts w:ascii="Arial" w:hAnsi="Arial"/>
        </w:rPr>
        <w:t>The ‘</w:t>
      </w:r>
      <w:r w:rsidR="009315B4" w:rsidRPr="00EC3479">
        <w:rPr>
          <w:rFonts w:ascii="Arial" w:hAnsi="Arial"/>
        </w:rPr>
        <w:t>letability’</w:t>
      </w:r>
      <w:r w:rsidR="009315B4">
        <w:rPr>
          <w:rFonts w:ascii="Arial" w:hAnsi="Arial"/>
        </w:rPr>
        <w:t xml:space="preserve"> </w:t>
      </w:r>
      <w:r w:rsidR="009315B4" w:rsidRPr="00EC3479">
        <w:rPr>
          <w:rFonts w:ascii="Arial" w:hAnsi="Arial"/>
        </w:rPr>
        <w:t>of</w:t>
      </w:r>
      <w:r w:rsidRPr="00EC3479">
        <w:rPr>
          <w:rFonts w:ascii="Arial" w:hAnsi="Arial"/>
        </w:rPr>
        <w:t xml:space="preserve"> the home after the work;</w:t>
      </w:r>
    </w:p>
    <w:p w:rsidR="001A07C4" w:rsidRPr="00EC3479" w:rsidRDefault="003F75E3" w:rsidP="000351B0">
      <w:pPr>
        <w:numPr>
          <w:ilvl w:val="0"/>
          <w:numId w:val="38"/>
        </w:numPr>
        <w:jc w:val="both"/>
        <w:rPr>
          <w:rFonts w:ascii="Arial" w:hAnsi="Arial"/>
        </w:rPr>
      </w:pPr>
      <w:r w:rsidRPr="00EC3479">
        <w:rPr>
          <w:rFonts w:ascii="Arial" w:hAnsi="Arial"/>
        </w:rPr>
        <w:t>Would replacement, as part of our Development programme be a better option?  This includes looking at the Net Present Value of both options.</w:t>
      </w:r>
    </w:p>
    <w:p w:rsidR="003F75E3" w:rsidRPr="00DC48A1" w:rsidRDefault="0026308F" w:rsidP="003F75E3">
      <w:pPr>
        <w:spacing w:before="240"/>
        <w:rPr>
          <w:rFonts w:ascii="Arial" w:hAnsi="Arial"/>
        </w:rPr>
      </w:pPr>
      <w:r w:rsidRPr="001A07C4">
        <w:rPr>
          <w:rFonts w:ascii="Arial" w:hAnsi="Arial"/>
        </w:rPr>
        <w:t>4.8</w:t>
      </w:r>
      <w:r w:rsidR="003F75E3" w:rsidRPr="001A07C4">
        <w:rPr>
          <w:rFonts w:ascii="Arial" w:hAnsi="Arial"/>
        </w:rPr>
        <w:t xml:space="preserve"> In the three and a half years to March 201</w:t>
      </w:r>
      <w:r w:rsidR="001A1F54" w:rsidRPr="00EC3479">
        <w:rPr>
          <w:rFonts w:ascii="Arial" w:hAnsi="Arial"/>
        </w:rPr>
        <w:t>6</w:t>
      </w:r>
      <w:r w:rsidR="003F75E3" w:rsidRPr="00EC3479">
        <w:rPr>
          <w:rFonts w:ascii="Arial" w:hAnsi="Arial"/>
        </w:rPr>
        <w:t xml:space="preserve">,  </w:t>
      </w:r>
      <w:r w:rsidR="001A1F54" w:rsidRPr="00EC3479">
        <w:rPr>
          <w:rFonts w:ascii="Arial" w:hAnsi="Arial"/>
        </w:rPr>
        <w:t>76</w:t>
      </w:r>
      <w:r w:rsidR="003F75E3" w:rsidRPr="00EC3479">
        <w:rPr>
          <w:rFonts w:ascii="Arial" w:hAnsi="Arial"/>
        </w:rPr>
        <w:t xml:space="preserve"> homes have been reviewed as part of this process – with </w:t>
      </w:r>
      <w:r w:rsidR="000351B0" w:rsidRPr="00EC3479">
        <w:rPr>
          <w:rFonts w:ascii="Arial" w:hAnsi="Arial"/>
        </w:rPr>
        <w:t>3</w:t>
      </w:r>
      <w:r w:rsidR="003F75E3" w:rsidRPr="00EC3479">
        <w:rPr>
          <w:rFonts w:ascii="Arial" w:hAnsi="Arial"/>
        </w:rPr>
        <w:t xml:space="preserve">2 having been approved for sale with the remaining </w:t>
      </w:r>
      <w:r w:rsidR="000351B0" w:rsidRPr="00EC3479">
        <w:rPr>
          <w:rFonts w:ascii="Arial" w:hAnsi="Arial"/>
        </w:rPr>
        <w:t xml:space="preserve">44 </w:t>
      </w:r>
      <w:r w:rsidR="003F75E3" w:rsidRPr="00EC3479">
        <w:rPr>
          <w:rFonts w:ascii="Arial" w:hAnsi="Arial"/>
        </w:rPr>
        <w:t>(</w:t>
      </w:r>
      <w:r w:rsidR="000351B0" w:rsidRPr="00EC3479">
        <w:rPr>
          <w:rFonts w:ascii="Arial" w:hAnsi="Arial"/>
        </w:rPr>
        <w:t>58</w:t>
      </w:r>
      <w:r w:rsidR="003F75E3" w:rsidRPr="00EC3479">
        <w:rPr>
          <w:rFonts w:ascii="Arial" w:hAnsi="Arial"/>
        </w:rPr>
        <w:t xml:space="preserve">%) being brought up to current standards then re-let. </w:t>
      </w:r>
      <w:r w:rsidR="000351B0" w:rsidRPr="001A07C4">
        <w:rPr>
          <w:rFonts w:ascii="Arial" w:hAnsi="Arial"/>
        </w:rPr>
        <w:t xml:space="preserve">We have refined the process further as a result of a review we undertook during 2015/16, </w:t>
      </w:r>
      <w:r w:rsidR="001A07C4">
        <w:rPr>
          <w:rFonts w:ascii="Arial" w:hAnsi="Arial"/>
        </w:rPr>
        <w:t>which led to the decision to implement new specialist software during 16/17.</w:t>
      </w:r>
    </w:p>
    <w:p w:rsidR="003F75E3" w:rsidRDefault="003F75E3" w:rsidP="008E7419">
      <w:pPr>
        <w:ind w:left="720"/>
        <w:jc w:val="both"/>
        <w:rPr>
          <w:rFonts w:ascii="Arial" w:hAnsi="Arial"/>
          <w:b/>
          <w:sz w:val="28"/>
        </w:rPr>
      </w:pPr>
    </w:p>
    <w:p w:rsidR="00E1346E" w:rsidRDefault="00E1346E" w:rsidP="00E1346E">
      <w:pPr>
        <w:numPr>
          <w:ilvl w:val="0"/>
          <w:numId w:val="39"/>
        </w:numPr>
        <w:jc w:val="both"/>
        <w:rPr>
          <w:rFonts w:ascii="Arial" w:hAnsi="Arial"/>
          <w:b/>
          <w:sz w:val="28"/>
        </w:rPr>
      </w:pPr>
      <w:r>
        <w:rPr>
          <w:rFonts w:ascii="Arial" w:hAnsi="Arial"/>
          <w:b/>
          <w:sz w:val="28"/>
        </w:rPr>
        <w:t>Value for money gains that have been made</w:t>
      </w:r>
    </w:p>
    <w:p w:rsidR="00E1346E" w:rsidRDefault="00E1346E" w:rsidP="00983925">
      <w:pPr>
        <w:jc w:val="both"/>
        <w:rPr>
          <w:rFonts w:ascii="Arial" w:hAnsi="Arial"/>
          <w:b/>
        </w:rPr>
      </w:pPr>
    </w:p>
    <w:p w:rsidR="00E1346E" w:rsidRDefault="00E1346E" w:rsidP="00983925">
      <w:pPr>
        <w:jc w:val="both"/>
        <w:rPr>
          <w:rFonts w:ascii="Arial" w:hAnsi="Arial"/>
          <w:b/>
        </w:rPr>
      </w:pPr>
    </w:p>
    <w:p w:rsidR="00264B95" w:rsidRPr="00264B95" w:rsidRDefault="00983925" w:rsidP="00983925">
      <w:pPr>
        <w:jc w:val="both"/>
        <w:rPr>
          <w:rFonts w:ascii="Arial" w:hAnsi="Arial"/>
          <w:b/>
        </w:rPr>
      </w:pPr>
      <w:r>
        <w:rPr>
          <w:rFonts w:ascii="Arial" w:hAnsi="Arial"/>
          <w:b/>
        </w:rPr>
        <w:t>V</w:t>
      </w:r>
      <w:r w:rsidR="00264B95" w:rsidRPr="00264B95">
        <w:rPr>
          <w:rFonts w:ascii="Arial" w:hAnsi="Arial"/>
          <w:b/>
        </w:rPr>
        <w:t xml:space="preserve">alue for money gains that have been made </w:t>
      </w:r>
      <w:r>
        <w:rPr>
          <w:rFonts w:ascii="Arial" w:hAnsi="Arial"/>
          <w:b/>
        </w:rPr>
        <w:t>in the medium term</w:t>
      </w:r>
    </w:p>
    <w:p w:rsidR="00264B95" w:rsidRDefault="00264B95" w:rsidP="00264B95">
      <w:pPr>
        <w:jc w:val="both"/>
        <w:rPr>
          <w:rFonts w:ascii="Arial" w:hAnsi="Arial"/>
        </w:rPr>
      </w:pPr>
    </w:p>
    <w:p w:rsidR="00C65158" w:rsidRPr="00EC3479" w:rsidRDefault="00494E51" w:rsidP="00264B95">
      <w:pPr>
        <w:jc w:val="both"/>
        <w:rPr>
          <w:rFonts w:ascii="Arial" w:hAnsi="Arial"/>
        </w:rPr>
      </w:pPr>
      <w:r w:rsidRPr="0097776B">
        <w:rPr>
          <w:rFonts w:ascii="Arial" w:hAnsi="Arial"/>
        </w:rPr>
        <w:t>5.1</w:t>
      </w:r>
      <w:r w:rsidR="00C65158" w:rsidRPr="0097776B">
        <w:rPr>
          <w:rFonts w:ascii="Arial" w:hAnsi="Arial"/>
        </w:rPr>
        <w:t xml:space="preserve">  </w:t>
      </w:r>
      <w:r w:rsidR="00583E5F" w:rsidRPr="00EC3479">
        <w:rPr>
          <w:rFonts w:ascii="Arial" w:hAnsi="Arial"/>
        </w:rPr>
        <w:t xml:space="preserve">Since </w:t>
      </w:r>
      <w:r w:rsidR="00C65158" w:rsidRPr="00EC3479">
        <w:rPr>
          <w:rFonts w:ascii="Arial" w:hAnsi="Arial"/>
        </w:rPr>
        <w:t>2006/7</w:t>
      </w:r>
      <w:r w:rsidR="00583E5F" w:rsidRPr="00EC3479">
        <w:rPr>
          <w:rFonts w:ascii="Arial" w:hAnsi="Arial"/>
        </w:rPr>
        <w:t xml:space="preserve">, </w:t>
      </w:r>
      <w:r w:rsidR="00C65158" w:rsidRPr="00EC3479">
        <w:rPr>
          <w:rFonts w:ascii="Arial" w:hAnsi="Arial"/>
        </w:rPr>
        <w:t xml:space="preserve">Hexagon has made significant </w:t>
      </w:r>
      <w:r w:rsidR="00583E5F" w:rsidRPr="00EC3479">
        <w:rPr>
          <w:rFonts w:ascii="Arial" w:hAnsi="Arial"/>
        </w:rPr>
        <w:t>cost savings</w:t>
      </w:r>
      <w:r w:rsidR="00C65158" w:rsidRPr="00EC3479">
        <w:rPr>
          <w:rFonts w:ascii="Arial" w:hAnsi="Arial"/>
        </w:rPr>
        <w:t xml:space="preserve"> in most areas. Appendix </w:t>
      </w:r>
      <w:r w:rsidR="00E64095" w:rsidRPr="00EC3479">
        <w:rPr>
          <w:rFonts w:ascii="Arial" w:hAnsi="Arial"/>
        </w:rPr>
        <w:t xml:space="preserve">B </w:t>
      </w:r>
      <w:r w:rsidR="00C65158" w:rsidRPr="00EC3479">
        <w:rPr>
          <w:rFonts w:ascii="Arial" w:hAnsi="Arial"/>
        </w:rPr>
        <w:t>presents a series of graphs which compares rent inflation at RPI +0.5%</w:t>
      </w:r>
      <w:r w:rsidR="00C97066" w:rsidRPr="00EC3479">
        <w:rPr>
          <w:rFonts w:ascii="Arial" w:hAnsi="Arial"/>
        </w:rPr>
        <w:t>/ CPI +1</w:t>
      </w:r>
      <w:r w:rsidR="009315B4" w:rsidRPr="00EC3479">
        <w:rPr>
          <w:rFonts w:ascii="Arial" w:hAnsi="Arial"/>
        </w:rPr>
        <w:t>% (</w:t>
      </w:r>
      <w:r w:rsidR="00C65158" w:rsidRPr="00EC3479">
        <w:rPr>
          <w:rFonts w:ascii="Arial" w:hAnsi="Arial"/>
        </w:rPr>
        <w:t xml:space="preserve">the red line in each graph) to Hexagon’s cost per unit (the other line in each graph). With the exception of stock investment </w:t>
      </w:r>
      <w:r w:rsidR="004E7CE0" w:rsidRPr="00EC3479">
        <w:rPr>
          <w:rFonts w:ascii="Arial" w:hAnsi="Arial"/>
        </w:rPr>
        <w:t>and works to void units</w:t>
      </w:r>
      <w:r w:rsidR="00D67E97" w:rsidRPr="00EC3479">
        <w:rPr>
          <w:rFonts w:ascii="Arial" w:hAnsi="Arial"/>
        </w:rPr>
        <w:t xml:space="preserve"> (although there have been improvements over the last few years on this)</w:t>
      </w:r>
      <w:r w:rsidR="004E7CE0" w:rsidRPr="00EC3479">
        <w:rPr>
          <w:rFonts w:ascii="Arial" w:hAnsi="Arial"/>
        </w:rPr>
        <w:t xml:space="preserve">, Hexagon’s costs have risen more slowly than rent inflation, and in some areas have dropped in real terms. </w:t>
      </w:r>
      <w:r w:rsidR="00583E5F" w:rsidRPr="00EC3479">
        <w:rPr>
          <w:rFonts w:ascii="Arial" w:hAnsi="Arial"/>
        </w:rPr>
        <w:t xml:space="preserve">The baseline for stock investment was low in 2006/7, so it is appropriate that we are spending more in this area. The </w:t>
      </w:r>
      <w:r w:rsidR="00D67E97" w:rsidRPr="00EC3479">
        <w:rPr>
          <w:rFonts w:ascii="Arial" w:hAnsi="Arial"/>
        </w:rPr>
        <w:t>20</w:t>
      </w:r>
      <w:r w:rsidR="00583E5F" w:rsidRPr="00EC3479">
        <w:rPr>
          <w:rFonts w:ascii="Arial" w:hAnsi="Arial"/>
        </w:rPr>
        <w:t>1</w:t>
      </w:r>
      <w:r w:rsidR="007B0341" w:rsidRPr="00EC3479">
        <w:rPr>
          <w:rFonts w:ascii="Arial" w:hAnsi="Arial"/>
        </w:rPr>
        <w:t>4/17</w:t>
      </w:r>
      <w:r w:rsidR="00583E5F" w:rsidRPr="00EC3479">
        <w:rPr>
          <w:rFonts w:ascii="Arial" w:hAnsi="Arial"/>
        </w:rPr>
        <w:t xml:space="preserve"> VFM strategy includes targets for addressing the cost of void works. </w:t>
      </w:r>
    </w:p>
    <w:p w:rsidR="00F20604" w:rsidRPr="00EC3479" w:rsidRDefault="00F20604" w:rsidP="00264B95">
      <w:pPr>
        <w:jc w:val="both"/>
        <w:rPr>
          <w:rFonts w:ascii="Arial" w:hAnsi="Arial"/>
        </w:rPr>
      </w:pPr>
    </w:p>
    <w:p w:rsidR="00F20604" w:rsidRDefault="00F20604" w:rsidP="00264B95">
      <w:pPr>
        <w:jc w:val="both"/>
        <w:rPr>
          <w:rFonts w:ascii="Arial" w:hAnsi="Arial"/>
        </w:rPr>
      </w:pPr>
      <w:r w:rsidRPr="00EC3479">
        <w:rPr>
          <w:rFonts w:ascii="Arial" w:hAnsi="Arial"/>
        </w:rPr>
        <w:t>5.2 The graphs indicate a recent rising trend in costs per unit for responsive repairs costs, the management of responsive repairs and customer services.  We had to allocate more staff to customer services in 14/15 to deal with resident queries arising from the failure of our main respon</w:t>
      </w:r>
      <w:r w:rsidR="004649B6" w:rsidRPr="00EC3479">
        <w:rPr>
          <w:rFonts w:ascii="Arial" w:hAnsi="Arial"/>
        </w:rPr>
        <w:t xml:space="preserve">sive repairs contractor half way through the year.  Interim repairs arrangements put in place have led to far fewer queries, but costs per repair are still rising.  Responsive and void repairs </w:t>
      </w:r>
      <w:r w:rsidR="00822398" w:rsidRPr="00EC3479">
        <w:rPr>
          <w:rFonts w:ascii="Arial" w:hAnsi="Arial"/>
        </w:rPr>
        <w:t xml:space="preserve">were </w:t>
      </w:r>
      <w:r w:rsidR="004649B6" w:rsidRPr="00EC3479">
        <w:rPr>
          <w:rFonts w:ascii="Arial" w:hAnsi="Arial"/>
        </w:rPr>
        <w:t>re-tendered during 2015/16,</w:t>
      </w:r>
      <w:r w:rsidR="0097776B" w:rsidRPr="00EC3479">
        <w:rPr>
          <w:rFonts w:ascii="Arial" w:hAnsi="Arial"/>
        </w:rPr>
        <w:t xml:space="preserve"> and the new contracts were in </w:t>
      </w:r>
      <w:r w:rsidR="004649B6" w:rsidRPr="00EC3479">
        <w:rPr>
          <w:rFonts w:ascii="Arial" w:hAnsi="Arial"/>
        </w:rPr>
        <w:t>place for 16/17.</w:t>
      </w:r>
      <w:r w:rsidR="004649B6">
        <w:rPr>
          <w:rFonts w:ascii="Arial" w:hAnsi="Arial"/>
        </w:rPr>
        <w:t xml:space="preserve"> </w:t>
      </w:r>
    </w:p>
    <w:p w:rsidR="00983925" w:rsidRDefault="00983925" w:rsidP="00264B95">
      <w:pPr>
        <w:jc w:val="both"/>
        <w:rPr>
          <w:rFonts w:ascii="Arial" w:hAnsi="Arial"/>
        </w:rPr>
      </w:pPr>
    </w:p>
    <w:p w:rsidR="00983925" w:rsidRPr="00983925" w:rsidRDefault="00983925" w:rsidP="00264B95">
      <w:pPr>
        <w:jc w:val="both"/>
        <w:rPr>
          <w:rFonts w:ascii="Arial" w:hAnsi="Arial"/>
          <w:b/>
        </w:rPr>
      </w:pPr>
      <w:r w:rsidRPr="00983925">
        <w:rPr>
          <w:rFonts w:ascii="Arial" w:hAnsi="Arial"/>
          <w:b/>
        </w:rPr>
        <w:lastRenderedPageBreak/>
        <w:t xml:space="preserve">Value for money gains that have been made </w:t>
      </w:r>
      <w:r w:rsidR="00E307A8">
        <w:rPr>
          <w:rFonts w:ascii="Arial" w:hAnsi="Arial"/>
          <w:b/>
        </w:rPr>
        <w:t>as a result of the 1</w:t>
      </w:r>
      <w:r w:rsidR="000A3B0C">
        <w:rPr>
          <w:rFonts w:ascii="Arial" w:hAnsi="Arial"/>
          <w:b/>
        </w:rPr>
        <w:t>4/17</w:t>
      </w:r>
      <w:r w:rsidR="00E307A8">
        <w:rPr>
          <w:rFonts w:ascii="Arial" w:hAnsi="Arial"/>
          <w:b/>
        </w:rPr>
        <w:t xml:space="preserve"> VFM strategy</w:t>
      </w:r>
    </w:p>
    <w:p w:rsidR="00983925" w:rsidRDefault="00983925" w:rsidP="00264B95">
      <w:pPr>
        <w:jc w:val="both"/>
        <w:rPr>
          <w:rFonts w:ascii="Arial" w:hAnsi="Arial"/>
        </w:rPr>
      </w:pPr>
    </w:p>
    <w:p w:rsidR="008E3A5F" w:rsidRDefault="00494E51" w:rsidP="008E3A5F">
      <w:pPr>
        <w:jc w:val="both"/>
        <w:rPr>
          <w:rFonts w:ascii="Arial" w:hAnsi="Arial"/>
        </w:rPr>
      </w:pPr>
      <w:r>
        <w:rPr>
          <w:rFonts w:ascii="Arial" w:hAnsi="Arial"/>
        </w:rPr>
        <w:t>5.</w:t>
      </w:r>
      <w:r w:rsidR="000D4BF6">
        <w:rPr>
          <w:rFonts w:ascii="Arial" w:hAnsi="Arial"/>
        </w:rPr>
        <w:t>3</w:t>
      </w:r>
      <w:r w:rsidR="00C65158" w:rsidRPr="00D97E46">
        <w:rPr>
          <w:rFonts w:ascii="Arial" w:hAnsi="Arial"/>
        </w:rPr>
        <w:t xml:space="preserve"> </w:t>
      </w:r>
      <w:r w:rsidR="00C1689B">
        <w:rPr>
          <w:rFonts w:ascii="Arial" w:hAnsi="Arial"/>
        </w:rPr>
        <w:tab/>
      </w:r>
      <w:r w:rsidR="008E3A5F" w:rsidRPr="00D97E46">
        <w:rPr>
          <w:rFonts w:ascii="Arial" w:hAnsi="Arial"/>
        </w:rPr>
        <w:t xml:space="preserve">At the Board meeting in </w:t>
      </w:r>
      <w:r w:rsidR="00D15D5A">
        <w:rPr>
          <w:rFonts w:ascii="Arial" w:hAnsi="Arial"/>
        </w:rPr>
        <w:t>May</w:t>
      </w:r>
      <w:r w:rsidR="00D15D5A" w:rsidRPr="00D97E46">
        <w:rPr>
          <w:rFonts w:ascii="Arial" w:hAnsi="Arial"/>
        </w:rPr>
        <w:t xml:space="preserve"> </w:t>
      </w:r>
      <w:r w:rsidR="008E3A5F" w:rsidRPr="00D97E46">
        <w:rPr>
          <w:rFonts w:ascii="Arial" w:hAnsi="Arial"/>
        </w:rPr>
        <w:t>201</w:t>
      </w:r>
      <w:r w:rsidR="000A3B0C">
        <w:rPr>
          <w:rFonts w:ascii="Arial" w:hAnsi="Arial"/>
        </w:rPr>
        <w:t>4</w:t>
      </w:r>
      <w:r w:rsidR="008E3A5F" w:rsidRPr="00D97E46">
        <w:rPr>
          <w:rFonts w:ascii="Arial" w:hAnsi="Arial"/>
        </w:rPr>
        <w:t>, the Board agreed a 3-year value for money</w:t>
      </w:r>
      <w:r w:rsidR="008E3A5F">
        <w:rPr>
          <w:rFonts w:ascii="Arial" w:hAnsi="Arial"/>
        </w:rPr>
        <w:t xml:space="preserve"> strategy for the Association. The strategy focussed </w:t>
      </w:r>
      <w:r w:rsidR="008E3A5F" w:rsidRPr="00427062">
        <w:rPr>
          <w:rFonts w:ascii="Arial" w:hAnsi="Arial"/>
        </w:rPr>
        <w:t xml:space="preserve">on </w:t>
      </w:r>
      <w:r w:rsidR="004446B0" w:rsidRPr="00427062">
        <w:rPr>
          <w:rFonts w:ascii="Arial" w:hAnsi="Arial"/>
        </w:rPr>
        <w:t xml:space="preserve">six </w:t>
      </w:r>
      <w:r w:rsidR="008E3A5F" w:rsidRPr="00427062">
        <w:rPr>
          <w:rFonts w:ascii="Arial" w:hAnsi="Arial"/>
        </w:rPr>
        <w:t>main areas</w:t>
      </w:r>
      <w:r w:rsidR="000A3B0C" w:rsidRPr="00427062">
        <w:rPr>
          <w:rFonts w:ascii="Arial" w:hAnsi="Arial"/>
        </w:rPr>
        <w:t xml:space="preserve"> (see</w:t>
      </w:r>
      <w:r w:rsidR="000A3B0C">
        <w:rPr>
          <w:rFonts w:ascii="Arial" w:hAnsi="Arial"/>
        </w:rPr>
        <w:t xml:space="preserve"> section </w:t>
      </w:r>
      <w:r w:rsidR="004446B0">
        <w:rPr>
          <w:rFonts w:ascii="Arial" w:hAnsi="Arial"/>
        </w:rPr>
        <w:t>6</w:t>
      </w:r>
      <w:r w:rsidR="000A3B0C">
        <w:rPr>
          <w:rFonts w:ascii="Arial" w:hAnsi="Arial"/>
        </w:rPr>
        <w:t xml:space="preserve"> below)</w:t>
      </w:r>
      <w:r w:rsidR="008E3A5F">
        <w:rPr>
          <w:rFonts w:ascii="Arial" w:hAnsi="Arial"/>
        </w:rPr>
        <w:t xml:space="preserve">. Measurable targets covering both quality (Q) and costs/efficiency (C) were </w:t>
      </w:r>
      <w:r w:rsidR="000A3B0C">
        <w:rPr>
          <w:rFonts w:ascii="Arial" w:hAnsi="Arial"/>
        </w:rPr>
        <w:t xml:space="preserve">included in the strategy, which also includes </w:t>
      </w:r>
      <w:r w:rsidR="008E3A5F">
        <w:rPr>
          <w:rFonts w:ascii="Arial" w:hAnsi="Arial"/>
        </w:rPr>
        <w:t>actions to achieve the targets and to embed value for money throughout the organisation.</w:t>
      </w:r>
      <w:r w:rsidR="00FE4E2C">
        <w:rPr>
          <w:rFonts w:ascii="Arial" w:hAnsi="Arial"/>
        </w:rPr>
        <w:t xml:space="preserve"> </w:t>
      </w:r>
    </w:p>
    <w:p w:rsidR="008E3A5F" w:rsidRDefault="008E3A5F" w:rsidP="008E3A5F">
      <w:pPr>
        <w:jc w:val="both"/>
        <w:rPr>
          <w:rFonts w:ascii="Arial" w:hAnsi="Arial"/>
        </w:rPr>
      </w:pPr>
    </w:p>
    <w:p w:rsidR="00F3414A" w:rsidRPr="00C1689B" w:rsidRDefault="00494E51" w:rsidP="00494E51">
      <w:pPr>
        <w:jc w:val="both"/>
        <w:rPr>
          <w:rFonts w:ascii="Arial" w:hAnsi="Arial"/>
        </w:rPr>
      </w:pPr>
      <w:r w:rsidRPr="00C1689B">
        <w:rPr>
          <w:rFonts w:ascii="Arial" w:hAnsi="Arial"/>
        </w:rPr>
        <w:t>5.</w:t>
      </w:r>
      <w:r w:rsidR="000D4BF6" w:rsidRPr="00C1689B">
        <w:rPr>
          <w:rFonts w:ascii="Arial" w:hAnsi="Arial"/>
        </w:rPr>
        <w:t>4</w:t>
      </w:r>
      <w:r w:rsidRPr="00C1689B">
        <w:rPr>
          <w:rFonts w:ascii="Arial" w:hAnsi="Arial"/>
        </w:rPr>
        <w:tab/>
      </w:r>
      <w:r w:rsidR="00ED3C7B" w:rsidRPr="00EC3479">
        <w:rPr>
          <w:rFonts w:ascii="Arial" w:hAnsi="Arial"/>
        </w:rPr>
        <w:t xml:space="preserve"> </w:t>
      </w:r>
      <w:r w:rsidR="00B42143" w:rsidRPr="00EC3479">
        <w:rPr>
          <w:rFonts w:ascii="Arial" w:hAnsi="Arial"/>
        </w:rPr>
        <w:t>4</w:t>
      </w:r>
      <w:r w:rsidR="000D4BF6" w:rsidRPr="00EC3479">
        <w:rPr>
          <w:rFonts w:ascii="Arial" w:hAnsi="Arial"/>
        </w:rPr>
        <w:t>5</w:t>
      </w:r>
      <w:r w:rsidR="00ED3C7B" w:rsidRPr="00EC3479">
        <w:rPr>
          <w:rFonts w:ascii="Arial" w:hAnsi="Arial"/>
        </w:rPr>
        <w:t xml:space="preserve"> targets</w:t>
      </w:r>
      <w:r w:rsidR="00FE4E2C" w:rsidRPr="00EC3479">
        <w:rPr>
          <w:rFonts w:ascii="Arial" w:hAnsi="Arial"/>
        </w:rPr>
        <w:t xml:space="preserve"> were set</w:t>
      </w:r>
      <w:r w:rsidR="00C1689B">
        <w:rPr>
          <w:rFonts w:ascii="Arial" w:hAnsi="Arial"/>
        </w:rPr>
        <w:t>,</w:t>
      </w:r>
      <w:r w:rsidR="00FE4E2C" w:rsidRPr="00EC3479">
        <w:rPr>
          <w:rFonts w:ascii="Arial" w:hAnsi="Arial"/>
        </w:rPr>
        <w:t xml:space="preserve"> </w:t>
      </w:r>
      <w:r w:rsidR="00C1689B" w:rsidRPr="00312E77">
        <w:rPr>
          <w:rFonts w:ascii="Arial" w:hAnsi="Arial"/>
        </w:rPr>
        <w:t>24 of which relate to costs and 21 to quality</w:t>
      </w:r>
      <w:r w:rsidR="00C1689B">
        <w:rPr>
          <w:rFonts w:ascii="Arial" w:hAnsi="Arial"/>
        </w:rPr>
        <w:t>. M</w:t>
      </w:r>
      <w:r w:rsidR="00FE4E2C" w:rsidRPr="00EC3479">
        <w:rPr>
          <w:rFonts w:ascii="Arial" w:hAnsi="Arial"/>
        </w:rPr>
        <w:t>ost of these have intermediate, annual</w:t>
      </w:r>
      <w:r w:rsidR="00C1689B" w:rsidRPr="00EC3479">
        <w:rPr>
          <w:rFonts w:ascii="Arial" w:hAnsi="Arial"/>
        </w:rPr>
        <w:t>,</w:t>
      </w:r>
      <w:r w:rsidR="00FE4E2C" w:rsidRPr="00EC3479">
        <w:rPr>
          <w:rFonts w:ascii="Arial" w:hAnsi="Arial"/>
        </w:rPr>
        <w:t xml:space="preserve"> targets</w:t>
      </w:r>
      <w:r w:rsidR="00C1689B">
        <w:rPr>
          <w:rFonts w:ascii="Arial" w:hAnsi="Arial"/>
        </w:rPr>
        <w:t>.</w:t>
      </w:r>
      <w:r w:rsidR="00ED3C7B" w:rsidRPr="00EC3479">
        <w:rPr>
          <w:rFonts w:ascii="Arial" w:hAnsi="Arial"/>
        </w:rPr>
        <w:t xml:space="preserve"> </w:t>
      </w:r>
      <w:r w:rsidR="00FE4E2C" w:rsidRPr="00EC3479">
        <w:rPr>
          <w:rFonts w:ascii="Arial" w:hAnsi="Arial"/>
        </w:rPr>
        <w:t>For those with targets for 2015/16</w:t>
      </w:r>
      <w:r w:rsidR="00C1689B" w:rsidRPr="00EC3479">
        <w:rPr>
          <w:rFonts w:ascii="Arial" w:hAnsi="Arial"/>
        </w:rPr>
        <w:t>,</w:t>
      </w:r>
      <w:r w:rsidR="00FE4E2C" w:rsidRPr="00EC3479">
        <w:rPr>
          <w:rFonts w:ascii="Arial" w:hAnsi="Arial"/>
        </w:rPr>
        <w:t xml:space="preserve"> 14 were met for 2016/17 w</w:t>
      </w:r>
      <w:r w:rsidR="00B42143" w:rsidRPr="00EC3479">
        <w:rPr>
          <w:rFonts w:ascii="Arial" w:hAnsi="Arial"/>
        </w:rPr>
        <w:t xml:space="preserve">ith </w:t>
      </w:r>
      <w:r w:rsidR="00FE4E2C" w:rsidRPr="00EC3479">
        <w:rPr>
          <w:rFonts w:ascii="Arial" w:hAnsi="Arial"/>
        </w:rPr>
        <w:t>17</w:t>
      </w:r>
      <w:r w:rsidR="00C1689B" w:rsidRPr="00EC3479">
        <w:rPr>
          <w:rFonts w:ascii="Arial" w:hAnsi="Arial"/>
        </w:rPr>
        <w:t xml:space="preserve"> </w:t>
      </w:r>
      <w:r w:rsidR="00B42143" w:rsidRPr="00EC3479">
        <w:rPr>
          <w:rFonts w:ascii="Arial" w:hAnsi="Arial"/>
        </w:rPr>
        <w:t>not being met</w:t>
      </w:r>
      <w:r w:rsidR="00C1689B" w:rsidRPr="00EC3479">
        <w:rPr>
          <w:rFonts w:ascii="Arial" w:hAnsi="Arial"/>
        </w:rPr>
        <w:t>. M</w:t>
      </w:r>
      <w:r w:rsidR="00B42143" w:rsidRPr="00EC3479">
        <w:rPr>
          <w:rFonts w:ascii="Arial" w:hAnsi="Arial"/>
        </w:rPr>
        <w:t>ost of the remainder relate to 201</w:t>
      </w:r>
      <w:r w:rsidR="00FE4E2C" w:rsidRPr="00EC3479">
        <w:rPr>
          <w:rFonts w:ascii="Arial" w:hAnsi="Arial"/>
        </w:rPr>
        <w:t>5/16</w:t>
      </w:r>
      <w:r w:rsidR="00B42143" w:rsidRPr="00EC3479">
        <w:rPr>
          <w:rFonts w:ascii="Arial" w:hAnsi="Arial"/>
        </w:rPr>
        <w:t xml:space="preserve"> </w:t>
      </w:r>
      <w:r w:rsidR="00392AC6" w:rsidRPr="00EC3479">
        <w:rPr>
          <w:rFonts w:ascii="Arial" w:hAnsi="Arial"/>
        </w:rPr>
        <w:t xml:space="preserve">HouseMark data </w:t>
      </w:r>
      <w:r w:rsidR="00B42143" w:rsidRPr="00EC3479">
        <w:rPr>
          <w:rFonts w:ascii="Arial" w:hAnsi="Arial"/>
        </w:rPr>
        <w:t xml:space="preserve">which, at the </w:t>
      </w:r>
      <w:r w:rsidR="000D4BF6" w:rsidRPr="00EC3479">
        <w:rPr>
          <w:rFonts w:ascii="Arial" w:hAnsi="Arial"/>
        </w:rPr>
        <w:t>t</w:t>
      </w:r>
      <w:r w:rsidR="00B42143" w:rsidRPr="00EC3479">
        <w:rPr>
          <w:rFonts w:ascii="Arial" w:hAnsi="Arial"/>
        </w:rPr>
        <w:t>ime of writing</w:t>
      </w:r>
      <w:r w:rsidR="00392AC6" w:rsidRPr="00EC3479">
        <w:rPr>
          <w:rFonts w:ascii="Arial" w:hAnsi="Arial"/>
        </w:rPr>
        <w:t xml:space="preserve">, is going through the HouseMark validation process. </w:t>
      </w:r>
      <w:r w:rsidR="00766468" w:rsidRPr="00EC3479">
        <w:rPr>
          <w:rFonts w:ascii="Arial" w:hAnsi="Arial"/>
        </w:rPr>
        <w:t xml:space="preserve"> </w:t>
      </w:r>
      <w:r w:rsidR="00D97E46" w:rsidRPr="00EC3479">
        <w:rPr>
          <w:rFonts w:ascii="Arial" w:hAnsi="Arial"/>
        </w:rPr>
        <w:t xml:space="preserve">Appendix </w:t>
      </w:r>
      <w:r w:rsidR="00E64095" w:rsidRPr="00EC3479">
        <w:rPr>
          <w:rFonts w:ascii="Arial" w:hAnsi="Arial"/>
        </w:rPr>
        <w:t>C</w:t>
      </w:r>
      <w:r w:rsidR="00D97E46" w:rsidRPr="00EC3479">
        <w:rPr>
          <w:rFonts w:ascii="Arial" w:hAnsi="Arial"/>
        </w:rPr>
        <w:t xml:space="preserve"> sets out the detail. </w:t>
      </w:r>
    </w:p>
    <w:p w:rsidR="00ED3C7B" w:rsidRPr="00EC3479" w:rsidRDefault="00ED3C7B" w:rsidP="00983925">
      <w:pPr>
        <w:jc w:val="both"/>
        <w:rPr>
          <w:rFonts w:ascii="Arial" w:hAnsi="Arial"/>
          <w:b/>
          <w:highlight w:val="green"/>
        </w:rPr>
      </w:pPr>
    </w:p>
    <w:p w:rsidR="00DC3256" w:rsidRPr="00EC3479" w:rsidRDefault="00494E51" w:rsidP="00494E51">
      <w:pPr>
        <w:jc w:val="both"/>
        <w:rPr>
          <w:rFonts w:ascii="Arial" w:hAnsi="Arial"/>
        </w:rPr>
      </w:pPr>
      <w:r w:rsidRPr="00C1689B">
        <w:rPr>
          <w:rFonts w:ascii="Arial" w:hAnsi="Arial"/>
        </w:rPr>
        <w:t>5.</w:t>
      </w:r>
      <w:r w:rsidR="000D4BF6" w:rsidRPr="00C1689B">
        <w:rPr>
          <w:rFonts w:ascii="Arial" w:hAnsi="Arial"/>
        </w:rPr>
        <w:t>5</w:t>
      </w:r>
      <w:r w:rsidRPr="00C1689B">
        <w:rPr>
          <w:rFonts w:ascii="Arial" w:hAnsi="Arial"/>
        </w:rPr>
        <w:tab/>
      </w:r>
      <w:r w:rsidR="000A3B0C" w:rsidRPr="00EC3479">
        <w:rPr>
          <w:rFonts w:ascii="Arial" w:hAnsi="Arial"/>
        </w:rPr>
        <w:t xml:space="preserve">A summary of the value for money actions undertaken during </w:t>
      </w:r>
      <w:r w:rsidR="00D67E97" w:rsidRPr="00EC3479">
        <w:rPr>
          <w:rFonts w:ascii="Arial" w:hAnsi="Arial"/>
        </w:rPr>
        <w:t>20</w:t>
      </w:r>
      <w:r w:rsidR="000A3B0C" w:rsidRPr="00EC3479">
        <w:rPr>
          <w:rFonts w:ascii="Arial" w:hAnsi="Arial"/>
        </w:rPr>
        <w:t>1</w:t>
      </w:r>
      <w:r w:rsidR="00FE4E2C" w:rsidRPr="00EC3479">
        <w:rPr>
          <w:rFonts w:ascii="Arial" w:hAnsi="Arial"/>
        </w:rPr>
        <w:t>5/16</w:t>
      </w:r>
      <w:r w:rsidR="000A3B0C" w:rsidRPr="00EC3479">
        <w:rPr>
          <w:rFonts w:ascii="Arial" w:hAnsi="Arial"/>
        </w:rPr>
        <w:t xml:space="preserve"> as part of the </w:t>
      </w:r>
      <w:r w:rsidR="00C56320" w:rsidRPr="00EC3479">
        <w:rPr>
          <w:rFonts w:ascii="Arial" w:hAnsi="Arial"/>
        </w:rPr>
        <w:t>VFM Strategy</w:t>
      </w:r>
      <w:r w:rsidR="000A3B0C" w:rsidRPr="00EC3479">
        <w:rPr>
          <w:rFonts w:ascii="Arial" w:hAnsi="Arial"/>
        </w:rPr>
        <w:t xml:space="preserve"> is set out in Appendix D</w:t>
      </w:r>
      <w:r w:rsidR="00C56320" w:rsidRPr="00EC3479">
        <w:rPr>
          <w:rFonts w:ascii="Arial" w:hAnsi="Arial"/>
        </w:rPr>
        <w:t xml:space="preserve">, </w:t>
      </w:r>
      <w:r w:rsidR="000A3B0C" w:rsidRPr="00EC3479">
        <w:rPr>
          <w:rFonts w:ascii="Arial" w:hAnsi="Arial"/>
        </w:rPr>
        <w:t>together with some further initiatives completed during the year. The most significant are</w:t>
      </w:r>
      <w:r w:rsidR="00DC3256" w:rsidRPr="00EC3479">
        <w:rPr>
          <w:rFonts w:ascii="Arial" w:hAnsi="Arial"/>
        </w:rPr>
        <w:t>:</w:t>
      </w:r>
    </w:p>
    <w:p w:rsidR="00DC3256" w:rsidRPr="00EC3479" w:rsidRDefault="00DC3256" w:rsidP="00494E51">
      <w:pPr>
        <w:jc w:val="both"/>
        <w:rPr>
          <w:rFonts w:ascii="Arial" w:hAnsi="Arial"/>
        </w:rPr>
      </w:pPr>
    </w:p>
    <w:p w:rsidR="00C1689B" w:rsidRPr="00AB7648" w:rsidRDefault="00C1689B" w:rsidP="00C1689B">
      <w:pPr>
        <w:numPr>
          <w:ilvl w:val="0"/>
          <w:numId w:val="47"/>
        </w:numPr>
        <w:rPr>
          <w:rFonts w:ascii="Arial" w:hAnsi="Arial"/>
        </w:rPr>
      </w:pPr>
      <w:r w:rsidRPr="00AB7648">
        <w:rPr>
          <w:rFonts w:ascii="Arial" w:hAnsi="Arial"/>
        </w:rPr>
        <w:t xml:space="preserve">We have been able to double the Employment and Skills resource available to support residents into employment for the same cost to Hexagon due to 50% European Social Fund funding being secured </w:t>
      </w:r>
      <w:r w:rsidR="009315B4" w:rsidRPr="00AB7648">
        <w:rPr>
          <w:rFonts w:ascii="Arial" w:hAnsi="Arial"/>
        </w:rPr>
        <w:t>- this</w:t>
      </w:r>
      <w:r w:rsidRPr="00AB7648">
        <w:rPr>
          <w:rFonts w:ascii="Arial" w:hAnsi="Arial"/>
        </w:rPr>
        <w:t xml:space="preserve"> is worth £183</w:t>
      </w:r>
      <w:r>
        <w:rPr>
          <w:rFonts w:ascii="Arial" w:hAnsi="Arial"/>
        </w:rPr>
        <w:t>k</w:t>
      </w:r>
      <w:r w:rsidRPr="00AB7648">
        <w:rPr>
          <w:rFonts w:ascii="Arial" w:hAnsi="Arial"/>
        </w:rPr>
        <w:t xml:space="preserve"> over 3 years.</w:t>
      </w:r>
    </w:p>
    <w:p w:rsidR="00C1689B" w:rsidRDefault="00C1689B" w:rsidP="007E7502">
      <w:pPr>
        <w:numPr>
          <w:ilvl w:val="0"/>
          <w:numId w:val="47"/>
        </w:numPr>
        <w:rPr>
          <w:rFonts w:ascii="Arial" w:hAnsi="Arial"/>
        </w:rPr>
      </w:pPr>
      <w:r w:rsidRPr="00AB7648">
        <w:rPr>
          <w:rFonts w:ascii="Arial" w:hAnsi="Arial"/>
        </w:rPr>
        <w:t>We were able to achieve £35k worth of savings on our roof programme through a cost comparison exercise;</w:t>
      </w:r>
    </w:p>
    <w:p w:rsidR="007E7502" w:rsidRPr="00C1689B" w:rsidRDefault="007E7502" w:rsidP="007E7502">
      <w:pPr>
        <w:numPr>
          <w:ilvl w:val="0"/>
          <w:numId w:val="47"/>
        </w:numPr>
        <w:rPr>
          <w:rFonts w:ascii="Arial" w:hAnsi="Arial"/>
        </w:rPr>
      </w:pPr>
      <w:r w:rsidRPr="00C1689B">
        <w:rPr>
          <w:rFonts w:ascii="Arial" w:hAnsi="Arial"/>
        </w:rPr>
        <w:t>We negotiated with contractors installing kitchens and  bathrooms to hold prices to their 2013/14 levels – saving a total of £20</w:t>
      </w:r>
      <w:r w:rsidR="00C1689B" w:rsidRPr="00EC3479">
        <w:rPr>
          <w:rFonts w:ascii="Arial" w:hAnsi="Arial"/>
        </w:rPr>
        <w:t>k</w:t>
      </w:r>
      <w:r w:rsidRPr="00C1689B">
        <w:rPr>
          <w:rFonts w:ascii="Arial" w:hAnsi="Arial"/>
        </w:rPr>
        <w:t xml:space="preserve"> which we were able to invest in carrying out more works;</w:t>
      </w:r>
    </w:p>
    <w:p w:rsidR="00C1689B" w:rsidRPr="00AB7648" w:rsidRDefault="00C1689B" w:rsidP="00C1689B">
      <w:pPr>
        <w:numPr>
          <w:ilvl w:val="0"/>
          <w:numId w:val="47"/>
        </w:numPr>
        <w:rPr>
          <w:rFonts w:ascii="Arial" w:hAnsi="Arial"/>
        </w:rPr>
      </w:pPr>
      <w:r w:rsidRPr="00AB7648">
        <w:rPr>
          <w:rFonts w:ascii="Arial" w:hAnsi="Arial"/>
        </w:rPr>
        <w:t>We have recruited several administrators during the year through our Academy - this saves both in terms of recruitment costs but give the resident transferable skills in the wider job market – in one team alone we saved around £6.2k by doing this;</w:t>
      </w:r>
    </w:p>
    <w:p w:rsidR="007E7502" w:rsidRPr="00C1689B" w:rsidRDefault="007E7502" w:rsidP="00EC3479">
      <w:pPr>
        <w:ind w:left="720"/>
        <w:rPr>
          <w:rFonts w:ascii="Arial" w:hAnsi="Arial"/>
        </w:rPr>
      </w:pPr>
    </w:p>
    <w:p w:rsidR="00F3414A" w:rsidRPr="00312E77" w:rsidRDefault="00DC3256" w:rsidP="00312E77">
      <w:pPr>
        <w:ind w:left="720"/>
        <w:jc w:val="both"/>
        <w:rPr>
          <w:rFonts w:ascii="Arial" w:hAnsi="Arial"/>
        </w:rPr>
      </w:pPr>
      <w:r w:rsidRPr="00312E77">
        <w:rPr>
          <w:rFonts w:ascii="Arial" w:hAnsi="Arial"/>
        </w:rPr>
        <w:t xml:space="preserve"> </w:t>
      </w:r>
    </w:p>
    <w:p w:rsidR="008E3A5F" w:rsidRDefault="008E3A5F" w:rsidP="00264B95">
      <w:pPr>
        <w:jc w:val="both"/>
        <w:rPr>
          <w:rFonts w:ascii="Arial" w:hAnsi="Arial"/>
          <w:highlight w:val="yellow"/>
        </w:rPr>
      </w:pPr>
    </w:p>
    <w:p w:rsidR="007244B8" w:rsidRPr="00E1346E" w:rsidRDefault="00616475" w:rsidP="00264B95">
      <w:pPr>
        <w:jc w:val="both"/>
        <w:rPr>
          <w:rFonts w:ascii="Arial" w:hAnsi="Arial"/>
          <w:b/>
          <w:sz w:val="28"/>
        </w:rPr>
      </w:pPr>
      <w:r>
        <w:rPr>
          <w:rFonts w:ascii="Arial" w:hAnsi="Arial"/>
          <w:b/>
          <w:sz w:val="28"/>
        </w:rPr>
        <w:t>6</w:t>
      </w:r>
      <w:r w:rsidR="00E1346E">
        <w:rPr>
          <w:rFonts w:ascii="Arial" w:hAnsi="Arial"/>
          <w:b/>
          <w:sz w:val="28"/>
        </w:rPr>
        <w:t xml:space="preserve">.0  </w:t>
      </w:r>
      <w:r>
        <w:rPr>
          <w:rFonts w:ascii="Arial" w:hAnsi="Arial"/>
          <w:b/>
          <w:sz w:val="28"/>
        </w:rPr>
        <w:t>V</w:t>
      </w:r>
      <w:r w:rsidR="007244B8" w:rsidRPr="00E1346E">
        <w:rPr>
          <w:rFonts w:ascii="Arial" w:hAnsi="Arial"/>
          <w:b/>
          <w:sz w:val="28"/>
        </w:rPr>
        <w:t>alue for money gains to be made</w:t>
      </w:r>
    </w:p>
    <w:p w:rsidR="00E21F11" w:rsidRDefault="00261824" w:rsidP="00E21F11">
      <w:pPr>
        <w:spacing w:before="240"/>
        <w:rPr>
          <w:rFonts w:ascii="Arial" w:hAnsi="Arial"/>
        </w:rPr>
      </w:pPr>
      <w:r w:rsidRPr="005E632D">
        <w:rPr>
          <w:rFonts w:ascii="Arial" w:hAnsi="Arial"/>
        </w:rPr>
        <w:t xml:space="preserve">6.1 </w:t>
      </w:r>
      <w:r w:rsidR="00E21F11" w:rsidRPr="005E632D">
        <w:rPr>
          <w:rFonts w:ascii="Arial" w:hAnsi="Arial"/>
        </w:rPr>
        <w:t>The 2014/17 VFM Strategy focuses on areas</w:t>
      </w:r>
      <w:r w:rsidR="004C73D0" w:rsidRPr="005E632D">
        <w:rPr>
          <w:rFonts w:ascii="Arial" w:hAnsi="Arial"/>
        </w:rPr>
        <w:t xml:space="preserve"> where benchmarking indicates that we could do better on either cost or quality, and where is significant expenditure. </w:t>
      </w:r>
      <w:r w:rsidR="004C73D0">
        <w:rPr>
          <w:rFonts w:ascii="Arial" w:hAnsi="Arial"/>
        </w:rPr>
        <w:t>Broadly, these areas are as follows:</w:t>
      </w:r>
    </w:p>
    <w:p w:rsidR="004C73D0" w:rsidRPr="004C73D0" w:rsidRDefault="004C73D0" w:rsidP="005E632D">
      <w:pPr>
        <w:numPr>
          <w:ilvl w:val="0"/>
          <w:numId w:val="47"/>
        </w:numPr>
        <w:rPr>
          <w:rFonts w:ascii="Arial" w:hAnsi="Arial"/>
        </w:rPr>
      </w:pPr>
      <w:r w:rsidRPr="004C73D0">
        <w:rPr>
          <w:rFonts w:ascii="Arial" w:hAnsi="Arial"/>
        </w:rPr>
        <w:t>Development and New Business;</w:t>
      </w:r>
    </w:p>
    <w:p w:rsidR="004C73D0" w:rsidRPr="004C73D0" w:rsidRDefault="004C73D0" w:rsidP="005E632D">
      <w:pPr>
        <w:numPr>
          <w:ilvl w:val="0"/>
          <w:numId w:val="47"/>
        </w:numPr>
        <w:rPr>
          <w:rFonts w:ascii="Arial" w:hAnsi="Arial"/>
        </w:rPr>
      </w:pPr>
      <w:r w:rsidRPr="004C73D0">
        <w:rPr>
          <w:rFonts w:ascii="Arial" w:hAnsi="Arial"/>
        </w:rPr>
        <w:t>Treasury Management;</w:t>
      </w:r>
    </w:p>
    <w:p w:rsidR="004C73D0" w:rsidRPr="004C73D0" w:rsidRDefault="004C73D0" w:rsidP="005E632D">
      <w:pPr>
        <w:numPr>
          <w:ilvl w:val="0"/>
          <w:numId w:val="47"/>
        </w:numPr>
        <w:rPr>
          <w:rFonts w:ascii="Arial" w:hAnsi="Arial"/>
        </w:rPr>
      </w:pPr>
      <w:r>
        <w:rPr>
          <w:rFonts w:ascii="Arial" w:hAnsi="Arial"/>
        </w:rPr>
        <w:t xml:space="preserve">Major and </w:t>
      </w:r>
      <w:r w:rsidRPr="004C73D0">
        <w:rPr>
          <w:rFonts w:ascii="Arial" w:hAnsi="Arial"/>
        </w:rPr>
        <w:t>Cyclical Repairs;</w:t>
      </w:r>
    </w:p>
    <w:p w:rsidR="004C73D0" w:rsidRPr="005E632D" w:rsidRDefault="004C73D0" w:rsidP="005E632D">
      <w:pPr>
        <w:numPr>
          <w:ilvl w:val="0"/>
          <w:numId w:val="47"/>
        </w:numPr>
        <w:rPr>
          <w:rFonts w:ascii="Arial" w:hAnsi="Arial"/>
        </w:rPr>
      </w:pPr>
      <w:r w:rsidRPr="004C73D0">
        <w:rPr>
          <w:rFonts w:ascii="Arial" w:hAnsi="Arial"/>
        </w:rPr>
        <w:t>Responsive, gas safety checks &amp; void repairs</w:t>
      </w:r>
    </w:p>
    <w:p w:rsidR="00E21F11" w:rsidRPr="005E632D" w:rsidRDefault="004C73D0" w:rsidP="005E632D">
      <w:pPr>
        <w:numPr>
          <w:ilvl w:val="0"/>
          <w:numId w:val="38"/>
        </w:numPr>
        <w:jc w:val="both"/>
        <w:rPr>
          <w:rFonts w:ascii="Arial" w:hAnsi="Arial"/>
        </w:rPr>
      </w:pPr>
      <w:r w:rsidRPr="005E632D">
        <w:rPr>
          <w:rFonts w:ascii="Arial" w:hAnsi="Arial"/>
        </w:rPr>
        <w:t>Supported Housing - Void management and making the best use of our properties</w:t>
      </w:r>
      <w:r w:rsidR="00E21F11" w:rsidRPr="005E632D">
        <w:rPr>
          <w:rFonts w:ascii="Arial" w:hAnsi="Arial"/>
        </w:rPr>
        <w:t xml:space="preserve"> </w:t>
      </w:r>
    </w:p>
    <w:p w:rsidR="00E21F11" w:rsidRPr="005E632D" w:rsidRDefault="00E21F11" w:rsidP="00E21F11">
      <w:pPr>
        <w:numPr>
          <w:ilvl w:val="0"/>
          <w:numId w:val="38"/>
        </w:numPr>
        <w:jc w:val="both"/>
        <w:rPr>
          <w:rFonts w:ascii="Arial" w:hAnsi="Arial"/>
        </w:rPr>
      </w:pPr>
      <w:r w:rsidRPr="005E632D">
        <w:rPr>
          <w:rFonts w:ascii="Arial" w:hAnsi="Arial"/>
        </w:rPr>
        <w:lastRenderedPageBreak/>
        <w:t>Estate Services.</w:t>
      </w:r>
    </w:p>
    <w:p w:rsidR="00E21F11" w:rsidRPr="00312E77" w:rsidRDefault="00261824" w:rsidP="00312E77">
      <w:pPr>
        <w:spacing w:before="240"/>
        <w:rPr>
          <w:rFonts w:ascii="Arial" w:hAnsi="Arial"/>
        </w:rPr>
      </w:pPr>
      <w:r w:rsidRPr="00312E77">
        <w:rPr>
          <w:rFonts w:ascii="Arial" w:hAnsi="Arial"/>
        </w:rPr>
        <w:t xml:space="preserve">6.2 </w:t>
      </w:r>
      <w:r w:rsidR="00932FC7" w:rsidRPr="00312E77">
        <w:rPr>
          <w:rFonts w:ascii="Arial" w:hAnsi="Arial"/>
        </w:rPr>
        <w:t xml:space="preserve">The Strategy, which is available </w:t>
      </w:r>
      <w:r w:rsidR="00932FC7" w:rsidRPr="00423B92">
        <w:rPr>
          <w:rFonts w:ascii="Arial" w:hAnsi="Arial"/>
          <w:color w:val="FF0000"/>
        </w:rPr>
        <w:t>here (</w:t>
      </w:r>
      <w:r w:rsidR="005C7B8E" w:rsidRPr="00423B92">
        <w:rPr>
          <w:rFonts w:ascii="Arial" w:hAnsi="Arial"/>
          <w:color w:val="FF0000"/>
        </w:rPr>
        <w:t>link to be added when uploaded to website</w:t>
      </w:r>
      <w:r w:rsidR="00932FC7" w:rsidRPr="00423B92">
        <w:rPr>
          <w:rFonts w:ascii="Arial" w:hAnsi="Arial"/>
          <w:color w:val="FF0000"/>
        </w:rPr>
        <w:t>)</w:t>
      </w:r>
      <w:r w:rsidR="00932FC7" w:rsidRPr="00312E77">
        <w:rPr>
          <w:rFonts w:ascii="Arial" w:hAnsi="Arial"/>
        </w:rPr>
        <w:t xml:space="preserve"> includes a set of 45 targets</w:t>
      </w:r>
      <w:r w:rsidR="00C1689B">
        <w:rPr>
          <w:rFonts w:ascii="Arial" w:hAnsi="Arial"/>
        </w:rPr>
        <w:t>.</w:t>
      </w:r>
      <w:r w:rsidR="00932FC7" w:rsidRPr="00312E77">
        <w:rPr>
          <w:rFonts w:ascii="Arial" w:hAnsi="Arial"/>
        </w:rPr>
        <w:t xml:space="preserve">  A full list of the targets</w:t>
      </w:r>
      <w:r w:rsidR="00D336EF">
        <w:rPr>
          <w:rFonts w:ascii="Arial" w:hAnsi="Arial"/>
        </w:rPr>
        <w:t>,</w:t>
      </w:r>
      <w:r w:rsidR="00932FC7" w:rsidRPr="00312E77">
        <w:rPr>
          <w:rFonts w:ascii="Arial" w:hAnsi="Arial"/>
        </w:rPr>
        <w:t xml:space="preserve"> which range from </w:t>
      </w:r>
      <w:r w:rsidR="00932FC7">
        <w:rPr>
          <w:rFonts w:ascii="Arial" w:hAnsi="Arial"/>
        </w:rPr>
        <w:t xml:space="preserve">the cost of building new homes </w:t>
      </w:r>
      <w:r w:rsidR="00932FC7" w:rsidRPr="00312E77">
        <w:rPr>
          <w:rFonts w:ascii="Arial" w:hAnsi="Arial"/>
        </w:rPr>
        <w:t xml:space="preserve">to </w:t>
      </w:r>
      <w:r w:rsidR="00570E33">
        <w:rPr>
          <w:rFonts w:ascii="Arial" w:hAnsi="Arial"/>
        </w:rPr>
        <w:t>resident satisfaction with our repair service</w:t>
      </w:r>
      <w:r w:rsidR="00932FC7" w:rsidRPr="00312E77">
        <w:rPr>
          <w:rFonts w:ascii="Arial" w:hAnsi="Arial"/>
        </w:rPr>
        <w:t xml:space="preserve">, is set out in Appendix B. </w:t>
      </w:r>
    </w:p>
    <w:p w:rsidR="007244B8" w:rsidRPr="00312E77" w:rsidRDefault="007244B8" w:rsidP="00264B95">
      <w:pPr>
        <w:jc w:val="both"/>
        <w:rPr>
          <w:rFonts w:ascii="Arial" w:hAnsi="Arial"/>
        </w:rPr>
      </w:pPr>
    </w:p>
    <w:p w:rsidR="00B87B1B" w:rsidRDefault="00261824" w:rsidP="00264B95">
      <w:pPr>
        <w:jc w:val="both"/>
        <w:rPr>
          <w:rFonts w:ascii="Arial" w:hAnsi="Arial"/>
        </w:rPr>
      </w:pPr>
      <w:r w:rsidRPr="00312E77">
        <w:rPr>
          <w:rFonts w:ascii="Arial" w:hAnsi="Arial"/>
        </w:rPr>
        <w:t>6.</w:t>
      </w:r>
      <w:r w:rsidR="0026308F">
        <w:rPr>
          <w:rFonts w:ascii="Arial" w:hAnsi="Arial"/>
        </w:rPr>
        <w:t>3</w:t>
      </w:r>
      <w:r w:rsidRPr="00312E77">
        <w:rPr>
          <w:rFonts w:ascii="Arial" w:hAnsi="Arial"/>
        </w:rPr>
        <w:t xml:space="preserve">  </w:t>
      </w:r>
      <w:r w:rsidR="00932FC7" w:rsidRPr="00312E77">
        <w:rPr>
          <w:rFonts w:ascii="Arial" w:hAnsi="Arial"/>
        </w:rPr>
        <w:t xml:space="preserve">The Strategy also sets out the actions we will take to meet the targets over the three years to March 17. </w:t>
      </w:r>
      <w:r w:rsidR="007244B8" w:rsidRPr="00312E77">
        <w:rPr>
          <w:rFonts w:ascii="Arial" w:hAnsi="Arial"/>
        </w:rPr>
        <w:t xml:space="preserve">Appendix </w:t>
      </w:r>
      <w:r w:rsidR="00E64095" w:rsidRPr="00312E77">
        <w:rPr>
          <w:rFonts w:ascii="Arial" w:hAnsi="Arial"/>
        </w:rPr>
        <w:t>E</w:t>
      </w:r>
      <w:r w:rsidR="00E21F11" w:rsidRPr="00312E77">
        <w:rPr>
          <w:rFonts w:ascii="Arial" w:hAnsi="Arial"/>
        </w:rPr>
        <w:t xml:space="preserve"> summarises </w:t>
      </w:r>
      <w:r w:rsidR="00DF3F09" w:rsidRPr="00312E77">
        <w:rPr>
          <w:rFonts w:ascii="Arial" w:hAnsi="Arial"/>
        </w:rPr>
        <w:t>the value for money initiatives to be undertaken during the year to March 1</w:t>
      </w:r>
      <w:r w:rsidR="00C1689B">
        <w:rPr>
          <w:rFonts w:ascii="Arial" w:hAnsi="Arial"/>
        </w:rPr>
        <w:t>7</w:t>
      </w:r>
      <w:r w:rsidR="00DF3F09" w:rsidRPr="00312E77">
        <w:rPr>
          <w:rFonts w:ascii="Arial" w:hAnsi="Arial"/>
        </w:rPr>
        <w:t>. In addition</w:t>
      </w:r>
      <w:r w:rsidR="00DF3F09">
        <w:rPr>
          <w:rFonts w:ascii="Arial" w:hAnsi="Arial"/>
        </w:rPr>
        <w:t xml:space="preserve">, Hexagon staff will be developing and reporting on initiatives across the organisation as a routine part of our culture of continuous improvement.  </w:t>
      </w:r>
    </w:p>
    <w:p w:rsidR="00B87B1B" w:rsidRDefault="00B87B1B" w:rsidP="00264B95">
      <w:pPr>
        <w:jc w:val="both"/>
        <w:rPr>
          <w:rFonts w:ascii="Arial" w:hAnsi="Arial"/>
        </w:rPr>
      </w:pPr>
    </w:p>
    <w:p w:rsidR="007244B8" w:rsidRDefault="007244B8" w:rsidP="007244B8">
      <w:pPr>
        <w:rPr>
          <w:rFonts w:ascii="Arial" w:hAnsi="Arial"/>
        </w:rPr>
      </w:pPr>
    </w:p>
    <w:p w:rsidR="007244B8" w:rsidRDefault="007244B8" w:rsidP="007244B8">
      <w:pPr>
        <w:rPr>
          <w:rFonts w:ascii="Arial" w:hAnsi="Arial"/>
        </w:rPr>
      </w:pPr>
    </w:p>
    <w:p w:rsidR="00B837AA" w:rsidRDefault="00044149" w:rsidP="00C45453">
      <w:pPr>
        <w:jc w:val="both"/>
        <w:rPr>
          <w:rFonts w:ascii="Arial" w:hAnsi="Arial" w:cs="Arial"/>
        </w:rPr>
      </w:pPr>
      <w:r>
        <w:rPr>
          <w:rFonts w:ascii="Arial" w:hAnsi="Arial" w:cs="Arial"/>
        </w:rPr>
        <w:t>Phil Newsam</w:t>
      </w:r>
      <w:r w:rsidR="00BC6336">
        <w:rPr>
          <w:rFonts w:ascii="Arial" w:hAnsi="Arial" w:cs="Arial"/>
        </w:rPr>
        <w:t xml:space="preserve"> &amp; Paul Browning</w:t>
      </w:r>
    </w:p>
    <w:p w:rsidR="004A1DAF" w:rsidRDefault="008F3B34" w:rsidP="00AD123D">
      <w:pPr>
        <w:jc w:val="both"/>
        <w:rPr>
          <w:rFonts w:ascii="Arial" w:hAnsi="Arial" w:cs="Arial"/>
        </w:rPr>
      </w:pPr>
      <w:r>
        <w:rPr>
          <w:rFonts w:ascii="Arial" w:hAnsi="Arial" w:cs="Arial"/>
        </w:rPr>
        <w:t xml:space="preserve">September </w:t>
      </w:r>
      <w:r w:rsidR="00F6349F">
        <w:rPr>
          <w:rFonts w:ascii="Arial" w:hAnsi="Arial" w:cs="Arial"/>
        </w:rPr>
        <w:t>201</w:t>
      </w:r>
      <w:r w:rsidR="00C97066">
        <w:rPr>
          <w:rFonts w:ascii="Arial" w:hAnsi="Arial" w:cs="Arial"/>
        </w:rPr>
        <w:t>6</w:t>
      </w:r>
    </w:p>
    <w:p w:rsidR="00BC3CD6" w:rsidRPr="00BC3CD6" w:rsidRDefault="004A1DAF" w:rsidP="0028761C">
      <w:pPr>
        <w:autoSpaceDE w:val="0"/>
        <w:autoSpaceDN w:val="0"/>
        <w:adjustRightInd w:val="0"/>
        <w:rPr>
          <w:rFonts w:ascii="Arial" w:hAnsi="Arial" w:cs="Arial"/>
          <w:b/>
        </w:rPr>
      </w:pPr>
      <w:r>
        <w:rPr>
          <w:rFonts w:ascii="Arial" w:hAnsi="Arial" w:cs="Arial"/>
        </w:rPr>
        <w:br w:type="page"/>
      </w:r>
      <w:r w:rsidR="00D7353D" w:rsidRPr="0028761C">
        <w:rPr>
          <w:rFonts w:ascii="Arial" w:hAnsi="Arial" w:cs="Arial"/>
        </w:rPr>
        <w:lastRenderedPageBreak/>
        <w:tab/>
      </w:r>
      <w:r w:rsidR="00BC3CD6" w:rsidRPr="00EC3479">
        <w:rPr>
          <w:rFonts w:ascii="Arial" w:hAnsi="Arial" w:cs="Arial"/>
          <w:b/>
        </w:rPr>
        <w:t>Costs of providing each service in the year to March 1</w:t>
      </w:r>
      <w:r w:rsidR="004C363B" w:rsidRPr="00EC3479">
        <w:rPr>
          <w:rFonts w:ascii="Arial" w:hAnsi="Arial" w:cs="Arial"/>
          <w:b/>
        </w:rPr>
        <w:t>6</w:t>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r>
      <w:r w:rsidR="00BC3CD6" w:rsidRPr="00FD634A">
        <w:rPr>
          <w:rFonts w:ascii="Arial" w:hAnsi="Arial" w:cs="Arial"/>
          <w:b/>
        </w:rPr>
        <w:tab/>
        <w:t>Appendix A</w:t>
      </w:r>
    </w:p>
    <w:p w:rsidR="00BC3CD6" w:rsidRDefault="00BC3CD6" w:rsidP="0028761C">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51422" w:rsidRDefault="00BC3CD6" w:rsidP="0028761C">
      <w:pPr>
        <w:autoSpaceDE w:val="0"/>
        <w:autoSpaceDN w:val="0"/>
        <w:adjustRightInd w:val="0"/>
        <w:rPr>
          <w:rFonts w:ascii="Arial" w:hAnsi="Arial" w:cs="Arial"/>
        </w:rPr>
      </w:pPr>
      <w:r>
        <w:rPr>
          <w:rFonts w:ascii="Arial" w:hAnsi="Arial" w:cs="Arial"/>
        </w:rPr>
        <w:t xml:space="preserve"> </w:t>
      </w:r>
    </w:p>
    <w:p w:rsidR="00C51422" w:rsidRDefault="00C51422" w:rsidP="0028761C">
      <w:pPr>
        <w:autoSpaceDE w:val="0"/>
        <w:autoSpaceDN w:val="0"/>
        <w:adjustRightInd w:val="0"/>
        <w:rPr>
          <w:rFonts w:ascii="Arial" w:hAnsi="Arial" w:cs="Arial"/>
        </w:rPr>
      </w:pPr>
    </w:p>
    <w:p w:rsidR="0028761C" w:rsidRDefault="00FD634A" w:rsidP="0028761C">
      <w:pPr>
        <w:autoSpaceDE w:val="0"/>
        <w:autoSpaceDN w:val="0"/>
        <w:adjustRightInd w:val="0"/>
        <w:rPr>
          <w:rFonts w:ascii="Arial" w:hAnsi="Arial" w:cs="Arial"/>
          <w:szCs w:val="24"/>
          <w:lang w:val="en-GB" w:eastAsia="en-GB"/>
        </w:rPr>
      </w:pPr>
      <w:r>
        <w:rPr>
          <w:noProof/>
          <w:lang w:val="en-GB" w:eastAsia="en-GB"/>
        </w:rPr>
        <w:drawing>
          <wp:inline distT="0" distB="0" distL="0" distR="0" wp14:anchorId="0C390025" wp14:editId="01C74584">
            <wp:extent cx="9216390" cy="281559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6390" cy="2815590"/>
                    </a:xfrm>
                    <a:prstGeom prst="rect">
                      <a:avLst/>
                    </a:prstGeom>
                    <a:noFill/>
                    <a:ln>
                      <a:noFill/>
                    </a:ln>
                  </pic:spPr>
                </pic:pic>
              </a:graphicData>
            </a:graphic>
          </wp:inline>
        </w:drawing>
      </w:r>
      <w:r w:rsidR="00BC3CD6">
        <w:rPr>
          <w:rFonts w:ascii="Arial" w:hAnsi="Arial" w:cs="Arial"/>
        </w:rPr>
        <w:br w:type="page"/>
      </w:r>
    </w:p>
    <w:p w:rsidR="0028761C" w:rsidRDefault="0028761C" w:rsidP="0028761C">
      <w:pPr>
        <w:autoSpaceDE w:val="0"/>
        <w:autoSpaceDN w:val="0"/>
        <w:adjustRightInd w:val="0"/>
        <w:rPr>
          <w:rFonts w:ascii="Arial" w:hAnsi="Arial" w:cs="Arial"/>
          <w:b/>
          <w:bCs/>
          <w:szCs w:val="24"/>
          <w:lang w:val="en-GB" w:eastAsia="en-GB"/>
        </w:rPr>
      </w:pPr>
    </w:p>
    <w:p w:rsidR="0028761C" w:rsidRDefault="001F739B" w:rsidP="0028761C">
      <w:pPr>
        <w:autoSpaceDE w:val="0"/>
        <w:autoSpaceDN w:val="0"/>
        <w:adjustRightInd w:val="0"/>
        <w:ind w:left="720"/>
        <w:rPr>
          <w:rFonts w:ascii="Arial" w:hAnsi="Arial" w:cs="Arial"/>
          <w:b/>
        </w:rPr>
      </w:pPr>
      <w:r w:rsidRPr="00EC3479">
        <w:rPr>
          <w:rFonts w:ascii="Arial" w:hAnsi="Arial" w:cs="Arial"/>
          <w:b/>
        </w:rPr>
        <w:t xml:space="preserve">How Hexagon’s costs per unit </w:t>
      </w:r>
      <w:r w:rsidR="00613C06" w:rsidRPr="00EC3479">
        <w:rPr>
          <w:rFonts w:ascii="Arial" w:hAnsi="Arial" w:cs="Arial"/>
          <w:b/>
        </w:rPr>
        <w:t xml:space="preserve">managed </w:t>
      </w:r>
      <w:r w:rsidRPr="00EC3479">
        <w:rPr>
          <w:rFonts w:ascii="Arial" w:hAnsi="Arial" w:cs="Arial"/>
          <w:b/>
        </w:rPr>
        <w:t>have moved since 2006/7</w:t>
      </w:r>
      <w:r w:rsidRPr="00EC3479">
        <w:rPr>
          <w:rFonts w:ascii="Arial" w:hAnsi="Arial" w:cs="Arial"/>
          <w:b/>
        </w:rPr>
        <w:tab/>
      </w:r>
      <w:r w:rsidRPr="00EC3479">
        <w:rPr>
          <w:rFonts w:ascii="Arial" w:hAnsi="Arial" w:cs="Arial"/>
          <w:b/>
        </w:rPr>
        <w:tab/>
      </w:r>
      <w:r w:rsidRPr="00EC3479">
        <w:rPr>
          <w:rFonts w:ascii="Arial" w:hAnsi="Arial" w:cs="Arial"/>
          <w:b/>
        </w:rPr>
        <w:tab/>
      </w:r>
      <w:r w:rsidRPr="00EC3479">
        <w:rPr>
          <w:rFonts w:ascii="Arial" w:hAnsi="Arial" w:cs="Arial"/>
          <w:b/>
        </w:rPr>
        <w:tab/>
      </w:r>
      <w:r w:rsidR="00C65158" w:rsidRPr="00EC3479">
        <w:rPr>
          <w:rFonts w:ascii="Arial" w:hAnsi="Arial" w:cs="Arial"/>
          <w:b/>
        </w:rPr>
        <w:t xml:space="preserve">Appendix </w:t>
      </w:r>
      <w:r w:rsidR="00BC3CD6" w:rsidRPr="00EC3479">
        <w:rPr>
          <w:rFonts w:ascii="Arial" w:hAnsi="Arial" w:cs="Arial"/>
          <w:b/>
        </w:rPr>
        <w:t>B</w:t>
      </w:r>
    </w:p>
    <w:p w:rsidR="002E63B9" w:rsidRDefault="002E63B9" w:rsidP="0028761C">
      <w:pPr>
        <w:autoSpaceDE w:val="0"/>
        <w:autoSpaceDN w:val="0"/>
        <w:adjustRightInd w:val="0"/>
        <w:ind w:left="720"/>
        <w:rPr>
          <w:rFonts w:ascii="Arial" w:hAnsi="Arial" w:cs="Arial"/>
          <w:b/>
        </w:rPr>
      </w:pPr>
    </w:p>
    <w:p w:rsidR="003E5F91" w:rsidRDefault="00C51480" w:rsidP="0028761C">
      <w:pPr>
        <w:autoSpaceDE w:val="0"/>
        <w:autoSpaceDN w:val="0"/>
        <w:adjustRightInd w:val="0"/>
        <w:ind w:left="720"/>
        <w:rPr>
          <w:rFonts w:ascii="Arial" w:hAnsi="Arial" w:cs="Arial"/>
          <w:b/>
        </w:rPr>
      </w:pPr>
      <w:r>
        <w:rPr>
          <w:rFonts w:ascii="Arial" w:hAnsi="Arial" w:cs="Arial"/>
          <w:b/>
          <w:noProof/>
          <w:lang w:val="en-GB" w:eastAsia="en-GB"/>
        </w:rPr>
        <w:drawing>
          <wp:inline distT="0" distB="0" distL="0" distR="0" wp14:anchorId="54C283A9" wp14:editId="4541D8C4">
            <wp:extent cx="4107651" cy="2505693"/>
            <wp:effectExtent l="0" t="0" r="762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2751" cy="2508804"/>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0A25B70A" wp14:editId="63EBBA52">
            <wp:extent cx="4108862" cy="2506433"/>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0411" cy="2507378"/>
                    </a:xfrm>
                    <a:prstGeom prst="rect">
                      <a:avLst/>
                    </a:prstGeom>
                    <a:noFill/>
                    <a:ln>
                      <a:noFill/>
                    </a:ln>
                  </pic:spPr>
                </pic:pic>
              </a:graphicData>
            </a:graphic>
          </wp:inline>
        </w:drawing>
      </w:r>
    </w:p>
    <w:p w:rsidR="003E5F91" w:rsidRDefault="00C51480"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6557C4C3" wp14:editId="73245909">
            <wp:extent cx="4108862" cy="2506432"/>
            <wp:effectExtent l="0" t="0" r="635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1216" cy="2507868"/>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54789332" wp14:editId="30B3D8C8">
            <wp:extent cx="4108863" cy="2506432"/>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03939" cy="2503428"/>
                    </a:xfrm>
                    <a:prstGeom prst="rect">
                      <a:avLst/>
                    </a:prstGeom>
                    <a:noFill/>
                    <a:ln>
                      <a:noFill/>
                    </a:ln>
                  </pic:spPr>
                </pic:pic>
              </a:graphicData>
            </a:graphic>
          </wp:inline>
        </w:drawing>
      </w:r>
    </w:p>
    <w:p w:rsidR="003E5F91" w:rsidRDefault="003E5F91" w:rsidP="0028761C">
      <w:pPr>
        <w:autoSpaceDE w:val="0"/>
        <w:autoSpaceDN w:val="0"/>
        <w:adjustRightInd w:val="0"/>
        <w:ind w:left="720"/>
        <w:rPr>
          <w:rFonts w:ascii="Arial" w:hAnsi="Arial" w:cs="Arial"/>
          <w:b/>
        </w:rPr>
      </w:pPr>
    </w:p>
    <w:p w:rsidR="003E5F91" w:rsidRDefault="00C51480" w:rsidP="0028761C">
      <w:pPr>
        <w:autoSpaceDE w:val="0"/>
        <w:autoSpaceDN w:val="0"/>
        <w:adjustRightInd w:val="0"/>
        <w:ind w:left="720"/>
        <w:rPr>
          <w:rFonts w:ascii="Arial" w:hAnsi="Arial" w:cs="Arial"/>
          <w:b/>
        </w:rPr>
      </w:pPr>
      <w:r>
        <w:rPr>
          <w:rFonts w:ascii="Arial" w:hAnsi="Arial" w:cs="Arial"/>
          <w:b/>
          <w:noProof/>
          <w:lang w:val="en-GB" w:eastAsia="en-GB"/>
        </w:rPr>
        <w:drawing>
          <wp:inline distT="0" distB="0" distL="0" distR="0" wp14:anchorId="7E902E8B" wp14:editId="7C568C0B">
            <wp:extent cx="4205039" cy="2565100"/>
            <wp:effectExtent l="0" t="0" r="508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5066" cy="2565116"/>
                    </a:xfrm>
                    <a:prstGeom prst="rect">
                      <a:avLst/>
                    </a:prstGeom>
                    <a:noFill/>
                    <a:ln>
                      <a:noFill/>
                    </a:ln>
                  </pic:spPr>
                </pic:pic>
              </a:graphicData>
            </a:graphic>
          </wp:inline>
        </w:drawing>
      </w:r>
      <w:r>
        <w:rPr>
          <w:rFonts w:ascii="Arial" w:hAnsi="Arial" w:cs="Arial"/>
          <w:b/>
        </w:rPr>
        <w:t xml:space="preserve"> </w:t>
      </w:r>
      <w:r w:rsidR="00692285">
        <w:rPr>
          <w:rFonts w:ascii="Arial" w:hAnsi="Arial" w:cs="Arial"/>
          <w:b/>
          <w:noProof/>
          <w:lang w:val="en-GB" w:eastAsia="en-GB"/>
        </w:rPr>
        <w:drawing>
          <wp:inline distT="0" distB="0" distL="0" distR="0" wp14:anchorId="1F478473" wp14:editId="15B0EC66">
            <wp:extent cx="4215740" cy="257162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5767" cy="2571644"/>
                    </a:xfrm>
                    <a:prstGeom prst="rect">
                      <a:avLst/>
                    </a:prstGeom>
                    <a:noFill/>
                    <a:ln>
                      <a:noFill/>
                    </a:ln>
                  </pic:spPr>
                </pic:pic>
              </a:graphicData>
            </a:graphic>
          </wp:inline>
        </w:drawing>
      </w:r>
    </w:p>
    <w:p w:rsidR="00692285" w:rsidRDefault="00692285"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3F69B682" wp14:editId="558B6E92">
            <wp:extent cx="4215740" cy="257162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6345" cy="2571996"/>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611DAC9B" wp14:editId="4A73A0C8">
            <wp:extent cx="4200169" cy="256212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04281" cy="2564637"/>
                    </a:xfrm>
                    <a:prstGeom prst="rect">
                      <a:avLst/>
                    </a:prstGeom>
                    <a:noFill/>
                    <a:ln>
                      <a:noFill/>
                    </a:ln>
                  </pic:spPr>
                </pic:pic>
              </a:graphicData>
            </a:graphic>
          </wp:inline>
        </w:drawing>
      </w:r>
    </w:p>
    <w:p w:rsidR="00692285" w:rsidRDefault="00692285" w:rsidP="00EC3479">
      <w:pPr>
        <w:autoSpaceDE w:val="0"/>
        <w:autoSpaceDN w:val="0"/>
        <w:adjustRightInd w:val="0"/>
        <w:spacing w:before="240"/>
        <w:ind w:left="720"/>
        <w:rPr>
          <w:rFonts w:ascii="Arial" w:hAnsi="Arial" w:cs="Arial"/>
          <w:b/>
        </w:rPr>
      </w:pPr>
    </w:p>
    <w:p w:rsidR="00692285" w:rsidRDefault="00692285"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50EBF6C4" wp14:editId="07669C71">
            <wp:extent cx="4225865" cy="25778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24146" cy="2576756"/>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068C495C" wp14:editId="4EE70BA3">
            <wp:extent cx="4226254" cy="2578041"/>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24075" cy="2576712"/>
                    </a:xfrm>
                    <a:prstGeom prst="rect">
                      <a:avLst/>
                    </a:prstGeom>
                    <a:noFill/>
                    <a:ln>
                      <a:noFill/>
                    </a:ln>
                  </pic:spPr>
                </pic:pic>
              </a:graphicData>
            </a:graphic>
          </wp:inline>
        </w:drawing>
      </w:r>
    </w:p>
    <w:p w:rsidR="00692285" w:rsidRDefault="00692285" w:rsidP="00EC3479">
      <w:pPr>
        <w:autoSpaceDE w:val="0"/>
        <w:autoSpaceDN w:val="0"/>
        <w:adjustRightInd w:val="0"/>
        <w:spacing w:before="240"/>
        <w:ind w:left="720"/>
        <w:rPr>
          <w:rFonts w:ascii="Arial" w:hAnsi="Arial" w:cs="Arial"/>
          <w:b/>
        </w:rPr>
      </w:pPr>
      <w:r>
        <w:rPr>
          <w:rFonts w:ascii="Arial" w:hAnsi="Arial" w:cs="Arial"/>
          <w:b/>
          <w:noProof/>
          <w:lang w:val="en-GB" w:eastAsia="en-GB"/>
        </w:rPr>
        <w:drawing>
          <wp:inline distT="0" distB="0" distL="0" distR="0" wp14:anchorId="10B6556B" wp14:editId="3DF79E3F">
            <wp:extent cx="4262904" cy="2600398"/>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2931" cy="2600414"/>
                    </a:xfrm>
                    <a:prstGeom prst="rect">
                      <a:avLst/>
                    </a:prstGeom>
                    <a:noFill/>
                    <a:ln>
                      <a:noFill/>
                    </a:ln>
                  </pic:spPr>
                </pic:pic>
              </a:graphicData>
            </a:graphic>
          </wp:inline>
        </w:drawing>
      </w:r>
      <w:r>
        <w:rPr>
          <w:rFonts w:ascii="Arial" w:hAnsi="Arial" w:cs="Arial"/>
          <w:b/>
        </w:rPr>
        <w:t xml:space="preserve"> </w:t>
      </w:r>
      <w:r>
        <w:rPr>
          <w:rFonts w:ascii="Arial" w:hAnsi="Arial" w:cs="Arial"/>
          <w:b/>
          <w:noProof/>
          <w:lang w:val="en-GB" w:eastAsia="en-GB"/>
        </w:rPr>
        <w:drawing>
          <wp:inline distT="0" distB="0" distL="0" distR="0" wp14:anchorId="5F7EAF73" wp14:editId="1A1DC371">
            <wp:extent cx="4260907" cy="259918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62886" cy="2600387"/>
                    </a:xfrm>
                    <a:prstGeom prst="rect">
                      <a:avLst/>
                    </a:prstGeom>
                    <a:noFill/>
                    <a:ln>
                      <a:noFill/>
                    </a:ln>
                  </pic:spPr>
                </pic:pic>
              </a:graphicData>
            </a:graphic>
          </wp:inline>
        </w:drawing>
      </w:r>
    </w:p>
    <w:p w:rsidR="004A1DAF" w:rsidRPr="004A1DAF" w:rsidRDefault="004A1DAF" w:rsidP="00AD123D">
      <w:pPr>
        <w:jc w:val="both"/>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1DAF">
        <w:rPr>
          <w:rFonts w:ascii="Arial" w:hAnsi="Arial" w:cs="Arial"/>
          <w:b/>
        </w:rPr>
        <w:t xml:space="preserve"> </w:t>
      </w:r>
    </w:p>
    <w:p w:rsidR="009060C6" w:rsidRDefault="00DA4563" w:rsidP="00662408">
      <w:pPr>
        <w:jc w:val="both"/>
        <w:rPr>
          <w:rFonts w:ascii="Arial" w:hAnsi="Arial"/>
        </w:rPr>
      </w:pPr>
      <w:r>
        <w:rPr>
          <w:rFonts w:ascii="Arial" w:hAnsi="Arial"/>
          <w:b/>
        </w:rPr>
        <w:tab/>
      </w:r>
    </w:p>
    <w:p w:rsidR="003E2970" w:rsidRDefault="009060C6" w:rsidP="003E2970">
      <w:pPr>
        <w:rPr>
          <w:rFonts w:ascii="Arial" w:hAnsi="Arial"/>
        </w:rPr>
      </w:pPr>
      <w:r>
        <w:rPr>
          <w:rFonts w:ascii="Arial" w:hAnsi="Arial"/>
        </w:rPr>
        <w:br w:type="page"/>
      </w:r>
    </w:p>
    <w:p w:rsidR="009A684C" w:rsidRDefault="009A684C" w:rsidP="009A684C">
      <w:pPr>
        <w:jc w:val="both"/>
        <w:rPr>
          <w:rFonts w:ascii="Arial" w:hAnsi="Arial"/>
        </w:rPr>
      </w:pPr>
    </w:p>
    <w:p w:rsidR="009A684C" w:rsidRDefault="00FE04A2" w:rsidP="009A684C">
      <w:pPr>
        <w:jc w:val="both"/>
        <w:rPr>
          <w:rFonts w:ascii="Arial" w:hAnsi="Arial"/>
          <w:b/>
        </w:rPr>
      </w:pPr>
      <w:r>
        <w:rPr>
          <w:rFonts w:ascii="Arial" w:hAnsi="Arial"/>
          <w:b/>
        </w:rPr>
        <w:t xml:space="preserve">Outcome of </w:t>
      </w:r>
      <w:r w:rsidR="00F6202D">
        <w:rPr>
          <w:rFonts w:ascii="Arial" w:hAnsi="Arial"/>
          <w:b/>
        </w:rPr>
        <w:t>v</w:t>
      </w:r>
      <w:r w:rsidR="009A684C" w:rsidRPr="009A684C">
        <w:rPr>
          <w:rFonts w:ascii="Arial" w:hAnsi="Arial"/>
          <w:b/>
        </w:rPr>
        <w:t xml:space="preserve">alue for money initiatives </w:t>
      </w:r>
      <w:r>
        <w:rPr>
          <w:rFonts w:ascii="Arial" w:hAnsi="Arial"/>
          <w:b/>
        </w:rPr>
        <w:t>planned for 201</w:t>
      </w:r>
      <w:r w:rsidR="004C363B">
        <w:rPr>
          <w:rFonts w:ascii="Arial" w:hAnsi="Arial"/>
          <w:b/>
        </w:rPr>
        <w:t>5/16</w:t>
      </w:r>
      <w:r>
        <w:rPr>
          <w:rFonts w:ascii="Arial" w:hAnsi="Arial"/>
          <w:b/>
        </w:rPr>
        <w:t xml:space="preserve"> </w:t>
      </w:r>
      <w:r>
        <w:rPr>
          <w:rFonts w:ascii="Arial" w:hAnsi="Arial"/>
          <w:b/>
        </w:rPr>
        <w:tab/>
      </w:r>
      <w:r>
        <w:rPr>
          <w:rFonts w:ascii="Arial" w:hAnsi="Arial"/>
          <w:b/>
        </w:rPr>
        <w:tab/>
      </w:r>
      <w:r w:rsidR="00F6202D">
        <w:rPr>
          <w:rFonts w:ascii="Arial" w:hAnsi="Arial"/>
          <w:b/>
        </w:rPr>
        <w:tab/>
      </w:r>
      <w:r w:rsidR="00BC65C9">
        <w:rPr>
          <w:rFonts w:ascii="Arial" w:hAnsi="Arial"/>
          <w:b/>
        </w:rPr>
        <w:tab/>
      </w:r>
      <w:r w:rsidR="00BC65C9">
        <w:rPr>
          <w:rFonts w:ascii="Arial" w:hAnsi="Arial"/>
          <w:b/>
        </w:rPr>
        <w:tab/>
      </w:r>
      <w:r w:rsidR="00BC65C9">
        <w:rPr>
          <w:rFonts w:ascii="Arial" w:hAnsi="Arial"/>
          <w:b/>
        </w:rPr>
        <w:tab/>
      </w:r>
      <w:r w:rsidR="00BC65C9">
        <w:rPr>
          <w:rFonts w:ascii="Arial" w:hAnsi="Arial"/>
          <w:b/>
        </w:rPr>
        <w:tab/>
        <w:t xml:space="preserve">Appendix </w:t>
      </w:r>
      <w:r w:rsidR="00BC3CD6">
        <w:rPr>
          <w:rFonts w:ascii="Arial" w:hAnsi="Arial"/>
          <w:b/>
        </w:rPr>
        <w:t>D</w:t>
      </w:r>
    </w:p>
    <w:p w:rsidR="003C7092" w:rsidRDefault="003C7092" w:rsidP="009A684C">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5"/>
        <w:gridCol w:w="3009"/>
        <w:gridCol w:w="1701"/>
        <w:gridCol w:w="1984"/>
        <w:gridCol w:w="1984"/>
      </w:tblGrid>
      <w:tr w:rsidR="004C363B" w:rsidRPr="00D46AD2" w:rsidTr="0038425F">
        <w:trPr>
          <w:tblHeader/>
        </w:trPr>
        <w:tc>
          <w:tcPr>
            <w:tcW w:w="3015"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What</w:t>
            </w:r>
          </w:p>
        </w:tc>
        <w:tc>
          <w:tcPr>
            <w:tcW w:w="3015"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Why</w:t>
            </w:r>
          </w:p>
        </w:tc>
        <w:tc>
          <w:tcPr>
            <w:tcW w:w="3009"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 xml:space="preserve">Cost </w:t>
            </w:r>
          </w:p>
        </w:tc>
        <w:tc>
          <w:tcPr>
            <w:tcW w:w="1701"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Financial benefit</w:t>
            </w:r>
          </w:p>
        </w:tc>
        <w:tc>
          <w:tcPr>
            <w:tcW w:w="1984"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Social benefit</w:t>
            </w:r>
          </w:p>
        </w:tc>
        <w:tc>
          <w:tcPr>
            <w:tcW w:w="1984" w:type="dxa"/>
          </w:tcPr>
          <w:p w:rsidR="004C363B" w:rsidRPr="00427062" w:rsidRDefault="004C363B" w:rsidP="00CF7AB6">
            <w:pPr>
              <w:jc w:val="both"/>
              <w:rPr>
                <w:rFonts w:ascii="Arial" w:hAnsi="Arial" w:cs="Arial"/>
              </w:rPr>
            </w:pPr>
            <w:r w:rsidRPr="004B7721">
              <w:rPr>
                <w:rFonts w:ascii="Arial" w:hAnsi="Arial" w:cs="Arial"/>
              </w:rPr>
              <w:t>Outcome</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t>Every development scheme in the 15/18 programme to have achieved start on site by September 2016</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ensure timely completion. </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An temporary increase in staffing to allow for more sites to be assessed and progressed, costing £</w:t>
            </w:r>
            <w:r w:rsidRPr="00D0434A">
              <w:rPr>
                <w:rFonts w:ascii="Arial" w:hAnsi="Arial"/>
                <w:lang w:val="en-GB"/>
              </w:rPr>
              <w:t>36k</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N/A</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To provide the agreed programme of affordable housing as soon as possible.</w:t>
            </w:r>
          </w:p>
        </w:tc>
        <w:tc>
          <w:tcPr>
            <w:tcW w:w="1984" w:type="dxa"/>
          </w:tcPr>
          <w:p w:rsidR="004C363B" w:rsidRDefault="009315B4" w:rsidP="00CF7AB6">
            <w:pPr>
              <w:jc w:val="both"/>
              <w:rPr>
                <w:rFonts w:ascii="Arial" w:hAnsi="Arial"/>
                <w:lang w:val="en-GB"/>
              </w:rPr>
            </w:pPr>
            <w:r>
              <w:rPr>
                <w:rFonts w:ascii="Arial" w:hAnsi="Arial"/>
                <w:lang w:val="en-GB"/>
              </w:rPr>
              <w:t>This was effectively a target for 2016/17 and is not yet due.</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sidRPr="00A43D7B">
              <w:rPr>
                <w:rFonts w:ascii="Arial" w:hAnsi="Arial"/>
                <w:lang w:val="en-GB"/>
              </w:rPr>
              <w:t>Use the HALA</w:t>
            </w:r>
            <w:r>
              <w:rPr>
                <w:rFonts w:ascii="Arial" w:hAnsi="Arial"/>
                <w:lang w:val="en-GB"/>
              </w:rPr>
              <w:t xml:space="preserve"> procurement club </w:t>
            </w:r>
            <w:r w:rsidRPr="00A43D7B">
              <w:rPr>
                <w:rFonts w:ascii="Arial" w:hAnsi="Arial"/>
                <w:lang w:val="en-GB"/>
              </w:rPr>
              <w:t xml:space="preserve">framework for solicitor appointments </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To obtain cost savings on the Association’s legal bills</w:t>
            </w:r>
          </w:p>
        </w:tc>
        <w:tc>
          <w:tcPr>
            <w:tcW w:w="3009" w:type="dxa"/>
            <w:shd w:val="clear" w:color="auto" w:fill="auto"/>
          </w:tcPr>
          <w:p w:rsidR="004C363B" w:rsidRPr="00427062" w:rsidRDefault="004C363B" w:rsidP="00CF7AB6">
            <w:pPr>
              <w:jc w:val="both"/>
              <w:rPr>
                <w:rFonts w:ascii="Arial" w:hAnsi="Arial"/>
                <w:highlight w:val="yellow"/>
                <w:lang w:val="en-GB"/>
              </w:rPr>
            </w:pPr>
            <w:r w:rsidRPr="00427062">
              <w:rPr>
                <w:rFonts w:ascii="Arial" w:hAnsi="Arial"/>
                <w:lang w:val="en-GB"/>
              </w:rPr>
              <w:t xml:space="preserve">Annual HALA fee of £7.6k </w:t>
            </w:r>
          </w:p>
        </w:tc>
        <w:tc>
          <w:tcPr>
            <w:tcW w:w="1701" w:type="dxa"/>
            <w:shd w:val="clear" w:color="auto" w:fill="auto"/>
          </w:tcPr>
          <w:p w:rsidR="004C363B" w:rsidRPr="00427062" w:rsidRDefault="004C363B" w:rsidP="00CF7AB6">
            <w:pPr>
              <w:jc w:val="both"/>
              <w:rPr>
                <w:rFonts w:ascii="Arial" w:hAnsi="Arial"/>
                <w:highlight w:val="yellow"/>
                <w:lang w:val="en-GB"/>
              </w:rPr>
            </w:pPr>
            <w:r w:rsidRPr="00427062">
              <w:rPr>
                <w:rFonts w:ascii="Arial" w:hAnsi="Arial"/>
                <w:lang w:val="en-GB"/>
              </w:rPr>
              <w:t>Savings in legal costs.</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None</w:t>
            </w:r>
          </w:p>
        </w:tc>
        <w:tc>
          <w:tcPr>
            <w:tcW w:w="1984" w:type="dxa"/>
          </w:tcPr>
          <w:p w:rsidR="004C363B" w:rsidRDefault="004C363B" w:rsidP="00CF7AB6">
            <w:pPr>
              <w:jc w:val="both"/>
              <w:rPr>
                <w:rFonts w:ascii="Arial" w:hAnsi="Arial"/>
                <w:lang w:val="en-GB"/>
              </w:rPr>
            </w:pPr>
            <w:r>
              <w:rPr>
                <w:rFonts w:ascii="Arial" w:hAnsi="Arial"/>
                <w:lang w:val="en-GB"/>
              </w:rPr>
              <w:t>Savings of £40.4k achieved in 15/16.</w:t>
            </w:r>
          </w:p>
        </w:tc>
      </w:tr>
      <w:tr w:rsidR="004C363B" w:rsidRPr="00D46AD2" w:rsidTr="00CF7AB6">
        <w:tc>
          <w:tcPr>
            <w:tcW w:w="3015" w:type="dxa"/>
            <w:shd w:val="clear" w:color="auto" w:fill="auto"/>
          </w:tcPr>
          <w:p w:rsidR="004C363B" w:rsidRPr="00A43D7B" w:rsidRDefault="004C363B" w:rsidP="00CF7AB6">
            <w:pPr>
              <w:jc w:val="both"/>
              <w:rPr>
                <w:rFonts w:ascii="Arial" w:hAnsi="Arial"/>
                <w:lang w:val="en-GB"/>
              </w:rPr>
            </w:pPr>
            <w:r>
              <w:rPr>
                <w:rFonts w:ascii="Arial" w:hAnsi="Arial"/>
                <w:lang w:val="en-GB"/>
              </w:rPr>
              <w:t xml:space="preserve">Undertake a post implementation review of the new defects system </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w:t>
            </w:r>
            <w:r w:rsidRPr="00B661D1">
              <w:rPr>
                <w:rFonts w:ascii="Arial" w:hAnsi="Arial"/>
                <w:lang w:val="en-GB"/>
              </w:rPr>
              <w:t>o ensure that the planned benefits of the system have been achieved.</w:t>
            </w:r>
          </w:p>
          <w:p w:rsidR="004C363B" w:rsidRDefault="004C363B" w:rsidP="00CF7AB6">
            <w:pPr>
              <w:jc w:val="both"/>
              <w:rPr>
                <w:rFonts w:ascii="Arial" w:hAnsi="Arial"/>
                <w:lang w:val="en-GB"/>
              </w:rPr>
            </w:pPr>
          </w:p>
        </w:tc>
        <w:tc>
          <w:tcPr>
            <w:tcW w:w="3009" w:type="dxa"/>
            <w:shd w:val="clear" w:color="auto" w:fill="auto"/>
          </w:tcPr>
          <w:p w:rsidR="004C363B" w:rsidRPr="00427062" w:rsidRDefault="004C363B" w:rsidP="00CF7AB6">
            <w:pPr>
              <w:jc w:val="both"/>
              <w:rPr>
                <w:rFonts w:ascii="Arial" w:hAnsi="Arial"/>
                <w:lang w:val="en-GB"/>
              </w:rPr>
            </w:pPr>
          </w:p>
        </w:tc>
        <w:tc>
          <w:tcPr>
            <w:tcW w:w="1701" w:type="dxa"/>
            <w:shd w:val="clear" w:color="auto" w:fill="auto"/>
          </w:tcPr>
          <w:p w:rsidR="004C363B" w:rsidRPr="00427062" w:rsidRDefault="004C363B" w:rsidP="00CF7AB6">
            <w:pPr>
              <w:jc w:val="both"/>
              <w:rPr>
                <w:rFonts w:ascii="Arial" w:hAnsi="Arial"/>
                <w:lang w:val="en-GB"/>
              </w:rPr>
            </w:pPr>
          </w:p>
        </w:tc>
        <w:tc>
          <w:tcPr>
            <w:tcW w:w="1984" w:type="dxa"/>
            <w:shd w:val="clear" w:color="auto" w:fill="auto"/>
          </w:tcPr>
          <w:p w:rsidR="004C363B" w:rsidRDefault="004C363B" w:rsidP="00CF7AB6">
            <w:pPr>
              <w:jc w:val="both"/>
              <w:rPr>
                <w:rFonts w:ascii="Arial" w:hAnsi="Arial"/>
                <w:lang w:val="en-GB"/>
              </w:rPr>
            </w:pPr>
          </w:p>
        </w:tc>
        <w:tc>
          <w:tcPr>
            <w:tcW w:w="1984" w:type="dxa"/>
          </w:tcPr>
          <w:p w:rsidR="004C363B" w:rsidRDefault="002E2372" w:rsidP="00CF7AB6">
            <w:pPr>
              <w:jc w:val="both"/>
              <w:rPr>
                <w:rFonts w:ascii="Arial" w:hAnsi="Arial"/>
                <w:lang w:val="en-GB"/>
              </w:rPr>
            </w:pPr>
            <w:r>
              <w:rPr>
                <w:rFonts w:ascii="Arial" w:hAnsi="Arial"/>
                <w:lang w:val="en-GB"/>
              </w:rPr>
              <w:t xml:space="preserve">This was completed and </w:t>
            </w:r>
            <w:r w:rsidR="00A944FE">
              <w:rPr>
                <w:rFonts w:ascii="Arial" w:hAnsi="Arial"/>
                <w:lang w:val="en-GB"/>
              </w:rPr>
              <w:t>some changes made to the way in which defects are dealt with in Customer Services.</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t>Join the SDS Catalyst benchmarking club</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 xml:space="preserve">To obtain more detailed benchmarking information on our development performance. </w:t>
            </w:r>
          </w:p>
        </w:tc>
        <w:tc>
          <w:tcPr>
            <w:tcW w:w="3009" w:type="dxa"/>
            <w:shd w:val="clear" w:color="auto" w:fill="auto"/>
          </w:tcPr>
          <w:p w:rsidR="004C363B" w:rsidRPr="00427062" w:rsidRDefault="004C363B" w:rsidP="00CF7AB6">
            <w:pPr>
              <w:jc w:val="both"/>
              <w:rPr>
                <w:rFonts w:ascii="Arial" w:hAnsi="Arial"/>
                <w:lang w:val="en-GB"/>
              </w:rPr>
            </w:pPr>
            <w:r>
              <w:rPr>
                <w:rFonts w:ascii="Arial" w:hAnsi="Arial"/>
                <w:lang w:val="en-GB"/>
              </w:rPr>
              <w:t xml:space="preserve">Opportunity cost of staff time. </w:t>
            </w:r>
          </w:p>
        </w:tc>
        <w:tc>
          <w:tcPr>
            <w:tcW w:w="1701" w:type="dxa"/>
            <w:shd w:val="clear" w:color="auto" w:fill="auto"/>
          </w:tcPr>
          <w:p w:rsidR="004C363B" w:rsidRPr="00427062" w:rsidRDefault="004C363B" w:rsidP="00CF7AB6">
            <w:pPr>
              <w:jc w:val="both"/>
              <w:rPr>
                <w:rFonts w:ascii="Arial" w:hAnsi="Arial"/>
                <w:lang w:val="en-GB"/>
              </w:rPr>
            </w:pPr>
            <w:r>
              <w:rPr>
                <w:rFonts w:ascii="Arial" w:hAnsi="Arial"/>
                <w:lang w:val="en-GB"/>
              </w:rPr>
              <w:t>To identify and correct where Hexagon is overspending compared to our peers</w:t>
            </w:r>
          </w:p>
        </w:tc>
        <w:tc>
          <w:tcPr>
            <w:tcW w:w="1984" w:type="dxa"/>
            <w:shd w:val="clear" w:color="auto" w:fill="auto"/>
          </w:tcPr>
          <w:p w:rsidR="004C363B" w:rsidRDefault="004C363B" w:rsidP="00CF7AB6">
            <w:pPr>
              <w:jc w:val="both"/>
              <w:rPr>
                <w:rFonts w:ascii="Arial" w:hAnsi="Arial"/>
                <w:lang w:val="en-GB"/>
              </w:rPr>
            </w:pPr>
            <w:r>
              <w:rPr>
                <w:rFonts w:ascii="Arial" w:hAnsi="Arial"/>
                <w:lang w:val="en-GB"/>
              </w:rPr>
              <w:t>Depends on outcome of benchmarking.</w:t>
            </w:r>
          </w:p>
        </w:tc>
        <w:tc>
          <w:tcPr>
            <w:tcW w:w="1984" w:type="dxa"/>
          </w:tcPr>
          <w:p w:rsidR="004C363B" w:rsidRDefault="009315B4">
            <w:pPr>
              <w:jc w:val="both"/>
              <w:rPr>
                <w:rFonts w:ascii="Arial" w:hAnsi="Arial"/>
                <w:lang w:val="en-GB"/>
              </w:rPr>
            </w:pPr>
            <w:r>
              <w:rPr>
                <w:rFonts w:ascii="Arial" w:hAnsi="Arial"/>
                <w:lang w:val="en-GB"/>
              </w:rPr>
              <w:t xml:space="preserve">The ‘club’ was joined, although its size and the number of </w:t>
            </w:r>
            <w:r w:rsidR="00F77E90">
              <w:rPr>
                <w:rFonts w:ascii="Arial" w:hAnsi="Arial"/>
                <w:lang w:val="en-GB"/>
              </w:rPr>
              <w:t xml:space="preserve">‘London peer’ </w:t>
            </w:r>
            <w:r>
              <w:rPr>
                <w:rFonts w:ascii="Arial" w:hAnsi="Arial"/>
                <w:lang w:val="en-GB"/>
              </w:rPr>
              <w:t xml:space="preserve">associations actively involved mean that the </w:t>
            </w:r>
            <w:r w:rsidR="00F77E90">
              <w:rPr>
                <w:rFonts w:ascii="Arial" w:hAnsi="Arial"/>
                <w:lang w:val="en-GB"/>
              </w:rPr>
              <w:lastRenderedPageBreak/>
              <w:t xml:space="preserve">comparative data </w:t>
            </w:r>
            <w:r>
              <w:rPr>
                <w:rFonts w:ascii="Arial" w:hAnsi="Arial"/>
                <w:lang w:val="en-GB"/>
              </w:rPr>
              <w:t>to date ha</w:t>
            </w:r>
            <w:r w:rsidR="00F77E90">
              <w:rPr>
                <w:rFonts w:ascii="Arial" w:hAnsi="Arial"/>
                <w:lang w:val="en-GB"/>
              </w:rPr>
              <w:t>s</w:t>
            </w:r>
            <w:r>
              <w:rPr>
                <w:rFonts w:ascii="Arial" w:hAnsi="Arial"/>
                <w:lang w:val="en-GB"/>
              </w:rPr>
              <w:t xml:space="preserve"> been limited.</w:t>
            </w:r>
            <w:r w:rsidR="00F77E90">
              <w:rPr>
                <w:rFonts w:ascii="Arial" w:hAnsi="Arial"/>
                <w:lang w:val="en-GB"/>
              </w:rPr>
              <w:t xml:space="preserve"> More members of our L8 peer group are expected to join during 2016/17. </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A43D7B">
              <w:rPr>
                <w:rFonts w:ascii="Arial" w:hAnsi="Arial"/>
                <w:lang w:val="en-GB"/>
              </w:rPr>
              <w:lastRenderedPageBreak/>
              <w:t xml:space="preserve">Set up at least one new </w:t>
            </w:r>
            <w:r>
              <w:rPr>
                <w:rFonts w:ascii="Arial" w:hAnsi="Arial"/>
                <w:lang w:val="en-GB"/>
              </w:rPr>
              <w:t>derivative agreement</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To reduce the risk of future cash calls if further interest rate swaps are needed</w:t>
            </w:r>
          </w:p>
          <w:p w:rsidR="004C363B" w:rsidRDefault="004C363B" w:rsidP="00CF7AB6">
            <w:pPr>
              <w:jc w:val="both"/>
              <w:rPr>
                <w:rFonts w:ascii="Arial" w:hAnsi="Arial"/>
                <w:lang w:val="en-GB"/>
              </w:rPr>
            </w:pPr>
          </w:p>
          <w:p w:rsidR="004C363B" w:rsidRPr="00D46AD2" w:rsidRDefault="004C363B" w:rsidP="00CF7AB6">
            <w:pPr>
              <w:jc w:val="both"/>
              <w:rPr>
                <w:rFonts w:ascii="Arial" w:hAnsi="Arial"/>
                <w:lang w:val="en-GB"/>
              </w:rPr>
            </w:pP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Estimated £10k in legal fees</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None – this is to manage risk, rather than to save money</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None</w:t>
            </w:r>
          </w:p>
        </w:tc>
        <w:tc>
          <w:tcPr>
            <w:tcW w:w="1984" w:type="dxa"/>
          </w:tcPr>
          <w:p w:rsidR="004C363B" w:rsidRDefault="004C363B" w:rsidP="00A24565">
            <w:pPr>
              <w:jc w:val="both"/>
              <w:rPr>
                <w:rFonts w:ascii="Arial" w:hAnsi="Arial"/>
                <w:lang w:val="en-GB"/>
              </w:rPr>
            </w:pPr>
            <w:r>
              <w:rPr>
                <w:rFonts w:ascii="Arial" w:hAnsi="Arial"/>
                <w:lang w:val="en-GB"/>
              </w:rPr>
              <w:t>Not done – followed independent treasury advice to undertake embedded loan fixes instead</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A43D7B">
              <w:rPr>
                <w:rFonts w:ascii="Arial" w:hAnsi="Arial"/>
                <w:lang w:val="en-GB"/>
              </w:rPr>
              <w:t xml:space="preserve">Arrange further funding facility </w:t>
            </w: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fund the 15/18 development programme. </w:t>
            </w:r>
          </w:p>
        </w:tc>
        <w:tc>
          <w:tcPr>
            <w:tcW w:w="3009" w:type="dxa"/>
            <w:shd w:val="clear" w:color="auto" w:fill="auto"/>
          </w:tcPr>
          <w:p w:rsidR="004C363B" w:rsidRPr="00D46AD2" w:rsidRDefault="004C363B" w:rsidP="00CF7AB6">
            <w:pPr>
              <w:jc w:val="both"/>
              <w:rPr>
                <w:rFonts w:ascii="Arial" w:hAnsi="Arial"/>
                <w:highlight w:val="yellow"/>
                <w:lang w:val="en-GB"/>
              </w:rPr>
            </w:pPr>
            <w:r w:rsidRPr="00427062">
              <w:rPr>
                <w:rFonts w:ascii="Arial" w:hAnsi="Arial"/>
                <w:lang w:val="en-GB"/>
              </w:rPr>
              <w:t xml:space="preserve">Arrangement, legal and security charging fees of £179k for a £22m loan. </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Interest rate on the facility to be less than the 3.7% assumed in the Association’s budget </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To enable provision of a further 200 units of affordable housing. </w:t>
            </w:r>
          </w:p>
        </w:tc>
        <w:tc>
          <w:tcPr>
            <w:tcW w:w="1984" w:type="dxa"/>
          </w:tcPr>
          <w:p w:rsidR="004C363B" w:rsidRDefault="004C363B">
            <w:pPr>
              <w:jc w:val="both"/>
              <w:rPr>
                <w:rFonts w:ascii="Arial" w:hAnsi="Arial"/>
                <w:lang w:val="en-GB"/>
              </w:rPr>
            </w:pPr>
            <w:r>
              <w:rPr>
                <w:rFonts w:ascii="Arial" w:hAnsi="Arial"/>
                <w:lang w:val="en-GB"/>
              </w:rPr>
              <w:t xml:space="preserve">Loans of £34m arranged at a blended interest rate of </w:t>
            </w:r>
            <w:r w:rsidR="003C7092">
              <w:rPr>
                <w:rFonts w:ascii="Arial" w:hAnsi="Arial"/>
                <w:lang w:val="en-GB"/>
              </w:rPr>
              <w:t>2.</w:t>
            </w:r>
            <w:r w:rsidR="003C7092" w:rsidRPr="003C7092">
              <w:rPr>
                <w:rFonts w:ascii="Arial" w:hAnsi="Arial"/>
                <w:lang w:val="en-GB"/>
              </w:rPr>
              <w:t>31</w:t>
            </w:r>
            <w:r w:rsidRPr="00EC3479">
              <w:rPr>
                <w:rFonts w:ascii="Arial" w:hAnsi="Arial"/>
                <w:lang w:val="en-GB"/>
              </w:rPr>
              <w:t>%</w:t>
            </w:r>
          </w:p>
        </w:tc>
      </w:tr>
      <w:tr w:rsidR="004C363B" w:rsidRPr="00D46AD2" w:rsidTr="00CF7AB6">
        <w:tc>
          <w:tcPr>
            <w:tcW w:w="3015" w:type="dxa"/>
            <w:shd w:val="clear" w:color="auto" w:fill="auto"/>
          </w:tcPr>
          <w:p w:rsidR="004C363B" w:rsidRPr="00A43D7B" w:rsidRDefault="004C363B" w:rsidP="00CF7AB6">
            <w:pPr>
              <w:jc w:val="both"/>
              <w:rPr>
                <w:rFonts w:ascii="Arial" w:hAnsi="Arial"/>
                <w:lang w:val="en-GB"/>
              </w:rPr>
            </w:pPr>
            <w:r>
              <w:rPr>
                <w:rFonts w:ascii="Arial" w:hAnsi="Arial"/>
                <w:lang w:val="en-GB"/>
              </w:rPr>
              <w:t>Review our approach to identifying properties which should be sold</w:t>
            </w: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There may be factors, other than repair costs and poor social value, that make a property unfit for purpose.</w:t>
            </w:r>
          </w:p>
        </w:tc>
        <w:tc>
          <w:tcPr>
            <w:tcW w:w="3009" w:type="dxa"/>
            <w:shd w:val="clear" w:color="auto" w:fill="auto"/>
          </w:tcPr>
          <w:p w:rsidR="004C363B" w:rsidRPr="00427062" w:rsidRDefault="004C363B" w:rsidP="00CF7AB6">
            <w:pPr>
              <w:jc w:val="both"/>
              <w:rPr>
                <w:rFonts w:ascii="Arial" w:hAnsi="Arial"/>
                <w:lang w:val="en-GB"/>
              </w:rPr>
            </w:pPr>
            <w:r>
              <w:rPr>
                <w:rFonts w:ascii="Arial" w:hAnsi="Arial"/>
                <w:lang w:val="en-GB"/>
              </w:rPr>
              <w:t>Consultancy fees to help with this exercise.</w:t>
            </w:r>
          </w:p>
        </w:tc>
        <w:tc>
          <w:tcPr>
            <w:tcW w:w="1701" w:type="dxa"/>
            <w:shd w:val="clear" w:color="auto" w:fill="auto"/>
          </w:tcPr>
          <w:p w:rsidR="004C363B" w:rsidRDefault="004C363B" w:rsidP="00CF7AB6">
            <w:pPr>
              <w:jc w:val="both"/>
              <w:rPr>
                <w:rFonts w:ascii="Arial" w:hAnsi="Arial"/>
                <w:lang w:val="en-GB"/>
              </w:rPr>
            </w:pPr>
            <w:r>
              <w:rPr>
                <w:rFonts w:ascii="Arial" w:hAnsi="Arial"/>
                <w:lang w:val="en-GB"/>
              </w:rPr>
              <w:t>Resources released to invest in properties which are better fit for purpose.</w:t>
            </w:r>
          </w:p>
        </w:tc>
        <w:tc>
          <w:tcPr>
            <w:tcW w:w="1984" w:type="dxa"/>
            <w:shd w:val="clear" w:color="auto" w:fill="auto"/>
          </w:tcPr>
          <w:p w:rsidR="004C363B" w:rsidRDefault="004C363B" w:rsidP="00CF7AB6">
            <w:pPr>
              <w:jc w:val="both"/>
              <w:rPr>
                <w:rFonts w:ascii="Arial" w:hAnsi="Arial"/>
                <w:lang w:val="en-GB"/>
              </w:rPr>
            </w:pPr>
          </w:p>
        </w:tc>
        <w:tc>
          <w:tcPr>
            <w:tcW w:w="1984" w:type="dxa"/>
          </w:tcPr>
          <w:p w:rsidR="004C363B" w:rsidRDefault="00A944FE" w:rsidP="00CF7AB6">
            <w:pPr>
              <w:jc w:val="both"/>
              <w:rPr>
                <w:rFonts w:ascii="Arial" w:hAnsi="Arial"/>
                <w:lang w:val="en-GB"/>
              </w:rPr>
            </w:pPr>
            <w:r>
              <w:rPr>
                <w:rFonts w:ascii="Arial" w:hAnsi="Arial"/>
                <w:lang w:val="en-GB"/>
              </w:rPr>
              <w:t>This was completed in 2015/16 with significant changes being actioned during 2016/17.</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Improve SAP (energy efficiency) rating of existing homes through a combination of internal funding and external grant</w:t>
            </w: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To help address fuel poverty</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 xml:space="preserve">A £220k budget for energy efficiency improvements in 15/16, in addition to the improvements planned from replacing worn-out boilers, windows and roofs </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None to Hexagon</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To reduce fuel poverty by ensuring that, by March 2017 no Hexagon resident lives in a property with a SAP rating lower than 65</w:t>
            </w:r>
          </w:p>
        </w:tc>
        <w:tc>
          <w:tcPr>
            <w:tcW w:w="1984" w:type="dxa"/>
          </w:tcPr>
          <w:p w:rsidR="004C363B" w:rsidRDefault="00CE7AD4" w:rsidP="00CE7AD4">
            <w:pPr>
              <w:jc w:val="both"/>
              <w:rPr>
                <w:rFonts w:ascii="Arial" w:hAnsi="Arial"/>
                <w:lang w:val="en-GB"/>
              </w:rPr>
            </w:pPr>
            <w:r>
              <w:rPr>
                <w:rFonts w:ascii="Arial" w:hAnsi="Arial"/>
                <w:lang w:val="en-GB"/>
              </w:rPr>
              <w:t>This is a really challenging target and we were a little way behind the interim target that we set for ourselves for 2015/16.</w:t>
            </w:r>
          </w:p>
        </w:tc>
      </w:tr>
      <w:tr w:rsidR="004C363B" w:rsidRPr="00D46AD2" w:rsidTr="00CF7AB6">
        <w:tc>
          <w:tcPr>
            <w:tcW w:w="3015" w:type="dxa"/>
            <w:shd w:val="clear" w:color="auto" w:fill="auto"/>
          </w:tcPr>
          <w:p w:rsidR="004C363B" w:rsidRPr="00D46AD2" w:rsidRDefault="004C363B" w:rsidP="00CF7AB6">
            <w:pPr>
              <w:jc w:val="both"/>
              <w:rPr>
                <w:rFonts w:ascii="Arial" w:hAnsi="Arial"/>
                <w:lang w:val="en-GB"/>
              </w:rPr>
            </w:pPr>
            <w:r w:rsidRPr="002B0A96">
              <w:rPr>
                <w:rFonts w:ascii="Arial" w:hAnsi="Arial"/>
                <w:lang w:val="en-GB"/>
              </w:rPr>
              <w:t xml:space="preserve">Gas contract to be retendered through a procurement club </w:t>
            </w:r>
          </w:p>
        </w:tc>
        <w:tc>
          <w:tcPr>
            <w:tcW w:w="3015" w:type="dxa"/>
            <w:shd w:val="clear" w:color="auto" w:fill="auto"/>
          </w:tcPr>
          <w:p w:rsidR="004C363B" w:rsidRPr="00D46AD2" w:rsidRDefault="004C363B" w:rsidP="00CF7AB6">
            <w:pPr>
              <w:jc w:val="both"/>
              <w:rPr>
                <w:rFonts w:ascii="Arial" w:hAnsi="Arial"/>
                <w:highlight w:val="green"/>
                <w:lang w:val="en-GB"/>
              </w:rPr>
            </w:pPr>
            <w:r w:rsidRPr="00427062">
              <w:rPr>
                <w:rFonts w:ascii="Arial" w:hAnsi="Arial"/>
                <w:lang w:val="en-GB"/>
              </w:rPr>
              <w:t>To obtain services at best value</w:t>
            </w:r>
          </w:p>
        </w:tc>
        <w:tc>
          <w:tcPr>
            <w:tcW w:w="3009" w:type="dxa"/>
            <w:shd w:val="clear" w:color="auto" w:fill="auto"/>
          </w:tcPr>
          <w:p w:rsidR="004C363B" w:rsidRPr="00D46AD2" w:rsidRDefault="004C363B" w:rsidP="00CF7AB6">
            <w:pPr>
              <w:jc w:val="both"/>
              <w:rPr>
                <w:rFonts w:ascii="Arial" w:hAnsi="Arial"/>
                <w:highlight w:val="green"/>
                <w:lang w:val="en-GB"/>
              </w:rPr>
            </w:pPr>
            <w:r w:rsidRPr="00662408">
              <w:rPr>
                <w:rFonts w:ascii="Arial" w:hAnsi="Arial"/>
                <w:lang w:val="en-GB"/>
              </w:rPr>
              <w:t>Annual procurement club fee of £8k</w:t>
            </w:r>
            <w:r>
              <w:rPr>
                <w:rFonts w:ascii="Arial" w:hAnsi="Arial"/>
                <w:lang w:val="en-GB"/>
              </w:rPr>
              <w:t>, part of which supports other tender activity.</w:t>
            </w:r>
          </w:p>
        </w:tc>
        <w:tc>
          <w:tcPr>
            <w:tcW w:w="1701" w:type="dxa"/>
            <w:shd w:val="clear" w:color="auto" w:fill="auto"/>
          </w:tcPr>
          <w:p w:rsidR="004C363B" w:rsidRPr="00D46AD2" w:rsidRDefault="004C363B" w:rsidP="00CF7AB6">
            <w:pPr>
              <w:jc w:val="both"/>
              <w:rPr>
                <w:rFonts w:ascii="Arial" w:hAnsi="Arial"/>
                <w:highlight w:val="green"/>
                <w:lang w:val="en-GB"/>
              </w:rPr>
            </w:pPr>
            <w:r w:rsidRPr="00662408">
              <w:rPr>
                <w:rFonts w:ascii="Arial" w:hAnsi="Arial"/>
                <w:lang w:val="en-GB"/>
              </w:rPr>
              <w:t xml:space="preserve">Estimated saving of £10k in procurement costs </w:t>
            </w:r>
          </w:p>
        </w:tc>
        <w:tc>
          <w:tcPr>
            <w:tcW w:w="1984" w:type="dxa"/>
            <w:shd w:val="clear" w:color="auto" w:fill="auto"/>
          </w:tcPr>
          <w:p w:rsidR="004C363B" w:rsidRPr="00D46AD2" w:rsidRDefault="004C363B" w:rsidP="00CF7AB6">
            <w:pPr>
              <w:jc w:val="both"/>
              <w:rPr>
                <w:rFonts w:ascii="Arial" w:hAnsi="Arial"/>
                <w:highlight w:val="green"/>
                <w:lang w:val="en-GB"/>
              </w:rPr>
            </w:pPr>
            <w:r w:rsidRPr="00427062">
              <w:rPr>
                <w:rFonts w:ascii="Arial" w:hAnsi="Arial"/>
                <w:lang w:val="en-GB"/>
              </w:rPr>
              <w:t xml:space="preserve">Resident working group has an opportunity to shape the way that services are delivered. </w:t>
            </w:r>
          </w:p>
        </w:tc>
        <w:tc>
          <w:tcPr>
            <w:tcW w:w="1984" w:type="dxa"/>
          </w:tcPr>
          <w:p w:rsidR="004C363B" w:rsidRPr="00427062" w:rsidRDefault="00CE7AD4" w:rsidP="004B7721">
            <w:pPr>
              <w:jc w:val="both"/>
              <w:rPr>
                <w:rFonts w:ascii="Arial" w:hAnsi="Arial"/>
                <w:lang w:val="en-GB"/>
              </w:rPr>
            </w:pPr>
            <w:r>
              <w:rPr>
                <w:rFonts w:ascii="Arial" w:hAnsi="Arial"/>
                <w:lang w:val="en-GB"/>
              </w:rPr>
              <w:t>This was undertaken through the South East Consortium (SEC) procurement club during 2015/16</w:t>
            </w:r>
            <w:r w:rsidR="009315B4">
              <w:rPr>
                <w:rFonts w:ascii="Arial" w:hAnsi="Arial"/>
                <w:lang w:val="en-GB"/>
              </w:rPr>
              <w:t>.</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A review </w:t>
            </w:r>
            <w:r>
              <w:rPr>
                <w:rFonts w:ascii="Arial" w:hAnsi="Arial"/>
                <w:lang w:val="en-GB"/>
              </w:rPr>
              <w:t>of voids</w:t>
            </w:r>
            <w:r w:rsidRPr="002B0A96">
              <w:rPr>
                <w:rFonts w:ascii="Arial" w:hAnsi="Arial"/>
                <w:lang w:val="en-GB"/>
              </w:rPr>
              <w:t xml:space="preserve"> to look at</w:t>
            </w:r>
          </w:p>
          <w:p w:rsidR="004C363B" w:rsidRPr="002B0A96" w:rsidRDefault="004C363B" w:rsidP="00CF7AB6">
            <w:pPr>
              <w:jc w:val="both"/>
              <w:rPr>
                <w:rFonts w:ascii="Arial" w:hAnsi="Arial"/>
                <w:lang w:val="en-GB"/>
              </w:rPr>
            </w:pPr>
            <w:r w:rsidRPr="002B0A96">
              <w:rPr>
                <w:rFonts w:ascii="Arial" w:hAnsi="Arial"/>
                <w:lang w:val="en-GB"/>
              </w:rPr>
              <w:t>• Where performance can be improved;</w:t>
            </w:r>
          </w:p>
          <w:p w:rsidR="004C363B" w:rsidRDefault="004C363B" w:rsidP="00CF7AB6">
            <w:pPr>
              <w:jc w:val="both"/>
              <w:rPr>
                <w:rFonts w:ascii="Arial" w:hAnsi="Arial"/>
                <w:lang w:val="en-GB"/>
              </w:rPr>
            </w:pPr>
            <w:r w:rsidRPr="002B0A96">
              <w:rPr>
                <w:rFonts w:ascii="Arial" w:hAnsi="Arial"/>
                <w:lang w:val="en-GB"/>
              </w:rPr>
              <w:t>• The costs and benefits for better software to help track voids.</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t>Improve performance on void turnaround time</w:t>
            </w:r>
          </w:p>
        </w:tc>
        <w:tc>
          <w:tcPr>
            <w:tcW w:w="3009" w:type="dxa"/>
            <w:shd w:val="clear" w:color="auto" w:fill="auto"/>
          </w:tcPr>
          <w:p w:rsidR="004C363B" w:rsidRPr="00D46AD2" w:rsidRDefault="004C363B" w:rsidP="00CF7AB6">
            <w:pPr>
              <w:jc w:val="both"/>
              <w:rPr>
                <w:rFonts w:ascii="Arial" w:hAnsi="Arial"/>
                <w:lang w:val="en-GB"/>
              </w:rPr>
            </w:pPr>
            <w:r>
              <w:rPr>
                <w:rFonts w:ascii="Arial" w:hAnsi="Arial"/>
                <w:lang w:val="en-GB"/>
              </w:rPr>
              <w:t>None – review to be undertaken by business improvement team</w:t>
            </w:r>
          </w:p>
        </w:tc>
        <w:tc>
          <w:tcPr>
            <w:tcW w:w="1701" w:type="dxa"/>
            <w:shd w:val="clear" w:color="auto" w:fill="auto"/>
          </w:tcPr>
          <w:p w:rsidR="004C363B" w:rsidRPr="00D46AD2" w:rsidRDefault="004C363B" w:rsidP="00CF7AB6">
            <w:pPr>
              <w:jc w:val="both"/>
              <w:rPr>
                <w:rFonts w:ascii="Arial" w:hAnsi="Arial"/>
                <w:lang w:val="en-GB"/>
              </w:rPr>
            </w:pPr>
            <w:r>
              <w:rPr>
                <w:rFonts w:ascii="Arial" w:hAnsi="Arial"/>
                <w:lang w:val="en-GB"/>
              </w:rPr>
              <w:t>Reduction in rent and service charges lost during void periods</w:t>
            </w:r>
          </w:p>
        </w:tc>
        <w:tc>
          <w:tcPr>
            <w:tcW w:w="1984" w:type="dxa"/>
            <w:shd w:val="clear" w:color="auto" w:fill="auto"/>
          </w:tcPr>
          <w:p w:rsidR="004C363B" w:rsidRPr="00D46AD2" w:rsidRDefault="004C363B" w:rsidP="00CF7AB6">
            <w:pPr>
              <w:jc w:val="both"/>
              <w:rPr>
                <w:rFonts w:ascii="Arial" w:hAnsi="Arial"/>
                <w:lang w:val="en-GB"/>
              </w:rPr>
            </w:pPr>
            <w:r>
              <w:rPr>
                <w:rFonts w:ascii="Arial" w:hAnsi="Arial"/>
                <w:lang w:val="en-GB"/>
              </w:rPr>
              <w:t>Letting empty properties more quickly to households in need</w:t>
            </w:r>
          </w:p>
        </w:tc>
        <w:tc>
          <w:tcPr>
            <w:tcW w:w="1984" w:type="dxa"/>
          </w:tcPr>
          <w:p w:rsidR="004C363B" w:rsidRDefault="00CE7AD4" w:rsidP="00CF7AB6">
            <w:pPr>
              <w:jc w:val="both"/>
              <w:rPr>
                <w:rFonts w:ascii="Arial" w:hAnsi="Arial"/>
                <w:lang w:val="en-GB"/>
              </w:rPr>
            </w:pPr>
            <w:r>
              <w:rPr>
                <w:rFonts w:ascii="Arial" w:hAnsi="Arial"/>
                <w:lang w:val="en-GB"/>
              </w:rPr>
              <w:t xml:space="preserve">Revised recording &amp; reporting systems were produced during the year which has enabled a better understanding of trends in delays. </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Improved reporting on </w:t>
            </w:r>
            <w:r w:rsidRPr="002B0A96">
              <w:rPr>
                <w:rFonts w:ascii="Arial" w:hAnsi="Arial"/>
                <w:lang w:val="en-GB"/>
              </w:rPr>
              <w:lastRenderedPageBreak/>
              <w:t>void activity to effectively monitor void</w:t>
            </w:r>
          </w:p>
          <w:p w:rsidR="004C363B" w:rsidRDefault="004C363B" w:rsidP="00CF7AB6">
            <w:pPr>
              <w:jc w:val="both"/>
              <w:rPr>
                <w:rFonts w:ascii="Arial" w:hAnsi="Arial"/>
                <w:lang w:val="en-GB"/>
              </w:rPr>
            </w:pPr>
            <w:r w:rsidRPr="002B0A96">
              <w:rPr>
                <w:rFonts w:ascii="Arial" w:hAnsi="Arial"/>
                <w:lang w:val="en-GB"/>
              </w:rPr>
              <w:t>expenditure and manage performance</w:t>
            </w:r>
          </w:p>
          <w:p w:rsidR="004C363B" w:rsidRPr="00D46AD2" w:rsidRDefault="004C363B" w:rsidP="00CF7AB6">
            <w:pPr>
              <w:jc w:val="both"/>
              <w:rPr>
                <w:rFonts w:ascii="Arial" w:hAnsi="Arial"/>
                <w:lang w:val="en-GB"/>
              </w:rPr>
            </w:pPr>
          </w:p>
        </w:tc>
        <w:tc>
          <w:tcPr>
            <w:tcW w:w="3015" w:type="dxa"/>
            <w:shd w:val="clear" w:color="auto" w:fill="auto"/>
          </w:tcPr>
          <w:p w:rsidR="004C363B" w:rsidRPr="00D46AD2" w:rsidRDefault="004C363B" w:rsidP="00CF7AB6">
            <w:pPr>
              <w:jc w:val="both"/>
              <w:rPr>
                <w:rFonts w:ascii="Arial" w:hAnsi="Arial"/>
                <w:lang w:val="en-GB"/>
              </w:rPr>
            </w:pPr>
            <w:r>
              <w:rPr>
                <w:rFonts w:ascii="Arial" w:hAnsi="Arial"/>
                <w:lang w:val="en-GB"/>
              </w:rPr>
              <w:lastRenderedPageBreak/>
              <w:t>As above</w:t>
            </w:r>
          </w:p>
        </w:tc>
        <w:tc>
          <w:tcPr>
            <w:tcW w:w="3009" w:type="dxa"/>
            <w:shd w:val="clear" w:color="auto" w:fill="auto"/>
          </w:tcPr>
          <w:p w:rsidR="004C363B" w:rsidRPr="00427062" w:rsidRDefault="004C363B" w:rsidP="00CF7AB6">
            <w:pPr>
              <w:jc w:val="both"/>
              <w:rPr>
                <w:rFonts w:ascii="Arial" w:hAnsi="Arial" w:cs="Arial"/>
                <w:highlight w:val="magenta"/>
                <w:lang w:val="en-GB"/>
              </w:rPr>
            </w:pPr>
            <w:r w:rsidRPr="00427062">
              <w:rPr>
                <w:rFonts w:ascii="Arial" w:hAnsi="Arial" w:cs="Arial"/>
              </w:rPr>
              <w:t>As above</w:t>
            </w:r>
          </w:p>
        </w:tc>
        <w:tc>
          <w:tcPr>
            <w:tcW w:w="1701"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As above</w:t>
            </w:r>
          </w:p>
        </w:tc>
        <w:tc>
          <w:tcPr>
            <w:tcW w:w="1984" w:type="dxa"/>
            <w:shd w:val="clear" w:color="auto" w:fill="auto"/>
          </w:tcPr>
          <w:p w:rsidR="004C363B" w:rsidRPr="00427062" w:rsidRDefault="004C363B" w:rsidP="00CF7AB6">
            <w:pPr>
              <w:jc w:val="both"/>
              <w:rPr>
                <w:rFonts w:ascii="Arial" w:hAnsi="Arial" w:cs="Arial"/>
                <w:lang w:val="en-GB"/>
              </w:rPr>
            </w:pPr>
            <w:r w:rsidRPr="00427062">
              <w:rPr>
                <w:rFonts w:ascii="Arial" w:hAnsi="Arial" w:cs="Arial"/>
              </w:rPr>
              <w:t>As above</w:t>
            </w:r>
          </w:p>
        </w:tc>
        <w:tc>
          <w:tcPr>
            <w:tcW w:w="1984" w:type="dxa"/>
          </w:tcPr>
          <w:p w:rsidR="004C363B" w:rsidRPr="00427062" w:rsidRDefault="00CE7AD4" w:rsidP="00CF7AB6">
            <w:pPr>
              <w:jc w:val="both"/>
              <w:rPr>
                <w:rFonts w:ascii="Arial" w:hAnsi="Arial" w:cs="Arial"/>
              </w:rPr>
            </w:pPr>
            <w:r>
              <w:rPr>
                <w:rFonts w:ascii="Arial" w:hAnsi="Arial"/>
                <w:lang w:val="en-GB"/>
              </w:rPr>
              <w:t>See previous</w:t>
            </w:r>
          </w:p>
        </w:tc>
      </w:tr>
      <w:tr w:rsidR="004C363B" w:rsidRPr="00D46AD2" w:rsidTr="00CF7AB6">
        <w:tc>
          <w:tcPr>
            <w:tcW w:w="3015" w:type="dxa"/>
            <w:shd w:val="clear" w:color="auto" w:fill="auto"/>
          </w:tcPr>
          <w:p w:rsidR="004C363B" w:rsidRDefault="004C363B" w:rsidP="00CF7AB6">
            <w:pPr>
              <w:jc w:val="both"/>
              <w:rPr>
                <w:rFonts w:ascii="Arial" w:hAnsi="Arial"/>
                <w:lang w:val="en-GB"/>
              </w:rPr>
            </w:pPr>
            <w:r>
              <w:rPr>
                <w:rFonts w:ascii="Arial" w:hAnsi="Arial"/>
                <w:lang w:val="en-GB"/>
              </w:rPr>
              <w:lastRenderedPageBreak/>
              <w:t>Review the use of PDAs for obtaining survey data about cyclical repairs if the response rate dies not improve during 15/16.</w:t>
            </w:r>
          </w:p>
          <w:p w:rsidR="004C363B" w:rsidRPr="002B0A96" w:rsidRDefault="004C363B" w:rsidP="00CF7AB6">
            <w:pPr>
              <w:jc w:val="both"/>
              <w:rPr>
                <w:rFonts w:ascii="Arial" w:hAnsi="Arial"/>
                <w:lang w:val="en-GB"/>
              </w:rPr>
            </w:pPr>
          </w:p>
        </w:tc>
        <w:tc>
          <w:tcPr>
            <w:tcW w:w="3015" w:type="dxa"/>
            <w:shd w:val="clear" w:color="auto" w:fill="auto"/>
          </w:tcPr>
          <w:p w:rsidR="004C363B" w:rsidRDefault="004C363B" w:rsidP="00CF7AB6">
            <w:pPr>
              <w:jc w:val="both"/>
              <w:rPr>
                <w:rFonts w:ascii="Arial" w:hAnsi="Arial"/>
                <w:lang w:val="en-GB"/>
              </w:rPr>
            </w:pPr>
            <w:r>
              <w:rPr>
                <w:rFonts w:ascii="Arial" w:hAnsi="Arial"/>
                <w:lang w:val="en-GB"/>
              </w:rPr>
              <w:t>To identify the most effective survey method.</w:t>
            </w:r>
          </w:p>
        </w:tc>
        <w:tc>
          <w:tcPr>
            <w:tcW w:w="3009" w:type="dxa"/>
            <w:shd w:val="clear" w:color="auto" w:fill="auto"/>
          </w:tcPr>
          <w:p w:rsidR="004C363B" w:rsidRPr="00427062" w:rsidRDefault="004C363B" w:rsidP="00CF7AB6">
            <w:pPr>
              <w:jc w:val="both"/>
              <w:rPr>
                <w:rFonts w:ascii="Arial" w:hAnsi="Arial" w:cs="Arial"/>
              </w:rPr>
            </w:pPr>
          </w:p>
        </w:tc>
        <w:tc>
          <w:tcPr>
            <w:tcW w:w="1701" w:type="dxa"/>
            <w:shd w:val="clear" w:color="auto" w:fill="auto"/>
          </w:tcPr>
          <w:p w:rsidR="004C363B" w:rsidRPr="00427062" w:rsidRDefault="004C363B" w:rsidP="00CF7AB6">
            <w:pPr>
              <w:jc w:val="both"/>
              <w:rPr>
                <w:rFonts w:ascii="Arial" w:hAnsi="Arial" w:cs="Arial"/>
              </w:rPr>
            </w:pPr>
          </w:p>
        </w:tc>
        <w:tc>
          <w:tcPr>
            <w:tcW w:w="1984" w:type="dxa"/>
            <w:shd w:val="clear" w:color="auto" w:fill="auto"/>
          </w:tcPr>
          <w:p w:rsidR="004C363B" w:rsidRPr="00427062" w:rsidRDefault="004C363B" w:rsidP="00CF7AB6">
            <w:pPr>
              <w:jc w:val="both"/>
              <w:rPr>
                <w:rFonts w:ascii="Arial" w:hAnsi="Arial" w:cs="Arial"/>
              </w:rPr>
            </w:pPr>
          </w:p>
        </w:tc>
        <w:tc>
          <w:tcPr>
            <w:tcW w:w="1984" w:type="dxa"/>
          </w:tcPr>
          <w:p w:rsidR="004C363B" w:rsidRPr="00427062" w:rsidRDefault="00E5046D" w:rsidP="00CF7AB6">
            <w:pPr>
              <w:jc w:val="both"/>
              <w:rPr>
                <w:rFonts w:ascii="Arial" w:hAnsi="Arial" w:cs="Arial"/>
              </w:rPr>
            </w:pPr>
            <w:r>
              <w:rPr>
                <w:rFonts w:ascii="Arial" w:hAnsi="Arial"/>
                <w:lang w:val="en-GB"/>
              </w:rPr>
              <w:t>This happened during 2015/16 – with tablets purchased for the use of Planned Surveyors.</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sidRPr="002B0A96">
              <w:rPr>
                <w:rFonts w:ascii="Arial" w:hAnsi="Arial"/>
                <w:lang w:val="en-GB"/>
              </w:rPr>
              <w:t xml:space="preserve">Retender the Cleaning and Grounds Maintenance contracts </w:t>
            </w:r>
          </w:p>
        </w:tc>
        <w:tc>
          <w:tcPr>
            <w:tcW w:w="3015" w:type="dxa"/>
            <w:shd w:val="clear" w:color="auto" w:fill="auto"/>
          </w:tcPr>
          <w:p w:rsidR="004C363B" w:rsidRPr="00D46AD2" w:rsidRDefault="004C363B" w:rsidP="00CF7AB6">
            <w:pPr>
              <w:jc w:val="both"/>
              <w:rPr>
                <w:rFonts w:ascii="Arial" w:hAnsi="Arial"/>
                <w:lang w:val="en-GB"/>
              </w:rPr>
            </w:pPr>
            <w:r w:rsidRPr="008E304C">
              <w:rPr>
                <w:rFonts w:ascii="Arial" w:hAnsi="Arial"/>
                <w:lang w:val="en-GB"/>
              </w:rPr>
              <w:t>To obtain services at best value</w:t>
            </w:r>
            <w:r>
              <w:rPr>
                <w:rFonts w:ascii="Arial" w:hAnsi="Arial"/>
                <w:lang w:val="en-GB"/>
              </w:rPr>
              <w:t>, with some enhancements of service delivery</w:t>
            </w:r>
          </w:p>
        </w:tc>
        <w:tc>
          <w:tcPr>
            <w:tcW w:w="3009" w:type="dxa"/>
            <w:shd w:val="clear" w:color="auto" w:fill="auto"/>
          </w:tcPr>
          <w:p w:rsidR="004C363B" w:rsidRPr="00662408" w:rsidRDefault="004C363B" w:rsidP="00CF7AB6">
            <w:pPr>
              <w:jc w:val="both"/>
              <w:rPr>
                <w:rFonts w:ascii="Arial" w:hAnsi="Arial"/>
                <w:lang w:val="en-GB"/>
              </w:rPr>
            </w:pPr>
            <w:r w:rsidRPr="00662408">
              <w:rPr>
                <w:rFonts w:ascii="Arial" w:hAnsi="Arial"/>
                <w:lang w:val="en-GB"/>
              </w:rPr>
              <w:t>£8k plus opportunity costs of staff time.</w:t>
            </w:r>
          </w:p>
        </w:tc>
        <w:tc>
          <w:tcPr>
            <w:tcW w:w="1701" w:type="dxa"/>
            <w:shd w:val="clear" w:color="auto" w:fill="auto"/>
          </w:tcPr>
          <w:p w:rsidR="004C363B" w:rsidRDefault="004C363B" w:rsidP="00CF7AB6">
            <w:pPr>
              <w:jc w:val="both"/>
              <w:rPr>
                <w:rFonts w:ascii="Arial" w:hAnsi="Arial"/>
                <w:lang w:val="en-GB"/>
              </w:rPr>
            </w:pPr>
            <w:r>
              <w:rPr>
                <w:rFonts w:ascii="Arial" w:hAnsi="Arial"/>
                <w:lang w:val="en-GB"/>
              </w:rPr>
              <w:t xml:space="preserve">For residents, the aim is to provide a better service for the same cost. </w:t>
            </w:r>
          </w:p>
          <w:p w:rsidR="004C363B" w:rsidRPr="00D46AD2" w:rsidRDefault="004C363B" w:rsidP="00CF7AB6">
            <w:pPr>
              <w:jc w:val="both"/>
              <w:rPr>
                <w:rFonts w:ascii="Arial" w:hAnsi="Arial"/>
                <w:lang w:val="en-GB"/>
              </w:rPr>
            </w:pPr>
            <w:r>
              <w:rPr>
                <w:rFonts w:ascii="Arial" w:hAnsi="Arial"/>
                <w:lang w:val="en-GB"/>
              </w:rPr>
              <w:t>For Hexagon, there may be a small improvement in un-recoverable services charges.</w:t>
            </w:r>
          </w:p>
        </w:tc>
        <w:tc>
          <w:tcPr>
            <w:tcW w:w="1984" w:type="dxa"/>
            <w:shd w:val="clear" w:color="auto" w:fill="auto"/>
          </w:tcPr>
          <w:p w:rsidR="004C363B" w:rsidRDefault="004C363B" w:rsidP="00CF7AB6">
            <w:pPr>
              <w:jc w:val="both"/>
              <w:rPr>
                <w:rFonts w:ascii="Arial" w:hAnsi="Arial"/>
                <w:lang w:val="en-GB"/>
              </w:rPr>
            </w:pPr>
            <w:r w:rsidRPr="00662408">
              <w:rPr>
                <w:rFonts w:ascii="Arial" w:hAnsi="Arial"/>
                <w:lang w:val="en-GB"/>
              </w:rPr>
              <w:t>Resident working group has an opportunity to shape the way that services are delivered.</w:t>
            </w:r>
            <w:r>
              <w:rPr>
                <w:rFonts w:ascii="Arial" w:hAnsi="Arial"/>
                <w:lang w:val="en-GB"/>
              </w:rPr>
              <w:t xml:space="preserve"> </w:t>
            </w:r>
          </w:p>
          <w:p w:rsidR="004C363B" w:rsidRPr="00D46AD2" w:rsidRDefault="004C363B" w:rsidP="00CF7AB6">
            <w:pPr>
              <w:jc w:val="both"/>
              <w:rPr>
                <w:rFonts w:ascii="Arial" w:hAnsi="Arial"/>
                <w:lang w:val="en-GB"/>
              </w:rPr>
            </w:pPr>
          </w:p>
        </w:tc>
        <w:tc>
          <w:tcPr>
            <w:tcW w:w="1984" w:type="dxa"/>
          </w:tcPr>
          <w:p w:rsidR="004C363B" w:rsidRPr="00662408" w:rsidRDefault="002711B8" w:rsidP="00CF7AB6">
            <w:pPr>
              <w:jc w:val="both"/>
              <w:rPr>
                <w:rFonts w:ascii="Arial" w:hAnsi="Arial"/>
                <w:lang w:val="en-GB"/>
              </w:rPr>
            </w:pPr>
            <w:r>
              <w:rPr>
                <w:rFonts w:ascii="Arial" w:hAnsi="Arial"/>
                <w:lang w:val="en-GB"/>
              </w:rPr>
              <w:t>This was done during 2015/16, with new contracts starting in May 2016.</w:t>
            </w:r>
          </w:p>
        </w:tc>
      </w:tr>
      <w:tr w:rsidR="004C363B" w:rsidRPr="00D46AD2" w:rsidTr="00CF7AB6">
        <w:tc>
          <w:tcPr>
            <w:tcW w:w="3015" w:type="dxa"/>
            <w:shd w:val="clear" w:color="auto" w:fill="auto"/>
          </w:tcPr>
          <w:p w:rsidR="004C363B" w:rsidRPr="002B0A96" w:rsidRDefault="004C363B" w:rsidP="00CF7AB6">
            <w:pPr>
              <w:jc w:val="both"/>
              <w:rPr>
                <w:rFonts w:ascii="Arial" w:hAnsi="Arial"/>
                <w:lang w:val="en-GB"/>
              </w:rPr>
            </w:pPr>
            <w:r>
              <w:rPr>
                <w:rFonts w:ascii="Arial" w:hAnsi="Arial"/>
                <w:lang w:val="en-GB"/>
              </w:rPr>
              <w:t>Assess the impact of the new contracts officer on resident satisfaction with estate services.</w:t>
            </w:r>
          </w:p>
        </w:tc>
        <w:tc>
          <w:tcPr>
            <w:tcW w:w="3015" w:type="dxa"/>
            <w:shd w:val="clear" w:color="auto" w:fill="auto"/>
          </w:tcPr>
          <w:p w:rsidR="004C363B" w:rsidRPr="008E304C" w:rsidRDefault="004C363B" w:rsidP="00CF7AB6">
            <w:pPr>
              <w:jc w:val="both"/>
              <w:rPr>
                <w:rFonts w:ascii="Arial" w:hAnsi="Arial"/>
                <w:lang w:val="en-GB"/>
              </w:rPr>
            </w:pPr>
            <w:r>
              <w:rPr>
                <w:rFonts w:ascii="Arial" w:hAnsi="Arial"/>
                <w:lang w:val="en-GB"/>
              </w:rPr>
              <w:t>To check whether the new post is improving services to residents.</w:t>
            </w:r>
          </w:p>
        </w:tc>
        <w:tc>
          <w:tcPr>
            <w:tcW w:w="3009" w:type="dxa"/>
            <w:shd w:val="clear" w:color="auto" w:fill="auto"/>
          </w:tcPr>
          <w:p w:rsidR="004C363B" w:rsidRPr="00662408" w:rsidRDefault="004C363B" w:rsidP="00CF7AB6">
            <w:pPr>
              <w:jc w:val="both"/>
              <w:rPr>
                <w:rFonts w:ascii="Arial" w:hAnsi="Arial"/>
                <w:lang w:val="en-GB"/>
              </w:rPr>
            </w:pPr>
          </w:p>
        </w:tc>
        <w:tc>
          <w:tcPr>
            <w:tcW w:w="1701" w:type="dxa"/>
            <w:shd w:val="clear" w:color="auto" w:fill="auto"/>
          </w:tcPr>
          <w:p w:rsidR="004C363B" w:rsidRDefault="004C363B" w:rsidP="00CF7AB6">
            <w:pPr>
              <w:jc w:val="both"/>
              <w:rPr>
                <w:rFonts w:ascii="Arial" w:hAnsi="Arial"/>
                <w:lang w:val="en-GB"/>
              </w:rPr>
            </w:pPr>
          </w:p>
        </w:tc>
        <w:tc>
          <w:tcPr>
            <w:tcW w:w="1984" w:type="dxa"/>
            <w:shd w:val="clear" w:color="auto" w:fill="auto"/>
          </w:tcPr>
          <w:p w:rsidR="004C363B" w:rsidRPr="00662408" w:rsidRDefault="004C363B" w:rsidP="00CF7AB6">
            <w:pPr>
              <w:jc w:val="both"/>
              <w:rPr>
                <w:rFonts w:ascii="Arial" w:hAnsi="Arial"/>
                <w:lang w:val="en-GB"/>
              </w:rPr>
            </w:pPr>
          </w:p>
        </w:tc>
        <w:tc>
          <w:tcPr>
            <w:tcW w:w="1984" w:type="dxa"/>
          </w:tcPr>
          <w:p w:rsidR="004C363B" w:rsidRPr="00662408" w:rsidRDefault="00CE7AD4" w:rsidP="00CF7AB6">
            <w:pPr>
              <w:jc w:val="both"/>
              <w:rPr>
                <w:rFonts w:ascii="Arial" w:hAnsi="Arial"/>
                <w:lang w:val="en-GB"/>
              </w:rPr>
            </w:pPr>
            <w:r>
              <w:rPr>
                <w:rFonts w:ascii="Arial" w:hAnsi="Arial"/>
                <w:lang w:val="en-GB"/>
              </w:rPr>
              <w:t xml:space="preserve">This was </w:t>
            </w:r>
            <w:r w:rsidR="002711B8">
              <w:rPr>
                <w:rFonts w:ascii="Arial" w:hAnsi="Arial"/>
                <w:lang w:val="en-GB"/>
              </w:rPr>
              <w:t xml:space="preserve">reviewed and felt to be making a positive </w:t>
            </w:r>
            <w:r w:rsidR="002711B8">
              <w:rPr>
                <w:rFonts w:ascii="Arial" w:hAnsi="Arial"/>
                <w:lang w:val="en-GB"/>
              </w:rPr>
              <w:lastRenderedPageBreak/>
              <w:t>impact so the post was made permanent.</w:t>
            </w:r>
          </w:p>
        </w:tc>
      </w:tr>
    </w:tbl>
    <w:p w:rsidR="00AF5CAA" w:rsidRDefault="00AF5CAA" w:rsidP="00BC65C9">
      <w:pPr>
        <w:jc w:val="both"/>
        <w:rPr>
          <w:rFonts w:cs="Arial"/>
          <w:highlight w:val="green"/>
        </w:rPr>
      </w:pPr>
    </w:p>
    <w:p w:rsidR="000A3B0C" w:rsidRDefault="000A3B0C" w:rsidP="00FE04A2">
      <w:pPr>
        <w:jc w:val="both"/>
        <w:rPr>
          <w:rFonts w:ascii="Arial" w:hAnsi="Arial"/>
          <w:lang w:val="en-GB"/>
        </w:rPr>
      </w:pPr>
    </w:p>
    <w:p w:rsidR="00AF5CAA" w:rsidRPr="003B6032" w:rsidRDefault="00E21F11" w:rsidP="00BC65C9">
      <w:pPr>
        <w:jc w:val="both"/>
        <w:rPr>
          <w:rFonts w:ascii="Arial" w:hAnsi="Arial"/>
          <w:lang w:val="en-G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A43D7B" w:rsidRPr="003B6032" w:rsidRDefault="00A43D7B" w:rsidP="00427062">
      <w:pPr>
        <w:jc w:val="both"/>
        <w:rPr>
          <w:rFonts w:ascii="Arial" w:hAnsi="Arial"/>
          <w:lang w:val="en-GB"/>
        </w:rPr>
      </w:pPr>
    </w:p>
    <w:sectPr w:rsidR="00A43D7B" w:rsidRPr="003B6032" w:rsidSect="00C65158">
      <w:headerReference w:type="even" r:id="rId30"/>
      <w:headerReference w:type="default" r:id="rId31"/>
      <w:footerReference w:type="even" r:id="rId32"/>
      <w:footerReference w:type="default" r:id="rId33"/>
      <w:headerReference w:type="first" r:id="rId34"/>
      <w:footerReference w:type="first" r:id="rId35"/>
      <w:pgSz w:w="16840" w:h="11907" w:orient="landscape"/>
      <w:pgMar w:top="1418" w:right="539" w:bottom="1418"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6E" w:rsidRDefault="00F5056E">
      <w:r>
        <w:separator/>
      </w:r>
    </w:p>
  </w:endnote>
  <w:endnote w:type="continuationSeparator" w:id="0">
    <w:p w:rsidR="00F5056E" w:rsidRDefault="00F5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6E" w:rsidRDefault="00F5056E">
    <w:pPr>
      <w:pStyle w:val="Footer"/>
    </w:pPr>
    <w:r>
      <w:rPr>
        <w:rStyle w:val="PageNumber"/>
      </w:rPr>
      <w:fldChar w:fldCharType="begin"/>
    </w:r>
    <w:r>
      <w:rPr>
        <w:rStyle w:val="PageNumber"/>
      </w:rPr>
      <w:instrText xml:space="preserve"> PAGE </w:instrText>
    </w:r>
    <w:r>
      <w:rPr>
        <w:rStyle w:val="PageNumber"/>
      </w:rPr>
      <w:fldChar w:fldCharType="separate"/>
    </w:r>
    <w:r w:rsidR="00704EBD">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6E" w:rsidRDefault="00F5056E">
      <w:r>
        <w:separator/>
      </w:r>
    </w:p>
  </w:footnote>
  <w:footnote w:type="continuationSeparator" w:id="0">
    <w:p w:rsidR="00F5056E" w:rsidRDefault="00F5056E">
      <w:r>
        <w:continuationSeparator/>
      </w:r>
    </w:p>
  </w:footnote>
  <w:footnote w:id="1">
    <w:p w:rsidR="00F5056E" w:rsidRPr="00662408" w:rsidRDefault="00F5056E">
      <w:pPr>
        <w:pStyle w:val="FootnoteText"/>
        <w:rPr>
          <w:lang w:val="en-GB"/>
        </w:rPr>
      </w:pPr>
      <w:r w:rsidRPr="004B7721">
        <w:rPr>
          <w:rStyle w:val="FootnoteReference"/>
        </w:rPr>
        <w:footnoteRef/>
      </w:r>
      <w:r w:rsidRPr="004B7721">
        <w:t xml:space="preserve"> </w:t>
      </w:r>
      <w:r w:rsidRPr="004B7721">
        <w:rPr>
          <w:lang w:val="en-GB"/>
        </w:rPr>
        <w:t xml:space="preserve">We generally use all London housing associations and data for the most recent year as our benchmark within HouseMark, however, this option is not possible on the ‘public’ </w:t>
      </w:r>
      <w:r w:rsidR="009315B4" w:rsidRPr="004B7721">
        <w:rPr>
          <w:lang w:val="en-GB"/>
        </w:rPr>
        <w:t>dashboard which</w:t>
      </w:r>
      <w:r w:rsidRPr="004B7721">
        <w:rPr>
          <w:lang w:val="en-GB"/>
        </w:rPr>
        <w:t xml:space="preserve"> is for housing associations of up to 7500 homes and also includes data for 201</w:t>
      </w:r>
      <w:r w:rsidR="00820CC2" w:rsidRPr="004B7721">
        <w:rPr>
          <w:lang w:val="en-GB"/>
        </w:rPr>
        <w:t>13/14</w:t>
      </w:r>
      <w:r w:rsidRPr="004B7721">
        <w:rPr>
          <w:lang w:val="en-GB"/>
        </w:rPr>
        <w:t xml:space="preserve"> where the organisation has not submitted data in 201</w:t>
      </w:r>
      <w:r w:rsidR="00820CC2" w:rsidRPr="004B7721">
        <w:rPr>
          <w:lang w:val="en-GB"/>
        </w:rPr>
        <w:t>2/13</w:t>
      </w:r>
      <w:r w:rsidRPr="004B7721">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EC" w:rsidRDefault="00B2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FFC"/>
    <w:multiLevelType w:val="hybridMultilevel"/>
    <w:tmpl w:val="41D6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40F4B"/>
    <w:multiLevelType w:val="multilevel"/>
    <w:tmpl w:val="BE9AB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FE22AD"/>
    <w:multiLevelType w:val="hybridMultilevel"/>
    <w:tmpl w:val="240E9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BA3362"/>
    <w:multiLevelType w:val="hybridMultilevel"/>
    <w:tmpl w:val="C8B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92C9C"/>
    <w:multiLevelType w:val="hybridMultilevel"/>
    <w:tmpl w:val="0AB66B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E9231B"/>
    <w:multiLevelType w:val="hybridMultilevel"/>
    <w:tmpl w:val="FA7C21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816CDF"/>
    <w:multiLevelType w:val="multilevel"/>
    <w:tmpl w:val="CE2CFCB4"/>
    <w:lvl w:ilvl="0">
      <w:start w:val="4"/>
      <w:numFmt w:val="decimal"/>
      <w:lvlText w:val="%1.0"/>
      <w:lvlJc w:val="left"/>
      <w:pPr>
        <w:tabs>
          <w:tab w:val="num" w:pos="720"/>
        </w:tabs>
        <w:ind w:left="720" w:hanging="720"/>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646025"/>
    <w:multiLevelType w:val="hybridMultilevel"/>
    <w:tmpl w:val="7E84F0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AB0745"/>
    <w:multiLevelType w:val="hybridMultilevel"/>
    <w:tmpl w:val="1690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2DB6BE4"/>
    <w:multiLevelType w:val="hybridMultilevel"/>
    <w:tmpl w:val="4D122F1C"/>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133FF4"/>
    <w:multiLevelType w:val="multilevel"/>
    <w:tmpl w:val="C902069E"/>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323724"/>
    <w:multiLevelType w:val="hybridMultilevel"/>
    <w:tmpl w:val="555C1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590795"/>
    <w:multiLevelType w:val="hybridMultilevel"/>
    <w:tmpl w:val="3D927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973675"/>
    <w:multiLevelType w:val="multilevel"/>
    <w:tmpl w:val="BBD094D2"/>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47598C"/>
    <w:multiLevelType w:val="multilevel"/>
    <w:tmpl w:val="CDA4A6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525B0E"/>
    <w:multiLevelType w:val="hybridMultilevel"/>
    <w:tmpl w:val="C6D0A0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B96131"/>
    <w:multiLevelType w:val="multilevel"/>
    <w:tmpl w:val="9B72E28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17">
    <w:nsid w:val="35A77E17"/>
    <w:multiLevelType w:val="hybridMultilevel"/>
    <w:tmpl w:val="39AE12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76E2B9C"/>
    <w:multiLevelType w:val="hybridMultilevel"/>
    <w:tmpl w:val="71E8452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3AD24DF1"/>
    <w:multiLevelType w:val="multilevel"/>
    <w:tmpl w:val="D03080E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DF1D2F"/>
    <w:multiLevelType w:val="hybridMultilevel"/>
    <w:tmpl w:val="76C62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281041"/>
    <w:multiLevelType w:val="hybridMultilevel"/>
    <w:tmpl w:val="8FF08E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EEF25DD"/>
    <w:multiLevelType w:val="hybridMultilevel"/>
    <w:tmpl w:val="90AA2F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626510"/>
    <w:multiLevelType w:val="hybridMultilevel"/>
    <w:tmpl w:val="DDFE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AA0C5F"/>
    <w:multiLevelType w:val="hybridMultilevel"/>
    <w:tmpl w:val="17C2D3A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D5FB0"/>
    <w:multiLevelType w:val="hybridMultilevel"/>
    <w:tmpl w:val="205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315ED9"/>
    <w:multiLevelType w:val="hybridMultilevel"/>
    <w:tmpl w:val="921E126C"/>
    <w:lvl w:ilvl="0" w:tplc="0409000F">
      <w:start w:val="1"/>
      <w:numFmt w:val="decimal"/>
      <w:lvlText w:val="%1."/>
      <w:lvlJc w:val="left"/>
      <w:pPr>
        <w:tabs>
          <w:tab w:val="num" w:pos="900"/>
        </w:tabs>
        <w:ind w:left="90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535EB7"/>
    <w:multiLevelType w:val="multilevel"/>
    <w:tmpl w:val="C902069E"/>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9382DF8"/>
    <w:multiLevelType w:val="multilevel"/>
    <w:tmpl w:val="5F2452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1F6ED3"/>
    <w:multiLevelType w:val="hybridMultilevel"/>
    <w:tmpl w:val="BE9AB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ECE0367"/>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1">
    <w:nsid w:val="51266445"/>
    <w:multiLevelType w:val="hybridMultilevel"/>
    <w:tmpl w:val="D2721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F30D7F"/>
    <w:multiLevelType w:val="multilevel"/>
    <w:tmpl w:val="3D927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344B96"/>
    <w:multiLevelType w:val="hybridMultilevel"/>
    <w:tmpl w:val="FFB0CC64"/>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3720526"/>
    <w:multiLevelType w:val="hybridMultilevel"/>
    <w:tmpl w:val="676CF5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20569B"/>
    <w:multiLevelType w:val="hybridMultilevel"/>
    <w:tmpl w:val="93B8723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E2754CB"/>
    <w:multiLevelType w:val="hybridMultilevel"/>
    <w:tmpl w:val="7242ED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5D1602E"/>
    <w:multiLevelType w:val="hybridMultilevel"/>
    <w:tmpl w:val="1C1CB9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6D3FE4"/>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9">
    <w:nsid w:val="69A64EC2"/>
    <w:multiLevelType w:val="hybridMultilevel"/>
    <w:tmpl w:val="49D04788"/>
    <w:lvl w:ilvl="0" w:tplc="4F0CDC0C">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D8A182F"/>
    <w:multiLevelType w:val="hybridMultilevel"/>
    <w:tmpl w:val="E4507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6B5818"/>
    <w:multiLevelType w:val="hybridMultilevel"/>
    <w:tmpl w:val="BCD26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FDF0B3C"/>
    <w:multiLevelType w:val="hybridMultilevel"/>
    <w:tmpl w:val="7ED05E4C"/>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5773527"/>
    <w:multiLevelType w:val="multilevel"/>
    <w:tmpl w:val="93B87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7629444A"/>
    <w:multiLevelType w:val="hybridMultilevel"/>
    <w:tmpl w:val="324E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7840B6"/>
    <w:multiLevelType w:val="hybridMultilevel"/>
    <w:tmpl w:val="8D9ADB2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nsid w:val="7DBC7670"/>
    <w:multiLevelType w:val="hybridMultilevel"/>
    <w:tmpl w:val="E6B2D8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DFB5616"/>
    <w:multiLevelType w:val="hybridMultilevel"/>
    <w:tmpl w:val="BB649B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E2F2A2D"/>
    <w:multiLevelType w:val="hybridMultilevel"/>
    <w:tmpl w:val="8FD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0"/>
  </w:num>
  <w:num w:numId="4">
    <w:abstractNumId w:val="15"/>
  </w:num>
  <w:num w:numId="5">
    <w:abstractNumId w:val="44"/>
  </w:num>
  <w:num w:numId="6">
    <w:abstractNumId w:val="12"/>
  </w:num>
  <w:num w:numId="7">
    <w:abstractNumId w:val="0"/>
  </w:num>
  <w:num w:numId="8">
    <w:abstractNumId w:val="38"/>
  </w:num>
  <w:num w:numId="9">
    <w:abstractNumId w:val="29"/>
  </w:num>
  <w:num w:numId="10">
    <w:abstractNumId w:val="2"/>
  </w:num>
  <w:num w:numId="11">
    <w:abstractNumId w:val="20"/>
  </w:num>
  <w:num w:numId="12">
    <w:abstractNumId w:val="24"/>
  </w:num>
  <w:num w:numId="13">
    <w:abstractNumId w:val="18"/>
  </w:num>
  <w:num w:numId="14">
    <w:abstractNumId w:val="46"/>
  </w:num>
  <w:num w:numId="15">
    <w:abstractNumId w:val="6"/>
  </w:num>
  <w:num w:numId="16">
    <w:abstractNumId w:val="5"/>
  </w:num>
  <w:num w:numId="17">
    <w:abstractNumId w:val="45"/>
  </w:num>
  <w:num w:numId="18">
    <w:abstractNumId w:val="47"/>
  </w:num>
  <w:num w:numId="19">
    <w:abstractNumId w:val="35"/>
  </w:num>
  <w:num w:numId="20">
    <w:abstractNumId w:val="43"/>
  </w:num>
  <w:num w:numId="21">
    <w:abstractNumId w:val="33"/>
  </w:num>
  <w:num w:numId="22">
    <w:abstractNumId w:val="32"/>
  </w:num>
  <w:num w:numId="23">
    <w:abstractNumId w:val="39"/>
  </w:num>
  <w:num w:numId="24">
    <w:abstractNumId w:val="1"/>
  </w:num>
  <w:num w:numId="25">
    <w:abstractNumId w:val="42"/>
  </w:num>
  <w:num w:numId="26">
    <w:abstractNumId w:val="26"/>
  </w:num>
  <w:num w:numId="27">
    <w:abstractNumId w:val="34"/>
  </w:num>
  <w:num w:numId="28">
    <w:abstractNumId w:val="17"/>
  </w:num>
  <w:num w:numId="29">
    <w:abstractNumId w:val="21"/>
  </w:num>
  <w:num w:numId="30">
    <w:abstractNumId w:val="36"/>
  </w:num>
  <w:num w:numId="31">
    <w:abstractNumId w:val="37"/>
  </w:num>
  <w:num w:numId="32">
    <w:abstractNumId w:val="9"/>
  </w:num>
  <w:num w:numId="33">
    <w:abstractNumId w:val="14"/>
  </w:num>
  <w:num w:numId="34">
    <w:abstractNumId w:val="7"/>
  </w:num>
  <w:num w:numId="35">
    <w:abstractNumId w:val="19"/>
  </w:num>
  <w:num w:numId="36">
    <w:abstractNumId w:val="10"/>
  </w:num>
  <w:num w:numId="37">
    <w:abstractNumId w:val="13"/>
  </w:num>
  <w:num w:numId="38">
    <w:abstractNumId w:val="22"/>
  </w:num>
  <w:num w:numId="39">
    <w:abstractNumId w:val="16"/>
  </w:num>
  <w:num w:numId="40">
    <w:abstractNumId w:val="41"/>
  </w:num>
  <w:num w:numId="41">
    <w:abstractNumId w:val="40"/>
  </w:num>
  <w:num w:numId="42">
    <w:abstractNumId w:val="11"/>
  </w:num>
  <w:num w:numId="43">
    <w:abstractNumId w:val="3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8"/>
  </w:num>
  <w:num w:numId="47">
    <w:abstractNumId w:val="3"/>
  </w:num>
  <w:num w:numId="48">
    <w:abstractNumId w:val="48"/>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3"/>
    <w:rsid w:val="000014E4"/>
    <w:rsid w:val="0000255C"/>
    <w:rsid w:val="0000431D"/>
    <w:rsid w:val="0000628D"/>
    <w:rsid w:val="00007D50"/>
    <w:rsid w:val="00010440"/>
    <w:rsid w:val="00012F13"/>
    <w:rsid w:val="000205A4"/>
    <w:rsid w:val="00023526"/>
    <w:rsid w:val="00025BA8"/>
    <w:rsid w:val="00025D9E"/>
    <w:rsid w:val="000351B0"/>
    <w:rsid w:val="0003665B"/>
    <w:rsid w:val="00036F31"/>
    <w:rsid w:val="000422E8"/>
    <w:rsid w:val="0004257F"/>
    <w:rsid w:val="00042C0E"/>
    <w:rsid w:val="00044149"/>
    <w:rsid w:val="00044F1C"/>
    <w:rsid w:val="000478AF"/>
    <w:rsid w:val="00054517"/>
    <w:rsid w:val="000568B8"/>
    <w:rsid w:val="00057435"/>
    <w:rsid w:val="00060A97"/>
    <w:rsid w:val="000612A5"/>
    <w:rsid w:val="00062868"/>
    <w:rsid w:val="00062D13"/>
    <w:rsid w:val="00071FF8"/>
    <w:rsid w:val="000763E2"/>
    <w:rsid w:val="00076A2D"/>
    <w:rsid w:val="00076C68"/>
    <w:rsid w:val="0007740C"/>
    <w:rsid w:val="000803E6"/>
    <w:rsid w:val="0008091E"/>
    <w:rsid w:val="0008143E"/>
    <w:rsid w:val="00081A29"/>
    <w:rsid w:val="00084648"/>
    <w:rsid w:val="00086FBF"/>
    <w:rsid w:val="00091525"/>
    <w:rsid w:val="00092EA7"/>
    <w:rsid w:val="00094B55"/>
    <w:rsid w:val="00095DDC"/>
    <w:rsid w:val="00095E7D"/>
    <w:rsid w:val="000A0C7F"/>
    <w:rsid w:val="000A1994"/>
    <w:rsid w:val="000A3255"/>
    <w:rsid w:val="000A3B0C"/>
    <w:rsid w:val="000A43C4"/>
    <w:rsid w:val="000A4AA0"/>
    <w:rsid w:val="000A51B9"/>
    <w:rsid w:val="000A540A"/>
    <w:rsid w:val="000A7FE7"/>
    <w:rsid w:val="000B0E43"/>
    <w:rsid w:val="000B2250"/>
    <w:rsid w:val="000B30E2"/>
    <w:rsid w:val="000B7837"/>
    <w:rsid w:val="000B7ECF"/>
    <w:rsid w:val="000C4DD1"/>
    <w:rsid w:val="000C6447"/>
    <w:rsid w:val="000C7CEB"/>
    <w:rsid w:val="000C7D0C"/>
    <w:rsid w:val="000D3A48"/>
    <w:rsid w:val="000D4BF6"/>
    <w:rsid w:val="000D6351"/>
    <w:rsid w:val="000E04B9"/>
    <w:rsid w:val="000E1F64"/>
    <w:rsid w:val="000E261F"/>
    <w:rsid w:val="000E67B7"/>
    <w:rsid w:val="000E72CB"/>
    <w:rsid w:val="000F0047"/>
    <w:rsid w:val="000F2E3A"/>
    <w:rsid w:val="000F4788"/>
    <w:rsid w:val="00101950"/>
    <w:rsid w:val="00101958"/>
    <w:rsid w:val="00101FB2"/>
    <w:rsid w:val="001023A5"/>
    <w:rsid w:val="001025C8"/>
    <w:rsid w:val="00105F73"/>
    <w:rsid w:val="00107E43"/>
    <w:rsid w:val="00111A1F"/>
    <w:rsid w:val="00113317"/>
    <w:rsid w:val="0011410F"/>
    <w:rsid w:val="00116D0A"/>
    <w:rsid w:val="00121BE5"/>
    <w:rsid w:val="001221D3"/>
    <w:rsid w:val="00122F34"/>
    <w:rsid w:val="00123552"/>
    <w:rsid w:val="00123587"/>
    <w:rsid w:val="001249F5"/>
    <w:rsid w:val="001261A5"/>
    <w:rsid w:val="0012634F"/>
    <w:rsid w:val="001307C7"/>
    <w:rsid w:val="0013234E"/>
    <w:rsid w:val="00133C31"/>
    <w:rsid w:val="001355F7"/>
    <w:rsid w:val="0013688A"/>
    <w:rsid w:val="00143560"/>
    <w:rsid w:val="00145E6B"/>
    <w:rsid w:val="001464FC"/>
    <w:rsid w:val="0014666D"/>
    <w:rsid w:val="001469C1"/>
    <w:rsid w:val="00154AC9"/>
    <w:rsid w:val="00162125"/>
    <w:rsid w:val="001632D3"/>
    <w:rsid w:val="0016497E"/>
    <w:rsid w:val="001653CC"/>
    <w:rsid w:val="00165681"/>
    <w:rsid w:val="00165823"/>
    <w:rsid w:val="00165B91"/>
    <w:rsid w:val="00172C25"/>
    <w:rsid w:val="00173355"/>
    <w:rsid w:val="0017602E"/>
    <w:rsid w:val="001762FC"/>
    <w:rsid w:val="001764CA"/>
    <w:rsid w:val="00180145"/>
    <w:rsid w:val="00180297"/>
    <w:rsid w:val="00182267"/>
    <w:rsid w:val="001840C3"/>
    <w:rsid w:val="001848A6"/>
    <w:rsid w:val="001855B0"/>
    <w:rsid w:val="00187635"/>
    <w:rsid w:val="001878C3"/>
    <w:rsid w:val="0019070E"/>
    <w:rsid w:val="001931F7"/>
    <w:rsid w:val="00193D1C"/>
    <w:rsid w:val="00195F0A"/>
    <w:rsid w:val="00196BC7"/>
    <w:rsid w:val="001975FC"/>
    <w:rsid w:val="001A07C4"/>
    <w:rsid w:val="001A1E2D"/>
    <w:rsid w:val="001A1F54"/>
    <w:rsid w:val="001A7179"/>
    <w:rsid w:val="001B1E0B"/>
    <w:rsid w:val="001B312E"/>
    <w:rsid w:val="001C230C"/>
    <w:rsid w:val="001C3BF1"/>
    <w:rsid w:val="001C4777"/>
    <w:rsid w:val="001C5203"/>
    <w:rsid w:val="001D13D8"/>
    <w:rsid w:val="001D1468"/>
    <w:rsid w:val="001D588B"/>
    <w:rsid w:val="001E2B33"/>
    <w:rsid w:val="001E35FE"/>
    <w:rsid w:val="001E74E0"/>
    <w:rsid w:val="001F034C"/>
    <w:rsid w:val="001F20D7"/>
    <w:rsid w:val="001F739B"/>
    <w:rsid w:val="00200A3B"/>
    <w:rsid w:val="00201CE9"/>
    <w:rsid w:val="00203E03"/>
    <w:rsid w:val="002063F6"/>
    <w:rsid w:val="00206568"/>
    <w:rsid w:val="00206666"/>
    <w:rsid w:val="00206BA4"/>
    <w:rsid w:val="00207E84"/>
    <w:rsid w:val="00211444"/>
    <w:rsid w:val="00217B8E"/>
    <w:rsid w:val="00220ABF"/>
    <w:rsid w:val="00223F22"/>
    <w:rsid w:val="0022521E"/>
    <w:rsid w:val="00227B5E"/>
    <w:rsid w:val="00227CD6"/>
    <w:rsid w:val="0023097B"/>
    <w:rsid w:val="0023281F"/>
    <w:rsid w:val="00232AFE"/>
    <w:rsid w:val="00233DB6"/>
    <w:rsid w:val="00241387"/>
    <w:rsid w:val="002427CA"/>
    <w:rsid w:val="002441EE"/>
    <w:rsid w:val="002455CF"/>
    <w:rsid w:val="00245DD6"/>
    <w:rsid w:val="002468C6"/>
    <w:rsid w:val="00250D6E"/>
    <w:rsid w:val="0025399A"/>
    <w:rsid w:val="00257EF6"/>
    <w:rsid w:val="00260D9C"/>
    <w:rsid w:val="00261824"/>
    <w:rsid w:val="0026308F"/>
    <w:rsid w:val="002641C5"/>
    <w:rsid w:val="00264B95"/>
    <w:rsid w:val="00264F47"/>
    <w:rsid w:val="00266754"/>
    <w:rsid w:val="002711B8"/>
    <w:rsid w:val="002714DA"/>
    <w:rsid w:val="00273E8B"/>
    <w:rsid w:val="00275FD5"/>
    <w:rsid w:val="00277CCF"/>
    <w:rsid w:val="002810A5"/>
    <w:rsid w:val="002821E0"/>
    <w:rsid w:val="00284675"/>
    <w:rsid w:val="0028551B"/>
    <w:rsid w:val="0028761C"/>
    <w:rsid w:val="0029002F"/>
    <w:rsid w:val="00290097"/>
    <w:rsid w:val="00292E40"/>
    <w:rsid w:val="002933E0"/>
    <w:rsid w:val="00293E9F"/>
    <w:rsid w:val="00295867"/>
    <w:rsid w:val="002A474E"/>
    <w:rsid w:val="002A5EE7"/>
    <w:rsid w:val="002B0A96"/>
    <w:rsid w:val="002B292B"/>
    <w:rsid w:val="002B48BD"/>
    <w:rsid w:val="002B5114"/>
    <w:rsid w:val="002B51D4"/>
    <w:rsid w:val="002B5523"/>
    <w:rsid w:val="002C046E"/>
    <w:rsid w:val="002C0A3A"/>
    <w:rsid w:val="002C4FDE"/>
    <w:rsid w:val="002C59B6"/>
    <w:rsid w:val="002C5B3D"/>
    <w:rsid w:val="002D4475"/>
    <w:rsid w:val="002D4C2D"/>
    <w:rsid w:val="002D5149"/>
    <w:rsid w:val="002D6896"/>
    <w:rsid w:val="002D74AD"/>
    <w:rsid w:val="002E0152"/>
    <w:rsid w:val="002E0D04"/>
    <w:rsid w:val="002E230F"/>
    <w:rsid w:val="002E2372"/>
    <w:rsid w:val="002E463D"/>
    <w:rsid w:val="002E4CF2"/>
    <w:rsid w:val="002E63B9"/>
    <w:rsid w:val="002F2785"/>
    <w:rsid w:val="002F4E4F"/>
    <w:rsid w:val="00300BCB"/>
    <w:rsid w:val="003013D2"/>
    <w:rsid w:val="00304701"/>
    <w:rsid w:val="003106DC"/>
    <w:rsid w:val="00310F37"/>
    <w:rsid w:val="0031196A"/>
    <w:rsid w:val="00311AAE"/>
    <w:rsid w:val="00312E77"/>
    <w:rsid w:val="0031360E"/>
    <w:rsid w:val="00313C8F"/>
    <w:rsid w:val="00313CA6"/>
    <w:rsid w:val="003162DF"/>
    <w:rsid w:val="00321E9A"/>
    <w:rsid w:val="00322375"/>
    <w:rsid w:val="003233C4"/>
    <w:rsid w:val="00325499"/>
    <w:rsid w:val="0033029F"/>
    <w:rsid w:val="00331351"/>
    <w:rsid w:val="003328EB"/>
    <w:rsid w:val="003338E8"/>
    <w:rsid w:val="00333D39"/>
    <w:rsid w:val="00335A97"/>
    <w:rsid w:val="003367D2"/>
    <w:rsid w:val="003377E5"/>
    <w:rsid w:val="00337DA6"/>
    <w:rsid w:val="00342711"/>
    <w:rsid w:val="003433CF"/>
    <w:rsid w:val="00344154"/>
    <w:rsid w:val="00345E92"/>
    <w:rsid w:val="00345FB8"/>
    <w:rsid w:val="003520A0"/>
    <w:rsid w:val="0035562F"/>
    <w:rsid w:val="00357854"/>
    <w:rsid w:val="00362E46"/>
    <w:rsid w:val="0036740C"/>
    <w:rsid w:val="00373FA3"/>
    <w:rsid w:val="00374278"/>
    <w:rsid w:val="00380832"/>
    <w:rsid w:val="00380A0E"/>
    <w:rsid w:val="00382A55"/>
    <w:rsid w:val="0038425F"/>
    <w:rsid w:val="00384519"/>
    <w:rsid w:val="00385E7A"/>
    <w:rsid w:val="00386731"/>
    <w:rsid w:val="003925FC"/>
    <w:rsid w:val="00392600"/>
    <w:rsid w:val="00392AC6"/>
    <w:rsid w:val="0039317F"/>
    <w:rsid w:val="0039433A"/>
    <w:rsid w:val="00394F9F"/>
    <w:rsid w:val="00397DB1"/>
    <w:rsid w:val="00397E05"/>
    <w:rsid w:val="003A2D48"/>
    <w:rsid w:val="003A4FEA"/>
    <w:rsid w:val="003A771C"/>
    <w:rsid w:val="003B38ED"/>
    <w:rsid w:val="003B4072"/>
    <w:rsid w:val="003B4132"/>
    <w:rsid w:val="003B6032"/>
    <w:rsid w:val="003B6885"/>
    <w:rsid w:val="003C05B7"/>
    <w:rsid w:val="003C2E4E"/>
    <w:rsid w:val="003C303A"/>
    <w:rsid w:val="003C37D5"/>
    <w:rsid w:val="003C46F5"/>
    <w:rsid w:val="003C57DE"/>
    <w:rsid w:val="003C7092"/>
    <w:rsid w:val="003C7ACC"/>
    <w:rsid w:val="003D2131"/>
    <w:rsid w:val="003D399B"/>
    <w:rsid w:val="003D3B90"/>
    <w:rsid w:val="003D40DE"/>
    <w:rsid w:val="003D5936"/>
    <w:rsid w:val="003D5E77"/>
    <w:rsid w:val="003E0726"/>
    <w:rsid w:val="003E0DD7"/>
    <w:rsid w:val="003E2970"/>
    <w:rsid w:val="003E5F91"/>
    <w:rsid w:val="003E751B"/>
    <w:rsid w:val="003F01A4"/>
    <w:rsid w:val="003F0CE2"/>
    <w:rsid w:val="003F1D37"/>
    <w:rsid w:val="003F75E3"/>
    <w:rsid w:val="00400655"/>
    <w:rsid w:val="00401F71"/>
    <w:rsid w:val="00404739"/>
    <w:rsid w:val="00406839"/>
    <w:rsid w:val="00411CF6"/>
    <w:rsid w:val="00412846"/>
    <w:rsid w:val="00420A84"/>
    <w:rsid w:val="00423B92"/>
    <w:rsid w:val="004263BB"/>
    <w:rsid w:val="00427015"/>
    <w:rsid w:val="00427062"/>
    <w:rsid w:val="004345F6"/>
    <w:rsid w:val="00436319"/>
    <w:rsid w:val="004417C6"/>
    <w:rsid w:val="00441A76"/>
    <w:rsid w:val="004446B0"/>
    <w:rsid w:val="00444CBE"/>
    <w:rsid w:val="00445DD3"/>
    <w:rsid w:val="00447373"/>
    <w:rsid w:val="00455469"/>
    <w:rsid w:val="0045716C"/>
    <w:rsid w:val="00461355"/>
    <w:rsid w:val="00462A23"/>
    <w:rsid w:val="00462F13"/>
    <w:rsid w:val="004649B6"/>
    <w:rsid w:val="00465E2E"/>
    <w:rsid w:val="00467AF9"/>
    <w:rsid w:val="00474C08"/>
    <w:rsid w:val="00477715"/>
    <w:rsid w:val="0048014D"/>
    <w:rsid w:val="0048256A"/>
    <w:rsid w:val="00483499"/>
    <w:rsid w:val="00483577"/>
    <w:rsid w:val="00493A9C"/>
    <w:rsid w:val="00493D3E"/>
    <w:rsid w:val="00494E51"/>
    <w:rsid w:val="00494ECB"/>
    <w:rsid w:val="00497688"/>
    <w:rsid w:val="004A04AC"/>
    <w:rsid w:val="004A0ABC"/>
    <w:rsid w:val="004A0B47"/>
    <w:rsid w:val="004A1DAF"/>
    <w:rsid w:val="004A357E"/>
    <w:rsid w:val="004A6355"/>
    <w:rsid w:val="004A69C4"/>
    <w:rsid w:val="004B7721"/>
    <w:rsid w:val="004C04C6"/>
    <w:rsid w:val="004C363B"/>
    <w:rsid w:val="004C3B5E"/>
    <w:rsid w:val="004C5368"/>
    <w:rsid w:val="004C5701"/>
    <w:rsid w:val="004C5F0D"/>
    <w:rsid w:val="004C69E7"/>
    <w:rsid w:val="004C73D0"/>
    <w:rsid w:val="004C748E"/>
    <w:rsid w:val="004D1E37"/>
    <w:rsid w:val="004D2BBC"/>
    <w:rsid w:val="004D3557"/>
    <w:rsid w:val="004D3C07"/>
    <w:rsid w:val="004D3DD3"/>
    <w:rsid w:val="004D5EA5"/>
    <w:rsid w:val="004D704D"/>
    <w:rsid w:val="004E12D9"/>
    <w:rsid w:val="004E6B3B"/>
    <w:rsid w:val="004E70D5"/>
    <w:rsid w:val="004E7CE0"/>
    <w:rsid w:val="004F45D5"/>
    <w:rsid w:val="004F4AC2"/>
    <w:rsid w:val="004F5059"/>
    <w:rsid w:val="004F6DEE"/>
    <w:rsid w:val="004F7B34"/>
    <w:rsid w:val="005019ED"/>
    <w:rsid w:val="005035CF"/>
    <w:rsid w:val="00507470"/>
    <w:rsid w:val="00510FA2"/>
    <w:rsid w:val="00511DC9"/>
    <w:rsid w:val="00514D34"/>
    <w:rsid w:val="00517DA3"/>
    <w:rsid w:val="00521DAC"/>
    <w:rsid w:val="00523AAE"/>
    <w:rsid w:val="00523BF5"/>
    <w:rsid w:val="00530BCD"/>
    <w:rsid w:val="005405BE"/>
    <w:rsid w:val="005414F5"/>
    <w:rsid w:val="005420EB"/>
    <w:rsid w:val="00542BEE"/>
    <w:rsid w:val="005431A5"/>
    <w:rsid w:val="00543455"/>
    <w:rsid w:val="0054709C"/>
    <w:rsid w:val="00547311"/>
    <w:rsid w:val="0055369A"/>
    <w:rsid w:val="00553C4C"/>
    <w:rsid w:val="00555274"/>
    <w:rsid w:val="00555837"/>
    <w:rsid w:val="005560B9"/>
    <w:rsid w:val="0055715C"/>
    <w:rsid w:val="005601E8"/>
    <w:rsid w:val="005618E2"/>
    <w:rsid w:val="005624EB"/>
    <w:rsid w:val="00570184"/>
    <w:rsid w:val="00570E33"/>
    <w:rsid w:val="00571665"/>
    <w:rsid w:val="0057357C"/>
    <w:rsid w:val="00574AB2"/>
    <w:rsid w:val="00577C31"/>
    <w:rsid w:val="0058148C"/>
    <w:rsid w:val="00583E5F"/>
    <w:rsid w:val="0058756C"/>
    <w:rsid w:val="00590DF0"/>
    <w:rsid w:val="00594BC9"/>
    <w:rsid w:val="00595434"/>
    <w:rsid w:val="00596A11"/>
    <w:rsid w:val="0059798B"/>
    <w:rsid w:val="005A34D2"/>
    <w:rsid w:val="005A358A"/>
    <w:rsid w:val="005A5ED4"/>
    <w:rsid w:val="005A636D"/>
    <w:rsid w:val="005B1F56"/>
    <w:rsid w:val="005B4892"/>
    <w:rsid w:val="005B49ED"/>
    <w:rsid w:val="005C2670"/>
    <w:rsid w:val="005C3598"/>
    <w:rsid w:val="005C633E"/>
    <w:rsid w:val="005C7586"/>
    <w:rsid w:val="005C7B8E"/>
    <w:rsid w:val="005D05BE"/>
    <w:rsid w:val="005D6454"/>
    <w:rsid w:val="005D6C9F"/>
    <w:rsid w:val="005E0168"/>
    <w:rsid w:val="005E0919"/>
    <w:rsid w:val="005E143E"/>
    <w:rsid w:val="005E157E"/>
    <w:rsid w:val="005E336F"/>
    <w:rsid w:val="005E54A3"/>
    <w:rsid w:val="005E632D"/>
    <w:rsid w:val="005F0A6A"/>
    <w:rsid w:val="005F22A8"/>
    <w:rsid w:val="005F3BE3"/>
    <w:rsid w:val="005F595F"/>
    <w:rsid w:val="005F7C99"/>
    <w:rsid w:val="0060042B"/>
    <w:rsid w:val="00613C06"/>
    <w:rsid w:val="006154C9"/>
    <w:rsid w:val="00616475"/>
    <w:rsid w:val="006167B4"/>
    <w:rsid w:val="0061713B"/>
    <w:rsid w:val="0061732A"/>
    <w:rsid w:val="0062171F"/>
    <w:rsid w:val="00622C27"/>
    <w:rsid w:val="00623537"/>
    <w:rsid w:val="006242A5"/>
    <w:rsid w:val="0062482C"/>
    <w:rsid w:val="00626881"/>
    <w:rsid w:val="00627A4F"/>
    <w:rsid w:val="00636E5B"/>
    <w:rsid w:val="0064168B"/>
    <w:rsid w:val="00642772"/>
    <w:rsid w:val="006430E0"/>
    <w:rsid w:val="0064400B"/>
    <w:rsid w:val="00644063"/>
    <w:rsid w:val="00644C46"/>
    <w:rsid w:val="00646BC0"/>
    <w:rsid w:val="00651C49"/>
    <w:rsid w:val="00651C92"/>
    <w:rsid w:val="00653739"/>
    <w:rsid w:val="00654E84"/>
    <w:rsid w:val="0065609C"/>
    <w:rsid w:val="00657161"/>
    <w:rsid w:val="00662408"/>
    <w:rsid w:val="00662A46"/>
    <w:rsid w:val="00664CC8"/>
    <w:rsid w:val="00665FD4"/>
    <w:rsid w:val="00667692"/>
    <w:rsid w:val="00667963"/>
    <w:rsid w:val="00667C25"/>
    <w:rsid w:val="00667E25"/>
    <w:rsid w:val="00670AD6"/>
    <w:rsid w:val="00673B06"/>
    <w:rsid w:val="00674AAF"/>
    <w:rsid w:val="00676845"/>
    <w:rsid w:val="00677FF4"/>
    <w:rsid w:val="00680F3C"/>
    <w:rsid w:val="00681724"/>
    <w:rsid w:val="00685E31"/>
    <w:rsid w:val="006904A2"/>
    <w:rsid w:val="00690EA1"/>
    <w:rsid w:val="00692285"/>
    <w:rsid w:val="00692A39"/>
    <w:rsid w:val="00693084"/>
    <w:rsid w:val="0069381D"/>
    <w:rsid w:val="00693BE7"/>
    <w:rsid w:val="006A0323"/>
    <w:rsid w:val="006A35FE"/>
    <w:rsid w:val="006A36BF"/>
    <w:rsid w:val="006B061E"/>
    <w:rsid w:val="006B151C"/>
    <w:rsid w:val="006B21EB"/>
    <w:rsid w:val="006B373B"/>
    <w:rsid w:val="006B6388"/>
    <w:rsid w:val="006C22C2"/>
    <w:rsid w:val="006C7535"/>
    <w:rsid w:val="006D1882"/>
    <w:rsid w:val="006D461C"/>
    <w:rsid w:val="006D51F8"/>
    <w:rsid w:val="006D56D6"/>
    <w:rsid w:val="006D66EA"/>
    <w:rsid w:val="006D785E"/>
    <w:rsid w:val="006E184A"/>
    <w:rsid w:val="006E1E34"/>
    <w:rsid w:val="006E432E"/>
    <w:rsid w:val="006E5B8D"/>
    <w:rsid w:val="006F13A8"/>
    <w:rsid w:val="006F1DA6"/>
    <w:rsid w:val="006F21F0"/>
    <w:rsid w:val="006F409D"/>
    <w:rsid w:val="006F48AE"/>
    <w:rsid w:val="007019CE"/>
    <w:rsid w:val="00701FC9"/>
    <w:rsid w:val="00702EC8"/>
    <w:rsid w:val="00703092"/>
    <w:rsid w:val="00704EBD"/>
    <w:rsid w:val="007055AC"/>
    <w:rsid w:val="007100A7"/>
    <w:rsid w:val="0071042E"/>
    <w:rsid w:val="00712160"/>
    <w:rsid w:val="00715583"/>
    <w:rsid w:val="00722B21"/>
    <w:rsid w:val="00724224"/>
    <w:rsid w:val="0072427B"/>
    <w:rsid w:val="007244B8"/>
    <w:rsid w:val="007261F1"/>
    <w:rsid w:val="0073266E"/>
    <w:rsid w:val="00733FD8"/>
    <w:rsid w:val="007347F3"/>
    <w:rsid w:val="00737868"/>
    <w:rsid w:val="007409E1"/>
    <w:rsid w:val="00742931"/>
    <w:rsid w:val="00744EF5"/>
    <w:rsid w:val="00746D47"/>
    <w:rsid w:val="007510B2"/>
    <w:rsid w:val="007534D0"/>
    <w:rsid w:val="0075454B"/>
    <w:rsid w:val="00757364"/>
    <w:rsid w:val="00760502"/>
    <w:rsid w:val="00762B67"/>
    <w:rsid w:val="00766468"/>
    <w:rsid w:val="0077009E"/>
    <w:rsid w:val="00771DB1"/>
    <w:rsid w:val="007739FC"/>
    <w:rsid w:val="00775E31"/>
    <w:rsid w:val="0077714F"/>
    <w:rsid w:val="007772D4"/>
    <w:rsid w:val="007814D1"/>
    <w:rsid w:val="00781638"/>
    <w:rsid w:val="007849BD"/>
    <w:rsid w:val="00784AB8"/>
    <w:rsid w:val="007879F5"/>
    <w:rsid w:val="0079297D"/>
    <w:rsid w:val="007933FE"/>
    <w:rsid w:val="0079651B"/>
    <w:rsid w:val="007A03BA"/>
    <w:rsid w:val="007A1A50"/>
    <w:rsid w:val="007A23E3"/>
    <w:rsid w:val="007A30CC"/>
    <w:rsid w:val="007A64B0"/>
    <w:rsid w:val="007B0341"/>
    <w:rsid w:val="007B3351"/>
    <w:rsid w:val="007B3EB7"/>
    <w:rsid w:val="007B48B1"/>
    <w:rsid w:val="007B641A"/>
    <w:rsid w:val="007B7C15"/>
    <w:rsid w:val="007B7C94"/>
    <w:rsid w:val="007B7D20"/>
    <w:rsid w:val="007D32A0"/>
    <w:rsid w:val="007D3968"/>
    <w:rsid w:val="007E05BE"/>
    <w:rsid w:val="007E1531"/>
    <w:rsid w:val="007E1BC6"/>
    <w:rsid w:val="007E48FA"/>
    <w:rsid w:val="007E61D7"/>
    <w:rsid w:val="007E7502"/>
    <w:rsid w:val="007F438B"/>
    <w:rsid w:val="007F43ED"/>
    <w:rsid w:val="007F4DA5"/>
    <w:rsid w:val="007F4E40"/>
    <w:rsid w:val="00803E81"/>
    <w:rsid w:val="008061BA"/>
    <w:rsid w:val="0080628D"/>
    <w:rsid w:val="0080648A"/>
    <w:rsid w:val="00807642"/>
    <w:rsid w:val="00807FF6"/>
    <w:rsid w:val="00810442"/>
    <w:rsid w:val="00810816"/>
    <w:rsid w:val="00811B63"/>
    <w:rsid w:val="008140EA"/>
    <w:rsid w:val="00816D1D"/>
    <w:rsid w:val="00817CAA"/>
    <w:rsid w:val="00817EA1"/>
    <w:rsid w:val="00820CC2"/>
    <w:rsid w:val="00821C97"/>
    <w:rsid w:val="00822398"/>
    <w:rsid w:val="008239E7"/>
    <w:rsid w:val="0082480C"/>
    <w:rsid w:val="00826368"/>
    <w:rsid w:val="008276AB"/>
    <w:rsid w:val="00831AE8"/>
    <w:rsid w:val="00835A4F"/>
    <w:rsid w:val="00837E42"/>
    <w:rsid w:val="00841207"/>
    <w:rsid w:val="00842797"/>
    <w:rsid w:val="00843CEB"/>
    <w:rsid w:val="00850DF3"/>
    <w:rsid w:val="00851111"/>
    <w:rsid w:val="0085180F"/>
    <w:rsid w:val="00853DA7"/>
    <w:rsid w:val="008615F6"/>
    <w:rsid w:val="00862295"/>
    <w:rsid w:val="00862ED3"/>
    <w:rsid w:val="008651DF"/>
    <w:rsid w:val="00866A79"/>
    <w:rsid w:val="008674C2"/>
    <w:rsid w:val="00870B47"/>
    <w:rsid w:val="00871CD6"/>
    <w:rsid w:val="00874707"/>
    <w:rsid w:val="00874A1A"/>
    <w:rsid w:val="00876877"/>
    <w:rsid w:val="00877DF5"/>
    <w:rsid w:val="0088202D"/>
    <w:rsid w:val="008821BF"/>
    <w:rsid w:val="00883261"/>
    <w:rsid w:val="00886184"/>
    <w:rsid w:val="00887E9F"/>
    <w:rsid w:val="008916D9"/>
    <w:rsid w:val="008971EF"/>
    <w:rsid w:val="0089788F"/>
    <w:rsid w:val="008A0418"/>
    <w:rsid w:val="008A18FC"/>
    <w:rsid w:val="008A3F00"/>
    <w:rsid w:val="008A42E4"/>
    <w:rsid w:val="008A4AD9"/>
    <w:rsid w:val="008A4DCF"/>
    <w:rsid w:val="008A5632"/>
    <w:rsid w:val="008B0A03"/>
    <w:rsid w:val="008B1AFA"/>
    <w:rsid w:val="008B22F7"/>
    <w:rsid w:val="008B5139"/>
    <w:rsid w:val="008C75E5"/>
    <w:rsid w:val="008D203C"/>
    <w:rsid w:val="008D5C22"/>
    <w:rsid w:val="008D7E4D"/>
    <w:rsid w:val="008E1E05"/>
    <w:rsid w:val="008E2C70"/>
    <w:rsid w:val="008E2DDA"/>
    <w:rsid w:val="008E304C"/>
    <w:rsid w:val="008E3A5F"/>
    <w:rsid w:val="008E4281"/>
    <w:rsid w:val="008E5595"/>
    <w:rsid w:val="008E6960"/>
    <w:rsid w:val="008E7419"/>
    <w:rsid w:val="008F3B34"/>
    <w:rsid w:val="008F4C26"/>
    <w:rsid w:val="008F62EC"/>
    <w:rsid w:val="008F6D27"/>
    <w:rsid w:val="00901A4D"/>
    <w:rsid w:val="00902538"/>
    <w:rsid w:val="009060C6"/>
    <w:rsid w:val="00906643"/>
    <w:rsid w:val="00907C93"/>
    <w:rsid w:val="0091312F"/>
    <w:rsid w:val="009137C1"/>
    <w:rsid w:val="00924445"/>
    <w:rsid w:val="009248EE"/>
    <w:rsid w:val="00924921"/>
    <w:rsid w:val="00925430"/>
    <w:rsid w:val="00925C64"/>
    <w:rsid w:val="009315B4"/>
    <w:rsid w:val="00932FC7"/>
    <w:rsid w:val="00934CCB"/>
    <w:rsid w:val="00942D4A"/>
    <w:rsid w:val="009435D3"/>
    <w:rsid w:val="009442E7"/>
    <w:rsid w:val="00944450"/>
    <w:rsid w:val="009467E9"/>
    <w:rsid w:val="00947866"/>
    <w:rsid w:val="00947C21"/>
    <w:rsid w:val="0095679A"/>
    <w:rsid w:val="00956D61"/>
    <w:rsid w:val="009609D7"/>
    <w:rsid w:val="00960FA1"/>
    <w:rsid w:val="00962EEF"/>
    <w:rsid w:val="009641EC"/>
    <w:rsid w:val="00964FE0"/>
    <w:rsid w:val="00966EA1"/>
    <w:rsid w:val="00972618"/>
    <w:rsid w:val="0097776B"/>
    <w:rsid w:val="00977A85"/>
    <w:rsid w:val="009824FA"/>
    <w:rsid w:val="00983925"/>
    <w:rsid w:val="009841B2"/>
    <w:rsid w:val="00984A50"/>
    <w:rsid w:val="00984BD4"/>
    <w:rsid w:val="009902AE"/>
    <w:rsid w:val="009936E0"/>
    <w:rsid w:val="009948EF"/>
    <w:rsid w:val="00996915"/>
    <w:rsid w:val="009A1960"/>
    <w:rsid w:val="009A32FC"/>
    <w:rsid w:val="009A4C9A"/>
    <w:rsid w:val="009A4E9E"/>
    <w:rsid w:val="009A684C"/>
    <w:rsid w:val="009A6D25"/>
    <w:rsid w:val="009B0941"/>
    <w:rsid w:val="009B344E"/>
    <w:rsid w:val="009B376B"/>
    <w:rsid w:val="009B6D11"/>
    <w:rsid w:val="009C03D5"/>
    <w:rsid w:val="009C3D14"/>
    <w:rsid w:val="009C6872"/>
    <w:rsid w:val="009D091D"/>
    <w:rsid w:val="009D185A"/>
    <w:rsid w:val="009D724E"/>
    <w:rsid w:val="009E004A"/>
    <w:rsid w:val="009E22DD"/>
    <w:rsid w:val="009E530D"/>
    <w:rsid w:val="009E5B30"/>
    <w:rsid w:val="009F4A39"/>
    <w:rsid w:val="009F597F"/>
    <w:rsid w:val="009F6796"/>
    <w:rsid w:val="009F715A"/>
    <w:rsid w:val="009F7512"/>
    <w:rsid w:val="00A008F9"/>
    <w:rsid w:val="00A012F4"/>
    <w:rsid w:val="00A02D1A"/>
    <w:rsid w:val="00A037F1"/>
    <w:rsid w:val="00A11713"/>
    <w:rsid w:val="00A123F3"/>
    <w:rsid w:val="00A13056"/>
    <w:rsid w:val="00A163A1"/>
    <w:rsid w:val="00A16C43"/>
    <w:rsid w:val="00A213A3"/>
    <w:rsid w:val="00A23583"/>
    <w:rsid w:val="00A24565"/>
    <w:rsid w:val="00A2542D"/>
    <w:rsid w:val="00A26502"/>
    <w:rsid w:val="00A269AC"/>
    <w:rsid w:val="00A270B4"/>
    <w:rsid w:val="00A27A05"/>
    <w:rsid w:val="00A30958"/>
    <w:rsid w:val="00A31158"/>
    <w:rsid w:val="00A31283"/>
    <w:rsid w:val="00A33C06"/>
    <w:rsid w:val="00A377FE"/>
    <w:rsid w:val="00A4105E"/>
    <w:rsid w:val="00A4126A"/>
    <w:rsid w:val="00A417A6"/>
    <w:rsid w:val="00A4277F"/>
    <w:rsid w:val="00A43535"/>
    <w:rsid w:val="00A43B97"/>
    <w:rsid w:val="00A43D7B"/>
    <w:rsid w:val="00A471D9"/>
    <w:rsid w:val="00A47E2D"/>
    <w:rsid w:val="00A54AD5"/>
    <w:rsid w:val="00A56083"/>
    <w:rsid w:val="00A61A62"/>
    <w:rsid w:val="00A62C02"/>
    <w:rsid w:val="00A631E1"/>
    <w:rsid w:val="00A643DB"/>
    <w:rsid w:val="00A64E2F"/>
    <w:rsid w:val="00A64E96"/>
    <w:rsid w:val="00A6547B"/>
    <w:rsid w:val="00A65A4E"/>
    <w:rsid w:val="00A70204"/>
    <w:rsid w:val="00A716B6"/>
    <w:rsid w:val="00A71A39"/>
    <w:rsid w:val="00A73F25"/>
    <w:rsid w:val="00A7417A"/>
    <w:rsid w:val="00A74311"/>
    <w:rsid w:val="00A75DA9"/>
    <w:rsid w:val="00A76A72"/>
    <w:rsid w:val="00A77359"/>
    <w:rsid w:val="00A93BEF"/>
    <w:rsid w:val="00A944FE"/>
    <w:rsid w:val="00A95E28"/>
    <w:rsid w:val="00AA0353"/>
    <w:rsid w:val="00AA0A92"/>
    <w:rsid w:val="00AA16D1"/>
    <w:rsid w:val="00AA34DE"/>
    <w:rsid w:val="00AA545C"/>
    <w:rsid w:val="00AB0668"/>
    <w:rsid w:val="00AC12FC"/>
    <w:rsid w:val="00AC2DCE"/>
    <w:rsid w:val="00AC346D"/>
    <w:rsid w:val="00AC5514"/>
    <w:rsid w:val="00AC7B95"/>
    <w:rsid w:val="00AD123D"/>
    <w:rsid w:val="00AD1780"/>
    <w:rsid w:val="00AE0F80"/>
    <w:rsid w:val="00AE32D3"/>
    <w:rsid w:val="00AE64A6"/>
    <w:rsid w:val="00AF1794"/>
    <w:rsid w:val="00AF1924"/>
    <w:rsid w:val="00AF2F58"/>
    <w:rsid w:val="00AF37B8"/>
    <w:rsid w:val="00AF5CAA"/>
    <w:rsid w:val="00AF66C6"/>
    <w:rsid w:val="00B01CB2"/>
    <w:rsid w:val="00B0445E"/>
    <w:rsid w:val="00B04D2D"/>
    <w:rsid w:val="00B073F9"/>
    <w:rsid w:val="00B1057D"/>
    <w:rsid w:val="00B10A29"/>
    <w:rsid w:val="00B139E1"/>
    <w:rsid w:val="00B15165"/>
    <w:rsid w:val="00B2349B"/>
    <w:rsid w:val="00B2361B"/>
    <w:rsid w:val="00B26EEC"/>
    <w:rsid w:val="00B30282"/>
    <w:rsid w:val="00B307FC"/>
    <w:rsid w:val="00B31397"/>
    <w:rsid w:val="00B3304D"/>
    <w:rsid w:val="00B34C18"/>
    <w:rsid w:val="00B36D13"/>
    <w:rsid w:val="00B40C63"/>
    <w:rsid w:val="00B42143"/>
    <w:rsid w:val="00B42BDE"/>
    <w:rsid w:val="00B43F99"/>
    <w:rsid w:val="00B44A8A"/>
    <w:rsid w:val="00B44B3A"/>
    <w:rsid w:val="00B45884"/>
    <w:rsid w:val="00B4721D"/>
    <w:rsid w:val="00B51290"/>
    <w:rsid w:val="00B52003"/>
    <w:rsid w:val="00B57830"/>
    <w:rsid w:val="00B61E5A"/>
    <w:rsid w:val="00B61E75"/>
    <w:rsid w:val="00B661D1"/>
    <w:rsid w:val="00B67DE6"/>
    <w:rsid w:val="00B737D0"/>
    <w:rsid w:val="00B80CF4"/>
    <w:rsid w:val="00B837AA"/>
    <w:rsid w:val="00B87B1B"/>
    <w:rsid w:val="00B923F5"/>
    <w:rsid w:val="00B9245B"/>
    <w:rsid w:val="00B93A9C"/>
    <w:rsid w:val="00B96E35"/>
    <w:rsid w:val="00BA2C0E"/>
    <w:rsid w:val="00BA2ED8"/>
    <w:rsid w:val="00BA3ACC"/>
    <w:rsid w:val="00BA5098"/>
    <w:rsid w:val="00BB0550"/>
    <w:rsid w:val="00BB119C"/>
    <w:rsid w:val="00BB2762"/>
    <w:rsid w:val="00BB6BD8"/>
    <w:rsid w:val="00BB7471"/>
    <w:rsid w:val="00BB7CC5"/>
    <w:rsid w:val="00BC1D67"/>
    <w:rsid w:val="00BC26A1"/>
    <w:rsid w:val="00BC395B"/>
    <w:rsid w:val="00BC3CD6"/>
    <w:rsid w:val="00BC4025"/>
    <w:rsid w:val="00BC47B1"/>
    <w:rsid w:val="00BC55AA"/>
    <w:rsid w:val="00BC6336"/>
    <w:rsid w:val="00BC65C9"/>
    <w:rsid w:val="00BD4B15"/>
    <w:rsid w:val="00BD5445"/>
    <w:rsid w:val="00BE630D"/>
    <w:rsid w:val="00BE6504"/>
    <w:rsid w:val="00BF025D"/>
    <w:rsid w:val="00BF2645"/>
    <w:rsid w:val="00BF3BAD"/>
    <w:rsid w:val="00BF6A6C"/>
    <w:rsid w:val="00BF7185"/>
    <w:rsid w:val="00BF7C99"/>
    <w:rsid w:val="00C00162"/>
    <w:rsid w:val="00C0567D"/>
    <w:rsid w:val="00C062BB"/>
    <w:rsid w:val="00C06E77"/>
    <w:rsid w:val="00C10175"/>
    <w:rsid w:val="00C10ECA"/>
    <w:rsid w:val="00C13C63"/>
    <w:rsid w:val="00C155C3"/>
    <w:rsid w:val="00C16407"/>
    <w:rsid w:val="00C1689B"/>
    <w:rsid w:val="00C17D28"/>
    <w:rsid w:val="00C22118"/>
    <w:rsid w:val="00C23490"/>
    <w:rsid w:val="00C2423F"/>
    <w:rsid w:val="00C24AD9"/>
    <w:rsid w:val="00C30D24"/>
    <w:rsid w:val="00C32991"/>
    <w:rsid w:val="00C33425"/>
    <w:rsid w:val="00C36C1E"/>
    <w:rsid w:val="00C42689"/>
    <w:rsid w:val="00C428F9"/>
    <w:rsid w:val="00C42E12"/>
    <w:rsid w:val="00C4324A"/>
    <w:rsid w:val="00C43914"/>
    <w:rsid w:val="00C44412"/>
    <w:rsid w:val="00C45453"/>
    <w:rsid w:val="00C503E2"/>
    <w:rsid w:val="00C508B0"/>
    <w:rsid w:val="00C51422"/>
    <w:rsid w:val="00C51480"/>
    <w:rsid w:val="00C5195A"/>
    <w:rsid w:val="00C56320"/>
    <w:rsid w:val="00C56A58"/>
    <w:rsid w:val="00C65158"/>
    <w:rsid w:val="00C65B53"/>
    <w:rsid w:val="00C6797F"/>
    <w:rsid w:val="00C720EB"/>
    <w:rsid w:val="00C72670"/>
    <w:rsid w:val="00C73FE2"/>
    <w:rsid w:val="00C74CB7"/>
    <w:rsid w:val="00C756A5"/>
    <w:rsid w:val="00C77AED"/>
    <w:rsid w:val="00C8003D"/>
    <w:rsid w:val="00C808C8"/>
    <w:rsid w:val="00C82D7B"/>
    <w:rsid w:val="00C85514"/>
    <w:rsid w:val="00C85B91"/>
    <w:rsid w:val="00C85FBD"/>
    <w:rsid w:val="00C904DE"/>
    <w:rsid w:val="00C91B9E"/>
    <w:rsid w:val="00C91BBF"/>
    <w:rsid w:val="00C94353"/>
    <w:rsid w:val="00C94586"/>
    <w:rsid w:val="00C9561C"/>
    <w:rsid w:val="00C95C7B"/>
    <w:rsid w:val="00C97066"/>
    <w:rsid w:val="00CA015D"/>
    <w:rsid w:val="00CA0169"/>
    <w:rsid w:val="00CA1697"/>
    <w:rsid w:val="00CA1FF8"/>
    <w:rsid w:val="00CA2D49"/>
    <w:rsid w:val="00CA32D8"/>
    <w:rsid w:val="00CA38AC"/>
    <w:rsid w:val="00CA4820"/>
    <w:rsid w:val="00CA697B"/>
    <w:rsid w:val="00CB2257"/>
    <w:rsid w:val="00CB276B"/>
    <w:rsid w:val="00CC07B4"/>
    <w:rsid w:val="00CC2B5D"/>
    <w:rsid w:val="00CC46C4"/>
    <w:rsid w:val="00CC6B8E"/>
    <w:rsid w:val="00CC7BBD"/>
    <w:rsid w:val="00CC7FF5"/>
    <w:rsid w:val="00CD1D96"/>
    <w:rsid w:val="00CD2419"/>
    <w:rsid w:val="00CD503E"/>
    <w:rsid w:val="00CE0DE6"/>
    <w:rsid w:val="00CE2301"/>
    <w:rsid w:val="00CE2D5D"/>
    <w:rsid w:val="00CE7169"/>
    <w:rsid w:val="00CE74BE"/>
    <w:rsid w:val="00CE7AD4"/>
    <w:rsid w:val="00CF27C9"/>
    <w:rsid w:val="00CF4D79"/>
    <w:rsid w:val="00CF7AB6"/>
    <w:rsid w:val="00D022D7"/>
    <w:rsid w:val="00D0434A"/>
    <w:rsid w:val="00D05F9F"/>
    <w:rsid w:val="00D06A48"/>
    <w:rsid w:val="00D1012F"/>
    <w:rsid w:val="00D13EFD"/>
    <w:rsid w:val="00D15AE0"/>
    <w:rsid w:val="00D15D5A"/>
    <w:rsid w:val="00D16AC7"/>
    <w:rsid w:val="00D2515A"/>
    <w:rsid w:val="00D301FC"/>
    <w:rsid w:val="00D3041B"/>
    <w:rsid w:val="00D329DB"/>
    <w:rsid w:val="00D336EF"/>
    <w:rsid w:val="00D35172"/>
    <w:rsid w:val="00D356F6"/>
    <w:rsid w:val="00D36717"/>
    <w:rsid w:val="00D41095"/>
    <w:rsid w:val="00D4310D"/>
    <w:rsid w:val="00D43389"/>
    <w:rsid w:val="00D43DF3"/>
    <w:rsid w:val="00D44225"/>
    <w:rsid w:val="00D44A05"/>
    <w:rsid w:val="00D453E6"/>
    <w:rsid w:val="00D45DF3"/>
    <w:rsid w:val="00D46510"/>
    <w:rsid w:val="00D46661"/>
    <w:rsid w:val="00D46AD2"/>
    <w:rsid w:val="00D4766C"/>
    <w:rsid w:val="00D47E58"/>
    <w:rsid w:val="00D51067"/>
    <w:rsid w:val="00D52D74"/>
    <w:rsid w:val="00D53D69"/>
    <w:rsid w:val="00D604B2"/>
    <w:rsid w:val="00D60EDE"/>
    <w:rsid w:val="00D6398A"/>
    <w:rsid w:val="00D67E97"/>
    <w:rsid w:val="00D7126F"/>
    <w:rsid w:val="00D7238A"/>
    <w:rsid w:val="00D728F3"/>
    <w:rsid w:val="00D7353D"/>
    <w:rsid w:val="00D73D07"/>
    <w:rsid w:val="00D754F1"/>
    <w:rsid w:val="00D758AC"/>
    <w:rsid w:val="00D762C5"/>
    <w:rsid w:val="00D8123C"/>
    <w:rsid w:val="00D81782"/>
    <w:rsid w:val="00D81E41"/>
    <w:rsid w:val="00D84464"/>
    <w:rsid w:val="00D85E9F"/>
    <w:rsid w:val="00D93BCE"/>
    <w:rsid w:val="00D93FC0"/>
    <w:rsid w:val="00D947F2"/>
    <w:rsid w:val="00D95393"/>
    <w:rsid w:val="00D97E46"/>
    <w:rsid w:val="00DA1828"/>
    <w:rsid w:val="00DA1FF3"/>
    <w:rsid w:val="00DA3B0D"/>
    <w:rsid w:val="00DA4563"/>
    <w:rsid w:val="00DA50D8"/>
    <w:rsid w:val="00DB0F3B"/>
    <w:rsid w:val="00DB2B8A"/>
    <w:rsid w:val="00DB7819"/>
    <w:rsid w:val="00DC134E"/>
    <w:rsid w:val="00DC3256"/>
    <w:rsid w:val="00DC48A1"/>
    <w:rsid w:val="00DC4C25"/>
    <w:rsid w:val="00DC7138"/>
    <w:rsid w:val="00DC7706"/>
    <w:rsid w:val="00DC7AB4"/>
    <w:rsid w:val="00DD0B10"/>
    <w:rsid w:val="00DD4B2E"/>
    <w:rsid w:val="00DD4FBB"/>
    <w:rsid w:val="00DD5393"/>
    <w:rsid w:val="00DD6BEC"/>
    <w:rsid w:val="00DD7C71"/>
    <w:rsid w:val="00DE2AF2"/>
    <w:rsid w:val="00DE4899"/>
    <w:rsid w:val="00DF22AA"/>
    <w:rsid w:val="00DF2496"/>
    <w:rsid w:val="00DF3F09"/>
    <w:rsid w:val="00DF6A73"/>
    <w:rsid w:val="00DF705F"/>
    <w:rsid w:val="00E00697"/>
    <w:rsid w:val="00E06026"/>
    <w:rsid w:val="00E06576"/>
    <w:rsid w:val="00E1176E"/>
    <w:rsid w:val="00E1346E"/>
    <w:rsid w:val="00E13C63"/>
    <w:rsid w:val="00E14107"/>
    <w:rsid w:val="00E14632"/>
    <w:rsid w:val="00E146FB"/>
    <w:rsid w:val="00E14E8B"/>
    <w:rsid w:val="00E2095D"/>
    <w:rsid w:val="00E21F11"/>
    <w:rsid w:val="00E239FC"/>
    <w:rsid w:val="00E2427F"/>
    <w:rsid w:val="00E26635"/>
    <w:rsid w:val="00E26916"/>
    <w:rsid w:val="00E278B9"/>
    <w:rsid w:val="00E307A8"/>
    <w:rsid w:val="00E31CFF"/>
    <w:rsid w:val="00E32968"/>
    <w:rsid w:val="00E33FCD"/>
    <w:rsid w:val="00E3609C"/>
    <w:rsid w:val="00E42536"/>
    <w:rsid w:val="00E45169"/>
    <w:rsid w:val="00E4542E"/>
    <w:rsid w:val="00E47B19"/>
    <w:rsid w:val="00E5046D"/>
    <w:rsid w:val="00E50D0E"/>
    <w:rsid w:val="00E50F9C"/>
    <w:rsid w:val="00E515B8"/>
    <w:rsid w:val="00E5792E"/>
    <w:rsid w:val="00E6032E"/>
    <w:rsid w:val="00E61644"/>
    <w:rsid w:val="00E6200A"/>
    <w:rsid w:val="00E64095"/>
    <w:rsid w:val="00E6453A"/>
    <w:rsid w:val="00E65F28"/>
    <w:rsid w:val="00E72097"/>
    <w:rsid w:val="00E72638"/>
    <w:rsid w:val="00E732A2"/>
    <w:rsid w:val="00E73C85"/>
    <w:rsid w:val="00E7777B"/>
    <w:rsid w:val="00E77EA8"/>
    <w:rsid w:val="00E80BBC"/>
    <w:rsid w:val="00E8117F"/>
    <w:rsid w:val="00E907EE"/>
    <w:rsid w:val="00E9561B"/>
    <w:rsid w:val="00E960AE"/>
    <w:rsid w:val="00E97119"/>
    <w:rsid w:val="00EB169C"/>
    <w:rsid w:val="00EB3204"/>
    <w:rsid w:val="00EB5201"/>
    <w:rsid w:val="00EB5C1D"/>
    <w:rsid w:val="00EB75AD"/>
    <w:rsid w:val="00EC334F"/>
    <w:rsid w:val="00EC3479"/>
    <w:rsid w:val="00EC34A5"/>
    <w:rsid w:val="00EC530B"/>
    <w:rsid w:val="00EC5848"/>
    <w:rsid w:val="00EC59FD"/>
    <w:rsid w:val="00EC614B"/>
    <w:rsid w:val="00ED173E"/>
    <w:rsid w:val="00ED26DB"/>
    <w:rsid w:val="00ED3C7B"/>
    <w:rsid w:val="00ED4D4A"/>
    <w:rsid w:val="00ED5442"/>
    <w:rsid w:val="00EE0250"/>
    <w:rsid w:val="00EE11C5"/>
    <w:rsid w:val="00EE691C"/>
    <w:rsid w:val="00EF1338"/>
    <w:rsid w:val="00EF400F"/>
    <w:rsid w:val="00EF5234"/>
    <w:rsid w:val="00EF5CD1"/>
    <w:rsid w:val="00F01D1D"/>
    <w:rsid w:val="00F0343F"/>
    <w:rsid w:val="00F03704"/>
    <w:rsid w:val="00F03A1B"/>
    <w:rsid w:val="00F057A1"/>
    <w:rsid w:val="00F05885"/>
    <w:rsid w:val="00F05C19"/>
    <w:rsid w:val="00F10152"/>
    <w:rsid w:val="00F102D2"/>
    <w:rsid w:val="00F115EA"/>
    <w:rsid w:val="00F126E7"/>
    <w:rsid w:val="00F17E95"/>
    <w:rsid w:val="00F20604"/>
    <w:rsid w:val="00F22995"/>
    <w:rsid w:val="00F24DEB"/>
    <w:rsid w:val="00F268F8"/>
    <w:rsid w:val="00F32293"/>
    <w:rsid w:val="00F3339B"/>
    <w:rsid w:val="00F3414A"/>
    <w:rsid w:val="00F37D62"/>
    <w:rsid w:val="00F40E1C"/>
    <w:rsid w:val="00F426C6"/>
    <w:rsid w:val="00F45867"/>
    <w:rsid w:val="00F470E0"/>
    <w:rsid w:val="00F5003D"/>
    <w:rsid w:val="00F5055C"/>
    <w:rsid w:val="00F5056E"/>
    <w:rsid w:val="00F51A2F"/>
    <w:rsid w:val="00F54839"/>
    <w:rsid w:val="00F54DC2"/>
    <w:rsid w:val="00F60893"/>
    <w:rsid w:val="00F6202D"/>
    <w:rsid w:val="00F6349F"/>
    <w:rsid w:val="00F639BB"/>
    <w:rsid w:val="00F64A17"/>
    <w:rsid w:val="00F72B27"/>
    <w:rsid w:val="00F747A8"/>
    <w:rsid w:val="00F75E10"/>
    <w:rsid w:val="00F7768E"/>
    <w:rsid w:val="00F77B86"/>
    <w:rsid w:val="00F77E90"/>
    <w:rsid w:val="00F825F6"/>
    <w:rsid w:val="00F848F3"/>
    <w:rsid w:val="00F854AC"/>
    <w:rsid w:val="00F9402C"/>
    <w:rsid w:val="00F9439C"/>
    <w:rsid w:val="00F9522C"/>
    <w:rsid w:val="00F95780"/>
    <w:rsid w:val="00F95825"/>
    <w:rsid w:val="00FA376F"/>
    <w:rsid w:val="00FA452B"/>
    <w:rsid w:val="00FA64D6"/>
    <w:rsid w:val="00FA696A"/>
    <w:rsid w:val="00FA6B86"/>
    <w:rsid w:val="00FB0065"/>
    <w:rsid w:val="00FB1B38"/>
    <w:rsid w:val="00FB418F"/>
    <w:rsid w:val="00FB5B96"/>
    <w:rsid w:val="00FB608F"/>
    <w:rsid w:val="00FC11F2"/>
    <w:rsid w:val="00FC1FF1"/>
    <w:rsid w:val="00FC35BA"/>
    <w:rsid w:val="00FC443D"/>
    <w:rsid w:val="00FD003B"/>
    <w:rsid w:val="00FD4ADA"/>
    <w:rsid w:val="00FD5C35"/>
    <w:rsid w:val="00FD626E"/>
    <w:rsid w:val="00FD634A"/>
    <w:rsid w:val="00FE04A2"/>
    <w:rsid w:val="00FE1955"/>
    <w:rsid w:val="00FE1C94"/>
    <w:rsid w:val="00FE1FCC"/>
    <w:rsid w:val="00FE2E2C"/>
    <w:rsid w:val="00FE4E2C"/>
    <w:rsid w:val="00FE5BE6"/>
    <w:rsid w:val="00FE66F4"/>
    <w:rsid w:val="00FE78D9"/>
    <w:rsid w:val="00FF3B70"/>
    <w:rsid w:val="00FF3C06"/>
    <w:rsid w:val="00FF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008">
      <w:bodyDiv w:val="1"/>
      <w:marLeft w:val="0"/>
      <w:marRight w:val="0"/>
      <w:marTop w:val="0"/>
      <w:marBottom w:val="0"/>
      <w:divBdr>
        <w:top w:val="none" w:sz="0" w:space="0" w:color="auto"/>
        <w:left w:val="none" w:sz="0" w:space="0" w:color="auto"/>
        <w:bottom w:val="none" w:sz="0" w:space="0" w:color="auto"/>
        <w:right w:val="none" w:sz="0" w:space="0" w:color="auto"/>
      </w:divBdr>
    </w:div>
    <w:div w:id="149098514">
      <w:bodyDiv w:val="1"/>
      <w:marLeft w:val="0"/>
      <w:marRight w:val="0"/>
      <w:marTop w:val="0"/>
      <w:marBottom w:val="0"/>
      <w:divBdr>
        <w:top w:val="none" w:sz="0" w:space="0" w:color="auto"/>
        <w:left w:val="none" w:sz="0" w:space="0" w:color="auto"/>
        <w:bottom w:val="none" w:sz="0" w:space="0" w:color="auto"/>
        <w:right w:val="none" w:sz="0" w:space="0" w:color="auto"/>
      </w:divBdr>
    </w:div>
    <w:div w:id="165634564">
      <w:bodyDiv w:val="1"/>
      <w:marLeft w:val="0"/>
      <w:marRight w:val="0"/>
      <w:marTop w:val="0"/>
      <w:marBottom w:val="0"/>
      <w:divBdr>
        <w:top w:val="none" w:sz="0" w:space="0" w:color="auto"/>
        <w:left w:val="none" w:sz="0" w:space="0" w:color="auto"/>
        <w:bottom w:val="none" w:sz="0" w:space="0" w:color="auto"/>
        <w:right w:val="none" w:sz="0" w:space="0" w:color="auto"/>
      </w:divBdr>
    </w:div>
    <w:div w:id="216868161">
      <w:bodyDiv w:val="1"/>
      <w:marLeft w:val="0"/>
      <w:marRight w:val="0"/>
      <w:marTop w:val="0"/>
      <w:marBottom w:val="0"/>
      <w:divBdr>
        <w:top w:val="none" w:sz="0" w:space="0" w:color="auto"/>
        <w:left w:val="none" w:sz="0" w:space="0" w:color="auto"/>
        <w:bottom w:val="none" w:sz="0" w:space="0" w:color="auto"/>
        <w:right w:val="none" w:sz="0" w:space="0" w:color="auto"/>
      </w:divBdr>
    </w:div>
    <w:div w:id="255943627">
      <w:bodyDiv w:val="1"/>
      <w:marLeft w:val="0"/>
      <w:marRight w:val="0"/>
      <w:marTop w:val="0"/>
      <w:marBottom w:val="0"/>
      <w:divBdr>
        <w:top w:val="none" w:sz="0" w:space="0" w:color="auto"/>
        <w:left w:val="none" w:sz="0" w:space="0" w:color="auto"/>
        <w:bottom w:val="none" w:sz="0" w:space="0" w:color="auto"/>
        <w:right w:val="none" w:sz="0" w:space="0" w:color="auto"/>
      </w:divBdr>
    </w:div>
    <w:div w:id="257106989">
      <w:bodyDiv w:val="1"/>
      <w:marLeft w:val="0"/>
      <w:marRight w:val="0"/>
      <w:marTop w:val="0"/>
      <w:marBottom w:val="0"/>
      <w:divBdr>
        <w:top w:val="none" w:sz="0" w:space="0" w:color="auto"/>
        <w:left w:val="none" w:sz="0" w:space="0" w:color="auto"/>
        <w:bottom w:val="none" w:sz="0" w:space="0" w:color="auto"/>
        <w:right w:val="none" w:sz="0" w:space="0" w:color="auto"/>
      </w:divBdr>
    </w:div>
    <w:div w:id="341056288">
      <w:bodyDiv w:val="1"/>
      <w:marLeft w:val="0"/>
      <w:marRight w:val="0"/>
      <w:marTop w:val="0"/>
      <w:marBottom w:val="0"/>
      <w:divBdr>
        <w:top w:val="none" w:sz="0" w:space="0" w:color="auto"/>
        <w:left w:val="none" w:sz="0" w:space="0" w:color="auto"/>
        <w:bottom w:val="none" w:sz="0" w:space="0" w:color="auto"/>
        <w:right w:val="none" w:sz="0" w:space="0" w:color="auto"/>
      </w:divBdr>
    </w:div>
    <w:div w:id="344017334">
      <w:bodyDiv w:val="1"/>
      <w:marLeft w:val="0"/>
      <w:marRight w:val="0"/>
      <w:marTop w:val="0"/>
      <w:marBottom w:val="0"/>
      <w:divBdr>
        <w:top w:val="none" w:sz="0" w:space="0" w:color="auto"/>
        <w:left w:val="none" w:sz="0" w:space="0" w:color="auto"/>
        <w:bottom w:val="none" w:sz="0" w:space="0" w:color="auto"/>
        <w:right w:val="none" w:sz="0" w:space="0" w:color="auto"/>
      </w:divBdr>
    </w:div>
    <w:div w:id="382220276">
      <w:bodyDiv w:val="1"/>
      <w:marLeft w:val="0"/>
      <w:marRight w:val="0"/>
      <w:marTop w:val="0"/>
      <w:marBottom w:val="0"/>
      <w:divBdr>
        <w:top w:val="none" w:sz="0" w:space="0" w:color="auto"/>
        <w:left w:val="none" w:sz="0" w:space="0" w:color="auto"/>
        <w:bottom w:val="none" w:sz="0" w:space="0" w:color="auto"/>
        <w:right w:val="none" w:sz="0" w:space="0" w:color="auto"/>
      </w:divBdr>
    </w:div>
    <w:div w:id="478347660">
      <w:bodyDiv w:val="1"/>
      <w:marLeft w:val="0"/>
      <w:marRight w:val="0"/>
      <w:marTop w:val="0"/>
      <w:marBottom w:val="0"/>
      <w:divBdr>
        <w:top w:val="none" w:sz="0" w:space="0" w:color="auto"/>
        <w:left w:val="none" w:sz="0" w:space="0" w:color="auto"/>
        <w:bottom w:val="none" w:sz="0" w:space="0" w:color="auto"/>
        <w:right w:val="none" w:sz="0" w:space="0" w:color="auto"/>
      </w:divBdr>
    </w:div>
    <w:div w:id="488181852">
      <w:bodyDiv w:val="1"/>
      <w:marLeft w:val="0"/>
      <w:marRight w:val="0"/>
      <w:marTop w:val="0"/>
      <w:marBottom w:val="0"/>
      <w:divBdr>
        <w:top w:val="none" w:sz="0" w:space="0" w:color="auto"/>
        <w:left w:val="none" w:sz="0" w:space="0" w:color="auto"/>
        <w:bottom w:val="none" w:sz="0" w:space="0" w:color="auto"/>
        <w:right w:val="none" w:sz="0" w:space="0" w:color="auto"/>
      </w:divBdr>
    </w:div>
    <w:div w:id="501238321">
      <w:bodyDiv w:val="1"/>
      <w:marLeft w:val="0"/>
      <w:marRight w:val="0"/>
      <w:marTop w:val="0"/>
      <w:marBottom w:val="0"/>
      <w:divBdr>
        <w:top w:val="none" w:sz="0" w:space="0" w:color="auto"/>
        <w:left w:val="none" w:sz="0" w:space="0" w:color="auto"/>
        <w:bottom w:val="none" w:sz="0" w:space="0" w:color="auto"/>
        <w:right w:val="none" w:sz="0" w:space="0" w:color="auto"/>
      </w:divBdr>
    </w:div>
    <w:div w:id="517425498">
      <w:bodyDiv w:val="1"/>
      <w:marLeft w:val="0"/>
      <w:marRight w:val="0"/>
      <w:marTop w:val="0"/>
      <w:marBottom w:val="0"/>
      <w:divBdr>
        <w:top w:val="none" w:sz="0" w:space="0" w:color="auto"/>
        <w:left w:val="none" w:sz="0" w:space="0" w:color="auto"/>
        <w:bottom w:val="none" w:sz="0" w:space="0" w:color="auto"/>
        <w:right w:val="none" w:sz="0" w:space="0" w:color="auto"/>
      </w:divBdr>
    </w:div>
    <w:div w:id="733898165">
      <w:bodyDiv w:val="1"/>
      <w:marLeft w:val="0"/>
      <w:marRight w:val="0"/>
      <w:marTop w:val="0"/>
      <w:marBottom w:val="0"/>
      <w:divBdr>
        <w:top w:val="none" w:sz="0" w:space="0" w:color="auto"/>
        <w:left w:val="none" w:sz="0" w:space="0" w:color="auto"/>
        <w:bottom w:val="none" w:sz="0" w:space="0" w:color="auto"/>
        <w:right w:val="none" w:sz="0" w:space="0" w:color="auto"/>
      </w:divBdr>
    </w:div>
    <w:div w:id="744913155">
      <w:bodyDiv w:val="1"/>
      <w:marLeft w:val="0"/>
      <w:marRight w:val="0"/>
      <w:marTop w:val="0"/>
      <w:marBottom w:val="0"/>
      <w:divBdr>
        <w:top w:val="none" w:sz="0" w:space="0" w:color="auto"/>
        <w:left w:val="none" w:sz="0" w:space="0" w:color="auto"/>
        <w:bottom w:val="none" w:sz="0" w:space="0" w:color="auto"/>
        <w:right w:val="none" w:sz="0" w:space="0" w:color="auto"/>
      </w:divBdr>
    </w:div>
    <w:div w:id="822896238">
      <w:bodyDiv w:val="1"/>
      <w:marLeft w:val="0"/>
      <w:marRight w:val="0"/>
      <w:marTop w:val="0"/>
      <w:marBottom w:val="0"/>
      <w:divBdr>
        <w:top w:val="none" w:sz="0" w:space="0" w:color="auto"/>
        <w:left w:val="none" w:sz="0" w:space="0" w:color="auto"/>
        <w:bottom w:val="none" w:sz="0" w:space="0" w:color="auto"/>
        <w:right w:val="none" w:sz="0" w:space="0" w:color="auto"/>
      </w:divBdr>
    </w:div>
    <w:div w:id="833764334">
      <w:bodyDiv w:val="1"/>
      <w:marLeft w:val="0"/>
      <w:marRight w:val="0"/>
      <w:marTop w:val="0"/>
      <w:marBottom w:val="0"/>
      <w:divBdr>
        <w:top w:val="none" w:sz="0" w:space="0" w:color="auto"/>
        <w:left w:val="none" w:sz="0" w:space="0" w:color="auto"/>
        <w:bottom w:val="none" w:sz="0" w:space="0" w:color="auto"/>
        <w:right w:val="none" w:sz="0" w:space="0" w:color="auto"/>
      </w:divBdr>
    </w:div>
    <w:div w:id="923950037">
      <w:bodyDiv w:val="1"/>
      <w:marLeft w:val="0"/>
      <w:marRight w:val="0"/>
      <w:marTop w:val="0"/>
      <w:marBottom w:val="0"/>
      <w:divBdr>
        <w:top w:val="none" w:sz="0" w:space="0" w:color="auto"/>
        <w:left w:val="none" w:sz="0" w:space="0" w:color="auto"/>
        <w:bottom w:val="none" w:sz="0" w:space="0" w:color="auto"/>
        <w:right w:val="none" w:sz="0" w:space="0" w:color="auto"/>
      </w:divBdr>
    </w:div>
    <w:div w:id="1136488860">
      <w:bodyDiv w:val="1"/>
      <w:marLeft w:val="0"/>
      <w:marRight w:val="0"/>
      <w:marTop w:val="0"/>
      <w:marBottom w:val="0"/>
      <w:divBdr>
        <w:top w:val="none" w:sz="0" w:space="0" w:color="auto"/>
        <w:left w:val="none" w:sz="0" w:space="0" w:color="auto"/>
        <w:bottom w:val="none" w:sz="0" w:space="0" w:color="auto"/>
        <w:right w:val="none" w:sz="0" w:space="0" w:color="auto"/>
      </w:divBdr>
    </w:div>
    <w:div w:id="1187914261">
      <w:bodyDiv w:val="1"/>
      <w:marLeft w:val="0"/>
      <w:marRight w:val="0"/>
      <w:marTop w:val="0"/>
      <w:marBottom w:val="0"/>
      <w:divBdr>
        <w:top w:val="none" w:sz="0" w:space="0" w:color="auto"/>
        <w:left w:val="none" w:sz="0" w:space="0" w:color="auto"/>
        <w:bottom w:val="none" w:sz="0" w:space="0" w:color="auto"/>
        <w:right w:val="none" w:sz="0" w:space="0" w:color="auto"/>
      </w:divBdr>
    </w:div>
    <w:div w:id="1196121032">
      <w:bodyDiv w:val="1"/>
      <w:marLeft w:val="0"/>
      <w:marRight w:val="0"/>
      <w:marTop w:val="0"/>
      <w:marBottom w:val="0"/>
      <w:divBdr>
        <w:top w:val="none" w:sz="0" w:space="0" w:color="auto"/>
        <w:left w:val="none" w:sz="0" w:space="0" w:color="auto"/>
        <w:bottom w:val="none" w:sz="0" w:space="0" w:color="auto"/>
        <w:right w:val="none" w:sz="0" w:space="0" w:color="auto"/>
      </w:divBdr>
    </w:div>
    <w:div w:id="1239513737">
      <w:bodyDiv w:val="1"/>
      <w:marLeft w:val="0"/>
      <w:marRight w:val="0"/>
      <w:marTop w:val="0"/>
      <w:marBottom w:val="0"/>
      <w:divBdr>
        <w:top w:val="none" w:sz="0" w:space="0" w:color="auto"/>
        <w:left w:val="none" w:sz="0" w:space="0" w:color="auto"/>
        <w:bottom w:val="none" w:sz="0" w:space="0" w:color="auto"/>
        <w:right w:val="none" w:sz="0" w:space="0" w:color="auto"/>
      </w:divBdr>
    </w:div>
    <w:div w:id="1287200909">
      <w:bodyDiv w:val="1"/>
      <w:marLeft w:val="0"/>
      <w:marRight w:val="0"/>
      <w:marTop w:val="0"/>
      <w:marBottom w:val="0"/>
      <w:divBdr>
        <w:top w:val="none" w:sz="0" w:space="0" w:color="auto"/>
        <w:left w:val="none" w:sz="0" w:space="0" w:color="auto"/>
        <w:bottom w:val="none" w:sz="0" w:space="0" w:color="auto"/>
        <w:right w:val="none" w:sz="0" w:space="0" w:color="auto"/>
      </w:divBdr>
    </w:div>
    <w:div w:id="1317370332">
      <w:bodyDiv w:val="1"/>
      <w:marLeft w:val="0"/>
      <w:marRight w:val="0"/>
      <w:marTop w:val="0"/>
      <w:marBottom w:val="0"/>
      <w:divBdr>
        <w:top w:val="none" w:sz="0" w:space="0" w:color="auto"/>
        <w:left w:val="none" w:sz="0" w:space="0" w:color="auto"/>
        <w:bottom w:val="none" w:sz="0" w:space="0" w:color="auto"/>
        <w:right w:val="none" w:sz="0" w:space="0" w:color="auto"/>
      </w:divBdr>
    </w:div>
    <w:div w:id="1345127453">
      <w:bodyDiv w:val="1"/>
      <w:marLeft w:val="0"/>
      <w:marRight w:val="0"/>
      <w:marTop w:val="0"/>
      <w:marBottom w:val="0"/>
      <w:divBdr>
        <w:top w:val="none" w:sz="0" w:space="0" w:color="auto"/>
        <w:left w:val="none" w:sz="0" w:space="0" w:color="auto"/>
        <w:bottom w:val="none" w:sz="0" w:space="0" w:color="auto"/>
        <w:right w:val="none" w:sz="0" w:space="0" w:color="auto"/>
      </w:divBdr>
    </w:div>
    <w:div w:id="1410227291">
      <w:bodyDiv w:val="1"/>
      <w:marLeft w:val="0"/>
      <w:marRight w:val="0"/>
      <w:marTop w:val="0"/>
      <w:marBottom w:val="0"/>
      <w:divBdr>
        <w:top w:val="none" w:sz="0" w:space="0" w:color="auto"/>
        <w:left w:val="none" w:sz="0" w:space="0" w:color="auto"/>
        <w:bottom w:val="none" w:sz="0" w:space="0" w:color="auto"/>
        <w:right w:val="none" w:sz="0" w:space="0" w:color="auto"/>
      </w:divBdr>
    </w:div>
    <w:div w:id="1458178228">
      <w:bodyDiv w:val="1"/>
      <w:marLeft w:val="0"/>
      <w:marRight w:val="0"/>
      <w:marTop w:val="0"/>
      <w:marBottom w:val="0"/>
      <w:divBdr>
        <w:top w:val="none" w:sz="0" w:space="0" w:color="auto"/>
        <w:left w:val="none" w:sz="0" w:space="0" w:color="auto"/>
        <w:bottom w:val="none" w:sz="0" w:space="0" w:color="auto"/>
        <w:right w:val="none" w:sz="0" w:space="0" w:color="auto"/>
      </w:divBdr>
    </w:div>
    <w:div w:id="1481579677">
      <w:bodyDiv w:val="1"/>
      <w:marLeft w:val="0"/>
      <w:marRight w:val="0"/>
      <w:marTop w:val="0"/>
      <w:marBottom w:val="0"/>
      <w:divBdr>
        <w:top w:val="none" w:sz="0" w:space="0" w:color="auto"/>
        <w:left w:val="none" w:sz="0" w:space="0" w:color="auto"/>
        <w:bottom w:val="none" w:sz="0" w:space="0" w:color="auto"/>
        <w:right w:val="none" w:sz="0" w:space="0" w:color="auto"/>
      </w:divBdr>
    </w:div>
    <w:div w:id="1560700690">
      <w:bodyDiv w:val="1"/>
      <w:marLeft w:val="0"/>
      <w:marRight w:val="0"/>
      <w:marTop w:val="0"/>
      <w:marBottom w:val="0"/>
      <w:divBdr>
        <w:top w:val="none" w:sz="0" w:space="0" w:color="auto"/>
        <w:left w:val="none" w:sz="0" w:space="0" w:color="auto"/>
        <w:bottom w:val="none" w:sz="0" w:space="0" w:color="auto"/>
        <w:right w:val="none" w:sz="0" w:space="0" w:color="auto"/>
      </w:divBdr>
    </w:div>
    <w:div w:id="1566529523">
      <w:bodyDiv w:val="1"/>
      <w:marLeft w:val="0"/>
      <w:marRight w:val="0"/>
      <w:marTop w:val="0"/>
      <w:marBottom w:val="0"/>
      <w:divBdr>
        <w:top w:val="none" w:sz="0" w:space="0" w:color="auto"/>
        <w:left w:val="none" w:sz="0" w:space="0" w:color="auto"/>
        <w:bottom w:val="none" w:sz="0" w:space="0" w:color="auto"/>
        <w:right w:val="none" w:sz="0" w:space="0" w:color="auto"/>
      </w:divBdr>
    </w:div>
    <w:div w:id="1669670151">
      <w:bodyDiv w:val="1"/>
      <w:marLeft w:val="0"/>
      <w:marRight w:val="0"/>
      <w:marTop w:val="0"/>
      <w:marBottom w:val="0"/>
      <w:divBdr>
        <w:top w:val="none" w:sz="0" w:space="0" w:color="auto"/>
        <w:left w:val="none" w:sz="0" w:space="0" w:color="auto"/>
        <w:bottom w:val="none" w:sz="0" w:space="0" w:color="auto"/>
        <w:right w:val="none" w:sz="0" w:space="0" w:color="auto"/>
      </w:divBdr>
      <w:divsChild>
        <w:div w:id="449474119">
          <w:marLeft w:val="0"/>
          <w:marRight w:val="0"/>
          <w:marTop w:val="0"/>
          <w:marBottom w:val="0"/>
          <w:divBdr>
            <w:top w:val="none" w:sz="0" w:space="0" w:color="auto"/>
            <w:left w:val="none" w:sz="0" w:space="0" w:color="auto"/>
            <w:bottom w:val="none" w:sz="0" w:space="0" w:color="auto"/>
            <w:right w:val="none" w:sz="0" w:space="0" w:color="auto"/>
          </w:divBdr>
        </w:div>
        <w:div w:id="518737925">
          <w:marLeft w:val="0"/>
          <w:marRight w:val="0"/>
          <w:marTop w:val="0"/>
          <w:marBottom w:val="0"/>
          <w:divBdr>
            <w:top w:val="none" w:sz="0" w:space="0" w:color="auto"/>
            <w:left w:val="none" w:sz="0" w:space="0" w:color="auto"/>
            <w:bottom w:val="none" w:sz="0" w:space="0" w:color="auto"/>
            <w:right w:val="none" w:sz="0" w:space="0" w:color="auto"/>
          </w:divBdr>
        </w:div>
        <w:div w:id="1254970288">
          <w:marLeft w:val="0"/>
          <w:marRight w:val="0"/>
          <w:marTop w:val="0"/>
          <w:marBottom w:val="0"/>
          <w:divBdr>
            <w:top w:val="none" w:sz="0" w:space="0" w:color="auto"/>
            <w:left w:val="none" w:sz="0" w:space="0" w:color="auto"/>
            <w:bottom w:val="none" w:sz="0" w:space="0" w:color="auto"/>
            <w:right w:val="none" w:sz="0" w:space="0" w:color="auto"/>
          </w:divBdr>
        </w:div>
        <w:div w:id="1705331202">
          <w:marLeft w:val="0"/>
          <w:marRight w:val="0"/>
          <w:marTop w:val="150"/>
          <w:marBottom w:val="150"/>
          <w:divBdr>
            <w:top w:val="none" w:sz="0" w:space="0" w:color="auto"/>
            <w:left w:val="none" w:sz="0" w:space="0" w:color="auto"/>
            <w:bottom w:val="none" w:sz="0" w:space="0" w:color="auto"/>
            <w:right w:val="none" w:sz="0" w:space="0" w:color="auto"/>
          </w:divBdr>
          <w:divsChild>
            <w:div w:id="702097540">
              <w:marLeft w:val="0"/>
              <w:marRight w:val="0"/>
              <w:marTop w:val="0"/>
              <w:marBottom w:val="0"/>
              <w:divBdr>
                <w:top w:val="none" w:sz="0" w:space="0" w:color="auto"/>
                <w:left w:val="none" w:sz="0" w:space="0" w:color="auto"/>
                <w:bottom w:val="none" w:sz="0" w:space="0" w:color="auto"/>
                <w:right w:val="none" w:sz="0" w:space="0" w:color="auto"/>
              </w:divBdr>
              <w:divsChild>
                <w:div w:id="1496064747">
                  <w:marLeft w:val="0"/>
                  <w:marRight w:val="0"/>
                  <w:marTop w:val="0"/>
                  <w:marBottom w:val="0"/>
                  <w:divBdr>
                    <w:top w:val="none" w:sz="0" w:space="0" w:color="auto"/>
                    <w:left w:val="none" w:sz="0" w:space="0" w:color="auto"/>
                    <w:bottom w:val="none" w:sz="0" w:space="0" w:color="auto"/>
                    <w:right w:val="none" w:sz="0" w:space="0" w:color="auto"/>
                  </w:divBdr>
                  <w:divsChild>
                    <w:div w:id="123013634">
                      <w:marLeft w:val="0"/>
                      <w:marRight w:val="0"/>
                      <w:marTop w:val="0"/>
                      <w:marBottom w:val="0"/>
                      <w:divBdr>
                        <w:top w:val="none" w:sz="0" w:space="0" w:color="auto"/>
                        <w:left w:val="none" w:sz="0" w:space="0" w:color="auto"/>
                        <w:bottom w:val="none" w:sz="0" w:space="0" w:color="auto"/>
                        <w:right w:val="none" w:sz="0" w:space="0" w:color="auto"/>
                      </w:divBdr>
                      <w:divsChild>
                        <w:div w:id="809640168">
                          <w:marLeft w:val="0"/>
                          <w:marRight w:val="0"/>
                          <w:marTop w:val="0"/>
                          <w:marBottom w:val="225"/>
                          <w:divBdr>
                            <w:top w:val="single" w:sz="6" w:space="0" w:color="C2C0C0"/>
                            <w:left w:val="single" w:sz="6" w:space="0" w:color="C2C0C0"/>
                            <w:bottom w:val="single" w:sz="6" w:space="0" w:color="C2C0C0"/>
                            <w:right w:val="single" w:sz="6" w:space="0" w:color="C2C0C0"/>
                          </w:divBdr>
                          <w:divsChild>
                            <w:div w:id="704408608">
                              <w:marLeft w:val="0"/>
                              <w:marRight w:val="0"/>
                              <w:marTop w:val="0"/>
                              <w:marBottom w:val="0"/>
                              <w:divBdr>
                                <w:top w:val="none" w:sz="0" w:space="0" w:color="auto"/>
                                <w:left w:val="none" w:sz="0" w:space="0" w:color="auto"/>
                                <w:bottom w:val="none" w:sz="0" w:space="0" w:color="auto"/>
                                <w:right w:val="none" w:sz="0" w:space="0" w:color="auto"/>
                              </w:divBdr>
                              <w:divsChild>
                                <w:div w:id="621033000">
                                  <w:marLeft w:val="0"/>
                                  <w:marRight w:val="0"/>
                                  <w:marTop w:val="0"/>
                                  <w:marBottom w:val="0"/>
                                  <w:divBdr>
                                    <w:top w:val="none" w:sz="0" w:space="0" w:color="auto"/>
                                    <w:left w:val="none" w:sz="0" w:space="0" w:color="auto"/>
                                    <w:bottom w:val="none" w:sz="0" w:space="0" w:color="auto"/>
                                    <w:right w:val="none" w:sz="0" w:space="0" w:color="auto"/>
                                  </w:divBdr>
                                  <w:divsChild>
                                    <w:div w:id="13644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2109">
                      <w:marLeft w:val="0"/>
                      <w:marRight w:val="0"/>
                      <w:marTop w:val="0"/>
                      <w:marBottom w:val="150"/>
                      <w:divBdr>
                        <w:top w:val="single" w:sz="6" w:space="0" w:color="C2C0C0"/>
                        <w:left w:val="single" w:sz="6" w:space="0" w:color="C2C0C0"/>
                        <w:bottom w:val="single" w:sz="6" w:space="0" w:color="C2C0C0"/>
                        <w:right w:val="single" w:sz="6" w:space="0" w:color="C2C0C0"/>
                      </w:divBdr>
                      <w:divsChild>
                        <w:div w:id="256602064">
                          <w:marLeft w:val="0"/>
                          <w:marRight w:val="0"/>
                          <w:marTop w:val="0"/>
                          <w:marBottom w:val="0"/>
                          <w:divBdr>
                            <w:top w:val="none" w:sz="0" w:space="0" w:color="auto"/>
                            <w:left w:val="none" w:sz="0" w:space="0" w:color="auto"/>
                            <w:bottom w:val="none" w:sz="0" w:space="0" w:color="auto"/>
                            <w:right w:val="none" w:sz="0" w:space="0" w:color="auto"/>
                          </w:divBdr>
                        </w:div>
                        <w:div w:id="2019119951">
                          <w:marLeft w:val="0"/>
                          <w:marRight w:val="0"/>
                          <w:marTop w:val="0"/>
                          <w:marBottom w:val="0"/>
                          <w:divBdr>
                            <w:top w:val="none" w:sz="0" w:space="0" w:color="auto"/>
                            <w:left w:val="none" w:sz="0" w:space="0" w:color="auto"/>
                            <w:bottom w:val="none" w:sz="0" w:space="0" w:color="auto"/>
                            <w:right w:val="none" w:sz="0" w:space="0" w:color="auto"/>
                          </w:divBdr>
                        </w:div>
                      </w:divsChild>
                    </w:div>
                    <w:div w:id="1282959468">
                      <w:marLeft w:val="0"/>
                      <w:marRight w:val="0"/>
                      <w:marTop w:val="0"/>
                      <w:marBottom w:val="150"/>
                      <w:divBdr>
                        <w:top w:val="single" w:sz="6" w:space="0" w:color="C2C0C0"/>
                        <w:left w:val="single" w:sz="6" w:space="0" w:color="C2C0C0"/>
                        <w:bottom w:val="single" w:sz="6" w:space="0" w:color="C2C0C0"/>
                        <w:right w:val="single" w:sz="6" w:space="0" w:color="C2C0C0"/>
                      </w:divBdr>
                      <w:divsChild>
                        <w:div w:id="405029657">
                          <w:marLeft w:val="0"/>
                          <w:marRight w:val="0"/>
                          <w:marTop w:val="0"/>
                          <w:marBottom w:val="0"/>
                          <w:divBdr>
                            <w:top w:val="none" w:sz="0" w:space="0" w:color="auto"/>
                            <w:left w:val="none" w:sz="0" w:space="0" w:color="auto"/>
                            <w:bottom w:val="none" w:sz="0" w:space="0" w:color="auto"/>
                            <w:right w:val="none" w:sz="0" w:space="0" w:color="auto"/>
                          </w:divBdr>
                        </w:div>
                        <w:div w:id="1080253058">
                          <w:marLeft w:val="0"/>
                          <w:marRight w:val="0"/>
                          <w:marTop w:val="0"/>
                          <w:marBottom w:val="0"/>
                          <w:divBdr>
                            <w:top w:val="none" w:sz="0" w:space="0" w:color="auto"/>
                            <w:left w:val="none" w:sz="0" w:space="0" w:color="auto"/>
                            <w:bottom w:val="none" w:sz="0" w:space="0" w:color="auto"/>
                            <w:right w:val="none" w:sz="0" w:space="0" w:color="auto"/>
                          </w:divBdr>
                        </w:div>
                      </w:divsChild>
                    </w:div>
                    <w:div w:id="1345548814">
                      <w:marLeft w:val="0"/>
                      <w:marRight w:val="0"/>
                      <w:marTop w:val="0"/>
                      <w:marBottom w:val="150"/>
                      <w:divBdr>
                        <w:top w:val="single" w:sz="6" w:space="0" w:color="C2C0C0"/>
                        <w:left w:val="single" w:sz="6" w:space="0" w:color="C2C0C0"/>
                        <w:bottom w:val="single" w:sz="6" w:space="0" w:color="C2C0C0"/>
                        <w:right w:val="single" w:sz="6" w:space="0" w:color="C2C0C0"/>
                      </w:divBdr>
                      <w:divsChild>
                        <w:div w:id="529534946">
                          <w:marLeft w:val="0"/>
                          <w:marRight w:val="0"/>
                          <w:marTop w:val="0"/>
                          <w:marBottom w:val="0"/>
                          <w:divBdr>
                            <w:top w:val="none" w:sz="0" w:space="0" w:color="auto"/>
                            <w:left w:val="none" w:sz="0" w:space="0" w:color="auto"/>
                            <w:bottom w:val="none" w:sz="0" w:space="0" w:color="auto"/>
                            <w:right w:val="none" w:sz="0" w:space="0" w:color="auto"/>
                          </w:divBdr>
                        </w:div>
                        <w:div w:id="986014911">
                          <w:marLeft w:val="0"/>
                          <w:marRight w:val="0"/>
                          <w:marTop w:val="0"/>
                          <w:marBottom w:val="0"/>
                          <w:divBdr>
                            <w:top w:val="none" w:sz="0" w:space="0" w:color="auto"/>
                            <w:left w:val="none" w:sz="0" w:space="0" w:color="auto"/>
                            <w:bottom w:val="none" w:sz="0" w:space="0" w:color="auto"/>
                            <w:right w:val="none" w:sz="0" w:space="0" w:color="auto"/>
                          </w:divBdr>
                        </w:div>
                      </w:divsChild>
                    </w:div>
                    <w:div w:id="1503230308">
                      <w:marLeft w:val="0"/>
                      <w:marRight w:val="0"/>
                      <w:marTop w:val="0"/>
                      <w:marBottom w:val="150"/>
                      <w:divBdr>
                        <w:top w:val="single" w:sz="6" w:space="0" w:color="C2C0C0"/>
                        <w:left w:val="single" w:sz="6" w:space="0" w:color="C2C0C0"/>
                        <w:bottom w:val="single" w:sz="6" w:space="0" w:color="C2C0C0"/>
                        <w:right w:val="single" w:sz="6" w:space="0" w:color="C2C0C0"/>
                      </w:divBdr>
                      <w:divsChild>
                        <w:div w:id="344409679">
                          <w:marLeft w:val="0"/>
                          <w:marRight w:val="0"/>
                          <w:marTop w:val="0"/>
                          <w:marBottom w:val="0"/>
                          <w:divBdr>
                            <w:top w:val="none" w:sz="0" w:space="0" w:color="auto"/>
                            <w:left w:val="none" w:sz="0" w:space="0" w:color="auto"/>
                            <w:bottom w:val="none" w:sz="0" w:space="0" w:color="auto"/>
                            <w:right w:val="none" w:sz="0" w:space="0" w:color="auto"/>
                          </w:divBdr>
                        </w:div>
                        <w:div w:id="733236150">
                          <w:marLeft w:val="0"/>
                          <w:marRight w:val="0"/>
                          <w:marTop w:val="0"/>
                          <w:marBottom w:val="0"/>
                          <w:divBdr>
                            <w:top w:val="none" w:sz="0" w:space="0" w:color="auto"/>
                            <w:left w:val="none" w:sz="0" w:space="0" w:color="auto"/>
                            <w:bottom w:val="none" w:sz="0" w:space="0" w:color="auto"/>
                            <w:right w:val="none" w:sz="0" w:space="0" w:color="auto"/>
                          </w:divBdr>
                        </w:div>
                      </w:divsChild>
                    </w:div>
                    <w:div w:id="1875191428">
                      <w:marLeft w:val="0"/>
                      <w:marRight w:val="0"/>
                      <w:marTop w:val="0"/>
                      <w:marBottom w:val="150"/>
                      <w:divBdr>
                        <w:top w:val="single" w:sz="6" w:space="0" w:color="C2C0C0"/>
                        <w:left w:val="single" w:sz="6" w:space="0" w:color="C2C0C0"/>
                        <w:bottom w:val="single" w:sz="6" w:space="0" w:color="C2C0C0"/>
                        <w:right w:val="single" w:sz="6" w:space="0" w:color="C2C0C0"/>
                      </w:divBdr>
                      <w:divsChild>
                        <w:div w:id="1553885544">
                          <w:marLeft w:val="0"/>
                          <w:marRight w:val="0"/>
                          <w:marTop w:val="0"/>
                          <w:marBottom w:val="0"/>
                          <w:divBdr>
                            <w:top w:val="none" w:sz="0" w:space="0" w:color="auto"/>
                            <w:left w:val="none" w:sz="0" w:space="0" w:color="auto"/>
                            <w:bottom w:val="none" w:sz="0" w:space="0" w:color="auto"/>
                            <w:right w:val="none" w:sz="0" w:space="0" w:color="auto"/>
                          </w:divBdr>
                        </w:div>
                        <w:div w:id="1859811189">
                          <w:marLeft w:val="0"/>
                          <w:marRight w:val="0"/>
                          <w:marTop w:val="0"/>
                          <w:marBottom w:val="0"/>
                          <w:divBdr>
                            <w:top w:val="none" w:sz="0" w:space="0" w:color="auto"/>
                            <w:left w:val="none" w:sz="0" w:space="0" w:color="auto"/>
                            <w:bottom w:val="none" w:sz="0" w:space="0" w:color="auto"/>
                            <w:right w:val="none" w:sz="0" w:space="0" w:color="auto"/>
                          </w:divBdr>
                        </w:div>
                      </w:divsChild>
                    </w:div>
                    <w:div w:id="1930650627">
                      <w:marLeft w:val="0"/>
                      <w:marRight w:val="0"/>
                      <w:marTop w:val="0"/>
                      <w:marBottom w:val="150"/>
                      <w:divBdr>
                        <w:top w:val="single" w:sz="6" w:space="0" w:color="C2C0C0"/>
                        <w:left w:val="single" w:sz="6" w:space="0" w:color="C2C0C0"/>
                        <w:bottom w:val="single" w:sz="6" w:space="0" w:color="C2C0C0"/>
                        <w:right w:val="single" w:sz="6" w:space="0" w:color="C2C0C0"/>
                      </w:divBdr>
                      <w:divsChild>
                        <w:div w:id="377247263">
                          <w:marLeft w:val="0"/>
                          <w:marRight w:val="0"/>
                          <w:marTop w:val="0"/>
                          <w:marBottom w:val="0"/>
                          <w:divBdr>
                            <w:top w:val="none" w:sz="0" w:space="0" w:color="auto"/>
                            <w:left w:val="none" w:sz="0" w:space="0" w:color="auto"/>
                            <w:bottom w:val="none" w:sz="0" w:space="0" w:color="auto"/>
                            <w:right w:val="none" w:sz="0" w:space="0" w:color="auto"/>
                          </w:divBdr>
                        </w:div>
                        <w:div w:id="516191321">
                          <w:marLeft w:val="0"/>
                          <w:marRight w:val="0"/>
                          <w:marTop w:val="0"/>
                          <w:marBottom w:val="0"/>
                          <w:divBdr>
                            <w:top w:val="none" w:sz="0" w:space="0" w:color="auto"/>
                            <w:left w:val="none" w:sz="0" w:space="0" w:color="auto"/>
                            <w:bottom w:val="none" w:sz="0" w:space="0" w:color="auto"/>
                            <w:right w:val="none" w:sz="0" w:space="0" w:color="auto"/>
                          </w:divBdr>
                        </w:div>
                      </w:divsChild>
                    </w:div>
                    <w:div w:id="2072843591">
                      <w:marLeft w:val="0"/>
                      <w:marRight w:val="0"/>
                      <w:marTop w:val="0"/>
                      <w:marBottom w:val="150"/>
                      <w:divBdr>
                        <w:top w:val="single" w:sz="6" w:space="0" w:color="C2C0C0"/>
                        <w:left w:val="single" w:sz="6" w:space="0" w:color="C2C0C0"/>
                        <w:bottom w:val="single" w:sz="6" w:space="0" w:color="C2C0C0"/>
                        <w:right w:val="single" w:sz="6" w:space="0" w:color="C2C0C0"/>
                      </w:divBdr>
                      <w:divsChild>
                        <w:div w:id="1010254284">
                          <w:marLeft w:val="0"/>
                          <w:marRight w:val="0"/>
                          <w:marTop w:val="0"/>
                          <w:marBottom w:val="0"/>
                          <w:divBdr>
                            <w:top w:val="none" w:sz="0" w:space="0" w:color="auto"/>
                            <w:left w:val="none" w:sz="0" w:space="0" w:color="auto"/>
                            <w:bottom w:val="none" w:sz="0" w:space="0" w:color="auto"/>
                            <w:right w:val="none" w:sz="0" w:space="0" w:color="auto"/>
                          </w:divBdr>
                        </w:div>
                        <w:div w:id="1504783713">
                          <w:marLeft w:val="0"/>
                          <w:marRight w:val="0"/>
                          <w:marTop w:val="0"/>
                          <w:marBottom w:val="0"/>
                          <w:divBdr>
                            <w:top w:val="none" w:sz="0" w:space="0" w:color="auto"/>
                            <w:left w:val="none" w:sz="0" w:space="0" w:color="auto"/>
                            <w:bottom w:val="none" w:sz="0" w:space="0" w:color="auto"/>
                            <w:right w:val="none" w:sz="0" w:space="0" w:color="auto"/>
                          </w:divBdr>
                        </w:div>
                      </w:divsChild>
                    </w:div>
                    <w:div w:id="2100373245">
                      <w:marLeft w:val="0"/>
                      <w:marRight w:val="0"/>
                      <w:marTop w:val="0"/>
                      <w:marBottom w:val="150"/>
                      <w:divBdr>
                        <w:top w:val="single" w:sz="6" w:space="0" w:color="C2C0C0"/>
                        <w:left w:val="single" w:sz="6" w:space="0" w:color="C2C0C0"/>
                        <w:bottom w:val="single" w:sz="6" w:space="0" w:color="C2C0C0"/>
                        <w:right w:val="single" w:sz="6" w:space="0" w:color="C2C0C0"/>
                      </w:divBdr>
                      <w:divsChild>
                        <w:div w:id="1402823506">
                          <w:marLeft w:val="0"/>
                          <w:marRight w:val="0"/>
                          <w:marTop w:val="0"/>
                          <w:marBottom w:val="0"/>
                          <w:divBdr>
                            <w:top w:val="none" w:sz="0" w:space="0" w:color="auto"/>
                            <w:left w:val="none" w:sz="0" w:space="0" w:color="auto"/>
                            <w:bottom w:val="none" w:sz="0" w:space="0" w:color="auto"/>
                            <w:right w:val="none" w:sz="0" w:space="0" w:color="auto"/>
                          </w:divBdr>
                        </w:div>
                        <w:div w:id="147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824">
              <w:marLeft w:val="0"/>
              <w:marRight w:val="0"/>
              <w:marTop w:val="0"/>
              <w:marBottom w:val="0"/>
              <w:divBdr>
                <w:top w:val="none" w:sz="0" w:space="0" w:color="auto"/>
                <w:left w:val="none" w:sz="0" w:space="0" w:color="auto"/>
                <w:bottom w:val="single" w:sz="6" w:space="8" w:color="025369"/>
                <w:right w:val="none" w:sz="0" w:space="0" w:color="auto"/>
              </w:divBdr>
              <w:divsChild>
                <w:div w:id="1673144898">
                  <w:marLeft w:val="0"/>
                  <w:marRight w:val="0"/>
                  <w:marTop w:val="0"/>
                  <w:marBottom w:val="0"/>
                  <w:divBdr>
                    <w:top w:val="none" w:sz="0" w:space="0" w:color="auto"/>
                    <w:left w:val="none" w:sz="0" w:space="0" w:color="auto"/>
                    <w:bottom w:val="none" w:sz="0" w:space="0" w:color="auto"/>
                    <w:right w:val="none" w:sz="0" w:space="0" w:color="auto"/>
                  </w:divBdr>
                  <w:divsChild>
                    <w:div w:id="402023677">
                      <w:marLeft w:val="0"/>
                      <w:marRight w:val="0"/>
                      <w:marTop w:val="0"/>
                      <w:marBottom w:val="0"/>
                      <w:divBdr>
                        <w:top w:val="none" w:sz="0" w:space="0" w:color="auto"/>
                        <w:left w:val="none" w:sz="0" w:space="0" w:color="auto"/>
                        <w:bottom w:val="none" w:sz="0" w:space="0" w:color="auto"/>
                        <w:right w:val="none" w:sz="0" w:space="0" w:color="auto"/>
                      </w:divBdr>
                      <w:divsChild>
                        <w:div w:id="1952323703">
                          <w:marLeft w:val="0"/>
                          <w:marRight w:val="0"/>
                          <w:marTop w:val="0"/>
                          <w:marBottom w:val="0"/>
                          <w:divBdr>
                            <w:top w:val="none" w:sz="0" w:space="0" w:color="auto"/>
                            <w:left w:val="none" w:sz="0" w:space="0" w:color="auto"/>
                            <w:bottom w:val="none" w:sz="0" w:space="0" w:color="auto"/>
                            <w:right w:val="none" w:sz="0" w:space="0" w:color="auto"/>
                          </w:divBdr>
                        </w:div>
                      </w:divsChild>
                    </w:div>
                    <w:div w:id="1593590467">
                      <w:marLeft w:val="0"/>
                      <w:marRight w:val="0"/>
                      <w:marTop w:val="0"/>
                      <w:marBottom w:val="0"/>
                      <w:divBdr>
                        <w:top w:val="none" w:sz="0" w:space="0" w:color="auto"/>
                        <w:left w:val="none" w:sz="0" w:space="0" w:color="auto"/>
                        <w:bottom w:val="none" w:sz="0" w:space="0" w:color="auto"/>
                        <w:right w:val="none" w:sz="0" w:space="0" w:color="auto"/>
                      </w:divBdr>
                      <w:divsChild>
                        <w:div w:id="1717007117">
                          <w:marLeft w:val="0"/>
                          <w:marRight w:val="0"/>
                          <w:marTop w:val="0"/>
                          <w:marBottom w:val="0"/>
                          <w:divBdr>
                            <w:top w:val="none" w:sz="0" w:space="0" w:color="auto"/>
                            <w:left w:val="none" w:sz="0" w:space="0" w:color="auto"/>
                            <w:bottom w:val="none" w:sz="0" w:space="0" w:color="auto"/>
                            <w:right w:val="none" w:sz="0" w:space="0" w:color="auto"/>
                          </w:divBdr>
                        </w:div>
                      </w:divsChild>
                    </w:div>
                    <w:div w:id="1646425849">
                      <w:marLeft w:val="0"/>
                      <w:marRight w:val="0"/>
                      <w:marTop w:val="0"/>
                      <w:marBottom w:val="0"/>
                      <w:divBdr>
                        <w:top w:val="none" w:sz="0" w:space="0" w:color="auto"/>
                        <w:left w:val="none" w:sz="0" w:space="0" w:color="auto"/>
                        <w:bottom w:val="none" w:sz="0" w:space="0" w:color="auto"/>
                        <w:right w:val="none" w:sz="0" w:space="0" w:color="auto"/>
                      </w:divBdr>
                    </w:div>
                    <w:div w:id="1956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2043">
              <w:marLeft w:val="0"/>
              <w:marRight w:val="0"/>
              <w:marTop w:val="0"/>
              <w:marBottom w:val="0"/>
              <w:divBdr>
                <w:top w:val="single" w:sz="6" w:space="6" w:color="025369"/>
                <w:left w:val="none" w:sz="0" w:space="0" w:color="auto"/>
                <w:bottom w:val="none" w:sz="0" w:space="0" w:color="auto"/>
                <w:right w:val="none" w:sz="0" w:space="0" w:color="auto"/>
              </w:divBdr>
            </w:div>
            <w:div w:id="1574270683">
              <w:marLeft w:val="0"/>
              <w:marRight w:val="0"/>
              <w:marTop w:val="0"/>
              <w:marBottom w:val="0"/>
              <w:divBdr>
                <w:top w:val="none" w:sz="0" w:space="0" w:color="auto"/>
                <w:left w:val="none" w:sz="0" w:space="0" w:color="auto"/>
                <w:bottom w:val="none" w:sz="0" w:space="0" w:color="auto"/>
                <w:right w:val="none" w:sz="0" w:space="0" w:color="auto"/>
              </w:divBdr>
              <w:divsChild>
                <w:div w:id="383530297">
                  <w:marLeft w:val="0"/>
                  <w:marRight w:val="0"/>
                  <w:marTop w:val="0"/>
                  <w:marBottom w:val="0"/>
                  <w:divBdr>
                    <w:top w:val="none" w:sz="0" w:space="0" w:color="auto"/>
                    <w:left w:val="none" w:sz="0" w:space="0" w:color="auto"/>
                    <w:bottom w:val="none" w:sz="0" w:space="0" w:color="auto"/>
                    <w:right w:val="none" w:sz="0" w:space="0" w:color="auto"/>
                  </w:divBdr>
                  <w:divsChild>
                    <w:div w:id="8796301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01070/2014-15_Section_2_Housing_Stock_tables_and_figures_FINAL.xlsx" TargetMode="Externa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501070/2014-15_Section_2_Housing_Stock_tables_and_figures_FINAL.xlsx" TargetMode="Externa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74FD-8CCF-47E0-8896-88C63223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4487</Words>
  <Characters>23376</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Hexagon Housing Association Ltd</vt:lpstr>
    </vt:vector>
  </TitlesOfParts>
  <Company>Hexagon Housing Association</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 Ltd</dc:title>
  <dc:creator>Chris Birchall</dc:creator>
  <cp:lastModifiedBy>Phil Newsam</cp:lastModifiedBy>
  <cp:revision>2</cp:revision>
  <cp:lastPrinted>2016-09-06T15:43:00Z</cp:lastPrinted>
  <dcterms:created xsi:type="dcterms:W3CDTF">2016-11-29T15:49:00Z</dcterms:created>
  <dcterms:modified xsi:type="dcterms:W3CDTF">2016-11-29T15:49:00Z</dcterms:modified>
</cp:coreProperties>
</file>