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A1" w:rsidRPr="00DF5071" w:rsidRDefault="001F6083">
      <w:pPr>
        <w:rPr>
          <w:rFonts w:ascii="Arial" w:hAnsi="Arial" w:cs="Arial"/>
          <w:sz w:val="32"/>
          <w:szCs w:val="32"/>
        </w:rPr>
      </w:pPr>
      <w:bookmarkStart w:id="0" w:name="_GoBack"/>
      <w:bookmarkEnd w:id="0"/>
      <w:r w:rsidRPr="00DF5071">
        <w:rPr>
          <w:rFonts w:ascii="Arial" w:hAnsi="Arial" w:cs="Arial"/>
          <w:sz w:val="32"/>
          <w:szCs w:val="32"/>
        </w:rPr>
        <w:t>Hexagon Housing Association</w:t>
      </w:r>
    </w:p>
    <w:p w:rsidR="001F6083" w:rsidRPr="00DF5071" w:rsidRDefault="001F6083">
      <w:pPr>
        <w:rPr>
          <w:rFonts w:ascii="Arial" w:hAnsi="Arial" w:cs="Arial"/>
          <w:sz w:val="32"/>
          <w:szCs w:val="32"/>
        </w:rPr>
      </w:pPr>
      <w:r w:rsidRPr="00DF5071">
        <w:rPr>
          <w:rFonts w:ascii="Arial" w:hAnsi="Arial" w:cs="Arial"/>
          <w:sz w:val="32"/>
          <w:szCs w:val="32"/>
        </w:rPr>
        <w:t xml:space="preserve">Board of Management </w:t>
      </w:r>
    </w:p>
    <w:p w:rsidR="001F6083" w:rsidRPr="00DF5071" w:rsidRDefault="001F6083">
      <w:pPr>
        <w:rPr>
          <w:rFonts w:ascii="Arial" w:hAnsi="Arial" w:cs="Arial"/>
          <w:sz w:val="32"/>
          <w:szCs w:val="32"/>
        </w:rPr>
      </w:pPr>
      <w:r w:rsidRPr="00DF5071">
        <w:rPr>
          <w:rFonts w:ascii="Arial" w:hAnsi="Arial" w:cs="Arial"/>
          <w:sz w:val="32"/>
          <w:szCs w:val="32"/>
        </w:rPr>
        <w:t>27 September 2016</w:t>
      </w:r>
    </w:p>
    <w:p w:rsidR="001F6083" w:rsidRPr="00DF5071" w:rsidRDefault="001F6083">
      <w:pPr>
        <w:rPr>
          <w:rFonts w:ascii="Arial" w:hAnsi="Arial" w:cs="Arial"/>
          <w:sz w:val="32"/>
          <w:szCs w:val="32"/>
        </w:rPr>
      </w:pPr>
      <w:r w:rsidRPr="00DF5071">
        <w:rPr>
          <w:rFonts w:ascii="Arial" w:hAnsi="Arial" w:cs="Arial"/>
          <w:sz w:val="32"/>
          <w:szCs w:val="32"/>
        </w:rPr>
        <w:t xml:space="preserve">Agenda item </w:t>
      </w:r>
      <w:r w:rsidR="005D26E1">
        <w:rPr>
          <w:rFonts w:ascii="Arial" w:hAnsi="Arial" w:cs="Arial"/>
          <w:sz w:val="32"/>
          <w:szCs w:val="32"/>
        </w:rPr>
        <w:t>10</w:t>
      </w:r>
    </w:p>
    <w:p w:rsidR="00646FDC" w:rsidRDefault="001F6083">
      <w:pPr>
        <w:rPr>
          <w:rFonts w:ascii="Arial" w:hAnsi="Arial" w:cs="Arial"/>
          <w:sz w:val="32"/>
          <w:szCs w:val="32"/>
        </w:rPr>
      </w:pPr>
      <w:r w:rsidRPr="00DF5071">
        <w:rPr>
          <w:rFonts w:ascii="Arial" w:hAnsi="Arial" w:cs="Arial"/>
          <w:sz w:val="32"/>
          <w:szCs w:val="32"/>
        </w:rPr>
        <w:t xml:space="preserve">Hexagon’s approach to voluntary Right to Buy sales </w:t>
      </w:r>
    </w:p>
    <w:p w:rsidR="001F6083" w:rsidRPr="00DF5071" w:rsidRDefault="001F6083">
      <w:pPr>
        <w:rPr>
          <w:rFonts w:ascii="Arial" w:hAnsi="Arial" w:cs="Arial"/>
          <w:sz w:val="32"/>
          <w:szCs w:val="32"/>
        </w:rPr>
      </w:pPr>
      <w:r w:rsidRPr="00DF5071">
        <w:rPr>
          <w:rFonts w:ascii="Arial" w:hAnsi="Arial" w:cs="Arial"/>
          <w:sz w:val="32"/>
          <w:szCs w:val="32"/>
        </w:rPr>
        <w:t xml:space="preserve">Report by the Operations Director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492"/>
      </w:tblGrid>
      <w:tr w:rsidR="001F6083" w:rsidTr="00867EF4">
        <w:tc>
          <w:tcPr>
            <w:tcW w:w="750" w:type="dxa"/>
          </w:tcPr>
          <w:p w:rsidR="001F6083" w:rsidRPr="00DF5071" w:rsidRDefault="001F6083">
            <w:pPr>
              <w:rPr>
                <w:rFonts w:ascii="Arial" w:hAnsi="Arial" w:cs="Arial"/>
                <w:i/>
                <w:sz w:val="28"/>
                <w:szCs w:val="28"/>
              </w:rPr>
            </w:pPr>
            <w:r w:rsidRPr="00DF5071">
              <w:rPr>
                <w:rFonts w:ascii="Arial" w:hAnsi="Arial" w:cs="Arial"/>
                <w:i/>
                <w:sz w:val="28"/>
                <w:szCs w:val="28"/>
              </w:rPr>
              <w:t>1.</w:t>
            </w:r>
          </w:p>
        </w:tc>
        <w:tc>
          <w:tcPr>
            <w:tcW w:w="8492" w:type="dxa"/>
          </w:tcPr>
          <w:p w:rsidR="001F6083" w:rsidRDefault="001F6083">
            <w:pPr>
              <w:rPr>
                <w:rFonts w:ascii="Arial" w:hAnsi="Arial" w:cs="Arial"/>
                <w:i/>
                <w:sz w:val="28"/>
                <w:szCs w:val="28"/>
              </w:rPr>
            </w:pPr>
            <w:r w:rsidRPr="00DF5071">
              <w:rPr>
                <w:rFonts w:ascii="Arial" w:hAnsi="Arial" w:cs="Arial"/>
                <w:i/>
                <w:sz w:val="28"/>
                <w:szCs w:val="28"/>
              </w:rPr>
              <w:t>Summary</w:t>
            </w:r>
          </w:p>
          <w:p w:rsidR="00867EF4" w:rsidRPr="00DF5071" w:rsidRDefault="00867EF4">
            <w:pPr>
              <w:rPr>
                <w:rFonts w:ascii="Arial" w:hAnsi="Arial" w:cs="Arial"/>
                <w:i/>
                <w:sz w:val="28"/>
                <w:szCs w:val="28"/>
              </w:rPr>
            </w:pPr>
          </w:p>
        </w:tc>
      </w:tr>
      <w:tr w:rsidR="001F6083" w:rsidTr="00867EF4">
        <w:tc>
          <w:tcPr>
            <w:tcW w:w="750" w:type="dxa"/>
          </w:tcPr>
          <w:p w:rsidR="001F6083" w:rsidRDefault="001F6083">
            <w:pPr>
              <w:rPr>
                <w:rFonts w:ascii="Arial" w:hAnsi="Arial" w:cs="Arial"/>
                <w:sz w:val="24"/>
                <w:szCs w:val="24"/>
              </w:rPr>
            </w:pPr>
          </w:p>
        </w:tc>
        <w:tc>
          <w:tcPr>
            <w:tcW w:w="8492" w:type="dxa"/>
          </w:tcPr>
          <w:p w:rsidR="001F6083" w:rsidRDefault="00125EED">
            <w:pPr>
              <w:rPr>
                <w:rFonts w:ascii="Arial" w:hAnsi="Arial" w:cs="Arial"/>
                <w:sz w:val="24"/>
                <w:szCs w:val="24"/>
              </w:rPr>
            </w:pPr>
            <w:r>
              <w:rPr>
                <w:rFonts w:ascii="Arial" w:hAnsi="Arial" w:cs="Arial"/>
                <w:sz w:val="24"/>
                <w:szCs w:val="24"/>
              </w:rPr>
              <w:t>This report seeks approval for a policy direction in relation to the circumstances in which we should impose restrictions on the voluntary Right to Buy sales</w:t>
            </w:r>
            <w:r w:rsidR="00867EF4">
              <w:rPr>
                <w:rFonts w:ascii="Arial" w:hAnsi="Arial" w:cs="Arial"/>
                <w:sz w:val="24"/>
                <w:szCs w:val="24"/>
              </w:rPr>
              <w:t xml:space="preserve"> (vRTB)</w:t>
            </w:r>
            <w:r>
              <w:rPr>
                <w:rFonts w:ascii="Arial" w:hAnsi="Arial" w:cs="Arial"/>
                <w:sz w:val="24"/>
                <w:szCs w:val="24"/>
              </w:rPr>
              <w:t xml:space="preserve">. When the Government publish the rules relating to the vRTB, we will bring back a more detailed report. </w:t>
            </w:r>
          </w:p>
          <w:p w:rsidR="00DE3002" w:rsidRDefault="00DE3002">
            <w:pPr>
              <w:rPr>
                <w:rFonts w:ascii="Arial" w:hAnsi="Arial" w:cs="Arial"/>
                <w:sz w:val="24"/>
                <w:szCs w:val="24"/>
              </w:rPr>
            </w:pPr>
          </w:p>
        </w:tc>
      </w:tr>
      <w:tr w:rsidR="001F6083" w:rsidTr="00867EF4">
        <w:tc>
          <w:tcPr>
            <w:tcW w:w="750" w:type="dxa"/>
          </w:tcPr>
          <w:p w:rsidR="001F6083" w:rsidRPr="00DF5071" w:rsidRDefault="001F6083">
            <w:pPr>
              <w:rPr>
                <w:rFonts w:ascii="Arial" w:hAnsi="Arial" w:cs="Arial"/>
                <w:i/>
                <w:sz w:val="28"/>
                <w:szCs w:val="28"/>
              </w:rPr>
            </w:pPr>
            <w:r w:rsidRPr="00DF5071">
              <w:rPr>
                <w:rFonts w:ascii="Arial" w:hAnsi="Arial" w:cs="Arial"/>
                <w:i/>
                <w:sz w:val="28"/>
                <w:szCs w:val="28"/>
              </w:rPr>
              <w:t>2.</w:t>
            </w:r>
          </w:p>
        </w:tc>
        <w:tc>
          <w:tcPr>
            <w:tcW w:w="8492" w:type="dxa"/>
          </w:tcPr>
          <w:p w:rsidR="001F6083" w:rsidRDefault="001F6083">
            <w:pPr>
              <w:rPr>
                <w:rFonts w:ascii="Arial" w:hAnsi="Arial" w:cs="Arial"/>
                <w:i/>
                <w:sz w:val="28"/>
                <w:szCs w:val="28"/>
              </w:rPr>
            </w:pPr>
            <w:r w:rsidRPr="00DF5071">
              <w:rPr>
                <w:rFonts w:ascii="Arial" w:hAnsi="Arial" w:cs="Arial"/>
                <w:i/>
                <w:sz w:val="28"/>
                <w:szCs w:val="28"/>
              </w:rPr>
              <w:t xml:space="preserve">Recommendations </w:t>
            </w:r>
          </w:p>
          <w:p w:rsidR="00DF5071" w:rsidRPr="00DF5071" w:rsidRDefault="00DF5071">
            <w:pPr>
              <w:rPr>
                <w:rFonts w:ascii="Arial" w:hAnsi="Arial" w:cs="Arial"/>
                <w:i/>
                <w:sz w:val="28"/>
                <w:szCs w:val="28"/>
              </w:rPr>
            </w:pPr>
          </w:p>
        </w:tc>
      </w:tr>
      <w:tr w:rsidR="001F6083" w:rsidTr="00867EF4">
        <w:tc>
          <w:tcPr>
            <w:tcW w:w="750" w:type="dxa"/>
          </w:tcPr>
          <w:p w:rsidR="001F6083" w:rsidRDefault="0092774B">
            <w:pPr>
              <w:rPr>
                <w:rFonts w:ascii="Arial" w:hAnsi="Arial" w:cs="Arial"/>
                <w:sz w:val="24"/>
                <w:szCs w:val="24"/>
              </w:rPr>
            </w:pPr>
            <w:r>
              <w:rPr>
                <w:rFonts w:ascii="Arial" w:hAnsi="Arial" w:cs="Arial"/>
                <w:sz w:val="24"/>
                <w:szCs w:val="24"/>
              </w:rPr>
              <w:t>2.1</w:t>
            </w:r>
          </w:p>
        </w:tc>
        <w:tc>
          <w:tcPr>
            <w:tcW w:w="8492" w:type="dxa"/>
          </w:tcPr>
          <w:p w:rsidR="001F6083" w:rsidRDefault="00125EED">
            <w:pPr>
              <w:rPr>
                <w:rFonts w:ascii="Arial" w:hAnsi="Arial" w:cs="Arial"/>
                <w:sz w:val="24"/>
                <w:szCs w:val="24"/>
              </w:rPr>
            </w:pPr>
            <w:r>
              <w:rPr>
                <w:rFonts w:ascii="Arial" w:hAnsi="Arial" w:cs="Arial"/>
                <w:sz w:val="24"/>
                <w:szCs w:val="24"/>
              </w:rPr>
              <w:t xml:space="preserve">To approve the policy direction of minimising </w:t>
            </w:r>
            <w:r w:rsidR="00B52460">
              <w:rPr>
                <w:rFonts w:ascii="Arial" w:hAnsi="Arial" w:cs="Arial"/>
                <w:sz w:val="24"/>
                <w:szCs w:val="24"/>
              </w:rPr>
              <w:t>the restrictions on sales.</w:t>
            </w:r>
          </w:p>
          <w:p w:rsidR="00DE3002" w:rsidRDefault="00DE3002">
            <w:pPr>
              <w:rPr>
                <w:rFonts w:ascii="Arial" w:hAnsi="Arial" w:cs="Arial"/>
                <w:sz w:val="24"/>
                <w:szCs w:val="24"/>
              </w:rPr>
            </w:pPr>
          </w:p>
        </w:tc>
      </w:tr>
      <w:tr w:rsidR="00B52460" w:rsidTr="00867EF4">
        <w:tc>
          <w:tcPr>
            <w:tcW w:w="750" w:type="dxa"/>
          </w:tcPr>
          <w:p w:rsidR="00B52460" w:rsidRDefault="00B52460">
            <w:pPr>
              <w:rPr>
                <w:rFonts w:ascii="Arial" w:hAnsi="Arial" w:cs="Arial"/>
                <w:sz w:val="24"/>
                <w:szCs w:val="24"/>
              </w:rPr>
            </w:pPr>
            <w:r>
              <w:rPr>
                <w:rFonts w:ascii="Arial" w:hAnsi="Arial" w:cs="Arial"/>
                <w:sz w:val="24"/>
                <w:szCs w:val="24"/>
              </w:rPr>
              <w:t>2.2</w:t>
            </w:r>
          </w:p>
        </w:tc>
        <w:tc>
          <w:tcPr>
            <w:tcW w:w="8492" w:type="dxa"/>
          </w:tcPr>
          <w:p w:rsidR="00B52460" w:rsidRDefault="00B52460">
            <w:pPr>
              <w:rPr>
                <w:rFonts w:ascii="Arial" w:hAnsi="Arial" w:cs="Arial"/>
                <w:sz w:val="24"/>
                <w:szCs w:val="24"/>
              </w:rPr>
            </w:pPr>
            <w:r>
              <w:rPr>
                <w:rFonts w:ascii="Arial" w:hAnsi="Arial" w:cs="Arial"/>
                <w:sz w:val="24"/>
                <w:szCs w:val="24"/>
              </w:rPr>
              <w:t>To note the anticipated difficulties in offering a replacement property to a tenant whose home is restricted from sale.</w:t>
            </w:r>
          </w:p>
          <w:p w:rsidR="00B52460" w:rsidRDefault="00B52460">
            <w:pPr>
              <w:rPr>
                <w:rFonts w:ascii="Arial" w:hAnsi="Arial" w:cs="Arial"/>
                <w:sz w:val="24"/>
                <w:szCs w:val="24"/>
              </w:rPr>
            </w:pPr>
          </w:p>
        </w:tc>
      </w:tr>
      <w:tr w:rsidR="00B52460" w:rsidTr="00867EF4">
        <w:tc>
          <w:tcPr>
            <w:tcW w:w="750" w:type="dxa"/>
          </w:tcPr>
          <w:p w:rsidR="00B52460" w:rsidRDefault="00B52460">
            <w:pPr>
              <w:rPr>
                <w:rFonts w:ascii="Arial" w:hAnsi="Arial" w:cs="Arial"/>
                <w:sz w:val="24"/>
                <w:szCs w:val="24"/>
              </w:rPr>
            </w:pPr>
            <w:r>
              <w:rPr>
                <w:rFonts w:ascii="Arial" w:hAnsi="Arial" w:cs="Arial"/>
                <w:sz w:val="24"/>
                <w:szCs w:val="24"/>
              </w:rPr>
              <w:t>2.3</w:t>
            </w:r>
          </w:p>
        </w:tc>
        <w:tc>
          <w:tcPr>
            <w:tcW w:w="8492" w:type="dxa"/>
          </w:tcPr>
          <w:p w:rsidR="00B52460" w:rsidRDefault="00B52460" w:rsidP="00B52460">
            <w:pPr>
              <w:rPr>
                <w:rFonts w:ascii="Arial" w:hAnsi="Arial" w:cs="Arial"/>
                <w:sz w:val="24"/>
                <w:szCs w:val="24"/>
              </w:rPr>
            </w:pPr>
            <w:r>
              <w:rPr>
                <w:rFonts w:ascii="Arial" w:hAnsi="Arial" w:cs="Arial"/>
                <w:sz w:val="24"/>
                <w:szCs w:val="24"/>
              </w:rPr>
              <w:t>Subject to the rules not overriding the proposed approach, to agree that the dispersed Supported Housing units should not be restricted from sale but the expectation would be that other Supported Housing units would be restricted.</w:t>
            </w:r>
          </w:p>
          <w:p w:rsidR="00B52460" w:rsidRDefault="00B52460" w:rsidP="00B52460">
            <w:pPr>
              <w:rPr>
                <w:rFonts w:ascii="Arial" w:hAnsi="Arial" w:cs="Arial"/>
                <w:sz w:val="24"/>
                <w:szCs w:val="24"/>
              </w:rPr>
            </w:pPr>
          </w:p>
        </w:tc>
      </w:tr>
      <w:tr w:rsidR="00B52460" w:rsidTr="00867EF4">
        <w:tc>
          <w:tcPr>
            <w:tcW w:w="750" w:type="dxa"/>
          </w:tcPr>
          <w:p w:rsidR="00B52460" w:rsidRDefault="00B52460">
            <w:pPr>
              <w:rPr>
                <w:rFonts w:ascii="Arial" w:hAnsi="Arial" w:cs="Arial"/>
                <w:sz w:val="24"/>
                <w:szCs w:val="24"/>
              </w:rPr>
            </w:pPr>
            <w:r>
              <w:rPr>
                <w:rFonts w:ascii="Arial" w:hAnsi="Arial" w:cs="Arial"/>
                <w:sz w:val="24"/>
                <w:szCs w:val="24"/>
              </w:rPr>
              <w:t>2.4</w:t>
            </w:r>
          </w:p>
        </w:tc>
        <w:tc>
          <w:tcPr>
            <w:tcW w:w="8492" w:type="dxa"/>
          </w:tcPr>
          <w:p w:rsidR="00B52460" w:rsidRDefault="00B52460">
            <w:pPr>
              <w:rPr>
                <w:rFonts w:ascii="Arial" w:hAnsi="Arial" w:cs="Arial"/>
                <w:sz w:val="24"/>
                <w:szCs w:val="24"/>
              </w:rPr>
            </w:pPr>
            <w:r>
              <w:rPr>
                <w:rFonts w:ascii="Arial" w:hAnsi="Arial" w:cs="Arial"/>
                <w:sz w:val="24"/>
                <w:szCs w:val="24"/>
              </w:rPr>
              <w:t xml:space="preserve">To agree that the units categorised in Table 1 as currently restricted by legal agreements should be treated as potentially restricted and that a quota system should operate for schemes where there is an unspecified partial restriction as set out in section </w:t>
            </w:r>
            <w:r w:rsidR="00867EF4">
              <w:rPr>
                <w:rFonts w:ascii="Arial" w:hAnsi="Arial" w:cs="Arial"/>
                <w:sz w:val="24"/>
                <w:szCs w:val="24"/>
              </w:rPr>
              <w:t>4.3.4</w:t>
            </w:r>
            <w:r>
              <w:rPr>
                <w:rFonts w:ascii="Arial" w:hAnsi="Arial" w:cs="Arial"/>
                <w:sz w:val="24"/>
                <w:szCs w:val="24"/>
              </w:rPr>
              <w:t xml:space="preserve"> </w:t>
            </w:r>
          </w:p>
          <w:p w:rsidR="00B52460" w:rsidRDefault="00B52460">
            <w:pPr>
              <w:rPr>
                <w:rFonts w:ascii="Arial" w:hAnsi="Arial" w:cs="Arial"/>
                <w:sz w:val="24"/>
                <w:szCs w:val="24"/>
              </w:rPr>
            </w:pPr>
          </w:p>
        </w:tc>
      </w:tr>
      <w:tr w:rsidR="00B52460" w:rsidTr="00867EF4">
        <w:tc>
          <w:tcPr>
            <w:tcW w:w="750" w:type="dxa"/>
          </w:tcPr>
          <w:p w:rsidR="00B52460" w:rsidRDefault="00B52460">
            <w:pPr>
              <w:rPr>
                <w:rFonts w:ascii="Arial" w:hAnsi="Arial" w:cs="Arial"/>
                <w:sz w:val="24"/>
                <w:szCs w:val="24"/>
              </w:rPr>
            </w:pPr>
            <w:r>
              <w:rPr>
                <w:rFonts w:ascii="Arial" w:hAnsi="Arial" w:cs="Arial"/>
                <w:sz w:val="24"/>
                <w:szCs w:val="24"/>
              </w:rPr>
              <w:t>2.5</w:t>
            </w:r>
          </w:p>
        </w:tc>
        <w:tc>
          <w:tcPr>
            <w:tcW w:w="8492" w:type="dxa"/>
          </w:tcPr>
          <w:p w:rsidR="00B52460" w:rsidRDefault="00B52460">
            <w:pPr>
              <w:rPr>
                <w:rFonts w:ascii="Arial" w:hAnsi="Arial" w:cs="Arial"/>
                <w:sz w:val="24"/>
                <w:szCs w:val="24"/>
              </w:rPr>
            </w:pPr>
            <w:r>
              <w:rPr>
                <w:rFonts w:ascii="Arial" w:hAnsi="Arial" w:cs="Arial"/>
                <w:sz w:val="24"/>
                <w:szCs w:val="24"/>
              </w:rPr>
              <w:t xml:space="preserve">To note that if wheelchair standard units are sold, the intention would be to try to replace them as part of the anticipated vRTB replacement programme. </w:t>
            </w:r>
          </w:p>
          <w:p w:rsidR="00B52460" w:rsidRDefault="00B52460">
            <w:pPr>
              <w:rPr>
                <w:rFonts w:ascii="Arial" w:hAnsi="Arial" w:cs="Arial"/>
                <w:sz w:val="24"/>
                <w:szCs w:val="24"/>
              </w:rPr>
            </w:pPr>
          </w:p>
        </w:tc>
      </w:tr>
      <w:tr w:rsidR="00B52460" w:rsidTr="00867EF4">
        <w:tc>
          <w:tcPr>
            <w:tcW w:w="750" w:type="dxa"/>
          </w:tcPr>
          <w:p w:rsidR="00B52460" w:rsidRDefault="00B52460">
            <w:pPr>
              <w:rPr>
                <w:rFonts w:ascii="Arial" w:hAnsi="Arial" w:cs="Arial"/>
                <w:sz w:val="24"/>
                <w:szCs w:val="24"/>
              </w:rPr>
            </w:pPr>
            <w:r>
              <w:rPr>
                <w:rFonts w:ascii="Arial" w:hAnsi="Arial" w:cs="Arial"/>
                <w:sz w:val="24"/>
                <w:szCs w:val="24"/>
              </w:rPr>
              <w:t>2.6</w:t>
            </w:r>
          </w:p>
        </w:tc>
        <w:tc>
          <w:tcPr>
            <w:tcW w:w="8492" w:type="dxa"/>
          </w:tcPr>
          <w:p w:rsidR="00B52460" w:rsidRDefault="00B52460">
            <w:pPr>
              <w:rPr>
                <w:rFonts w:ascii="Arial" w:hAnsi="Arial" w:cs="Arial"/>
                <w:sz w:val="24"/>
                <w:szCs w:val="24"/>
              </w:rPr>
            </w:pPr>
            <w:r>
              <w:rPr>
                <w:rFonts w:ascii="Arial" w:hAnsi="Arial" w:cs="Arial"/>
                <w:sz w:val="24"/>
                <w:szCs w:val="24"/>
              </w:rPr>
              <w:t xml:space="preserve">To note that a further report will come to the Board once the rules governing the vRTB are published. </w:t>
            </w:r>
          </w:p>
          <w:p w:rsidR="00B52460" w:rsidRDefault="00B52460">
            <w:pPr>
              <w:rPr>
                <w:rFonts w:ascii="Arial" w:hAnsi="Arial" w:cs="Arial"/>
                <w:sz w:val="24"/>
                <w:szCs w:val="24"/>
              </w:rPr>
            </w:pPr>
          </w:p>
        </w:tc>
      </w:tr>
      <w:tr w:rsidR="001F6083" w:rsidTr="00867EF4">
        <w:tc>
          <w:tcPr>
            <w:tcW w:w="750" w:type="dxa"/>
          </w:tcPr>
          <w:p w:rsidR="001F6083" w:rsidRPr="00DF5071" w:rsidRDefault="001F6083">
            <w:pPr>
              <w:rPr>
                <w:rFonts w:ascii="Arial" w:hAnsi="Arial" w:cs="Arial"/>
                <w:i/>
                <w:sz w:val="28"/>
                <w:szCs w:val="28"/>
              </w:rPr>
            </w:pPr>
            <w:r w:rsidRPr="00DF5071">
              <w:rPr>
                <w:rFonts w:ascii="Arial" w:hAnsi="Arial" w:cs="Arial"/>
                <w:i/>
                <w:sz w:val="28"/>
                <w:szCs w:val="28"/>
              </w:rPr>
              <w:t xml:space="preserve">3. </w:t>
            </w:r>
          </w:p>
        </w:tc>
        <w:tc>
          <w:tcPr>
            <w:tcW w:w="8492" w:type="dxa"/>
          </w:tcPr>
          <w:p w:rsidR="001F6083" w:rsidRDefault="001F6083">
            <w:pPr>
              <w:rPr>
                <w:rFonts w:ascii="Arial" w:hAnsi="Arial" w:cs="Arial"/>
                <w:i/>
                <w:sz w:val="28"/>
                <w:szCs w:val="28"/>
              </w:rPr>
            </w:pPr>
            <w:r w:rsidRPr="00DF5071">
              <w:rPr>
                <w:rFonts w:ascii="Arial" w:hAnsi="Arial" w:cs="Arial"/>
                <w:i/>
                <w:sz w:val="28"/>
                <w:szCs w:val="28"/>
              </w:rPr>
              <w:t xml:space="preserve">Context </w:t>
            </w:r>
          </w:p>
          <w:p w:rsidR="00DF5071" w:rsidRPr="00DF5071" w:rsidRDefault="00DF5071">
            <w:pPr>
              <w:rPr>
                <w:rFonts w:ascii="Arial" w:hAnsi="Arial" w:cs="Arial"/>
                <w:i/>
                <w:sz w:val="28"/>
                <w:szCs w:val="28"/>
              </w:rPr>
            </w:pPr>
          </w:p>
        </w:tc>
      </w:tr>
      <w:tr w:rsidR="001F6083" w:rsidTr="00867EF4">
        <w:tc>
          <w:tcPr>
            <w:tcW w:w="750" w:type="dxa"/>
          </w:tcPr>
          <w:p w:rsidR="001F6083" w:rsidRDefault="001F6083">
            <w:pPr>
              <w:rPr>
                <w:rFonts w:ascii="Arial" w:hAnsi="Arial" w:cs="Arial"/>
                <w:sz w:val="24"/>
                <w:szCs w:val="24"/>
              </w:rPr>
            </w:pPr>
            <w:r>
              <w:rPr>
                <w:rFonts w:ascii="Arial" w:hAnsi="Arial" w:cs="Arial"/>
                <w:sz w:val="24"/>
                <w:szCs w:val="24"/>
              </w:rPr>
              <w:t xml:space="preserve">3.1 </w:t>
            </w:r>
          </w:p>
        </w:tc>
        <w:tc>
          <w:tcPr>
            <w:tcW w:w="8492" w:type="dxa"/>
          </w:tcPr>
          <w:p w:rsidR="001F6083" w:rsidRDefault="001F6083" w:rsidP="00453D1C">
            <w:pPr>
              <w:rPr>
                <w:rFonts w:ascii="Arial" w:hAnsi="Arial" w:cs="Arial"/>
                <w:sz w:val="24"/>
                <w:szCs w:val="24"/>
              </w:rPr>
            </w:pPr>
            <w:r>
              <w:rPr>
                <w:rFonts w:ascii="Arial" w:hAnsi="Arial" w:cs="Arial"/>
                <w:sz w:val="24"/>
                <w:szCs w:val="24"/>
              </w:rPr>
              <w:t xml:space="preserve">Although the Government has not yet published the rules which will determine how the voluntary Right to Buy (“vRTB”) policy for housing associations will operate, the National Housing Federation is encouraging member organisations to start work on “thinking through how they will implement the </w:t>
            </w:r>
            <w:r>
              <w:rPr>
                <w:rFonts w:ascii="Arial" w:hAnsi="Arial" w:cs="Arial"/>
                <w:sz w:val="24"/>
                <w:szCs w:val="24"/>
              </w:rPr>
              <w:lastRenderedPageBreak/>
              <w:t xml:space="preserve">scheme and to begin developing local policies.” </w:t>
            </w:r>
            <w:r>
              <w:rPr>
                <w:rStyle w:val="FootnoteReference"/>
                <w:rFonts w:ascii="Arial" w:hAnsi="Arial" w:cs="Arial"/>
                <w:sz w:val="24"/>
                <w:szCs w:val="24"/>
              </w:rPr>
              <w:footnoteReference w:id="1"/>
            </w:r>
            <w:r w:rsidR="00453D1C">
              <w:rPr>
                <w:rFonts w:ascii="Arial" w:hAnsi="Arial" w:cs="Arial"/>
                <w:sz w:val="24"/>
                <w:szCs w:val="24"/>
              </w:rPr>
              <w:t xml:space="preserve"> One of the first tasks is to develop a “local sales policy.” One of the core principles of the vRTB agreement is that housing associations will have the final decision about whether to sell an individual property. However, if we decide not to sell an individual property, the expectation is that we will need to offer the tenant </w:t>
            </w:r>
            <w:r w:rsidR="00646FDC">
              <w:rPr>
                <w:rFonts w:ascii="Arial" w:hAnsi="Arial" w:cs="Arial"/>
                <w:sz w:val="24"/>
                <w:szCs w:val="24"/>
              </w:rPr>
              <w:t xml:space="preserve">of that property </w:t>
            </w:r>
            <w:r w:rsidR="00453D1C">
              <w:rPr>
                <w:rFonts w:ascii="Arial" w:hAnsi="Arial" w:cs="Arial"/>
                <w:sz w:val="24"/>
                <w:szCs w:val="24"/>
              </w:rPr>
              <w:t xml:space="preserve">a portable discount to another housing association property. </w:t>
            </w:r>
          </w:p>
          <w:p w:rsidR="00453D1C" w:rsidRDefault="00453D1C" w:rsidP="00453D1C">
            <w:pPr>
              <w:rPr>
                <w:rFonts w:ascii="Arial" w:hAnsi="Arial" w:cs="Arial"/>
                <w:sz w:val="24"/>
                <w:szCs w:val="24"/>
              </w:rPr>
            </w:pPr>
          </w:p>
        </w:tc>
      </w:tr>
      <w:tr w:rsidR="001F6083" w:rsidTr="00867EF4">
        <w:tc>
          <w:tcPr>
            <w:tcW w:w="750" w:type="dxa"/>
          </w:tcPr>
          <w:p w:rsidR="001F6083" w:rsidRDefault="00453D1C">
            <w:pPr>
              <w:rPr>
                <w:rFonts w:ascii="Arial" w:hAnsi="Arial" w:cs="Arial"/>
                <w:sz w:val="24"/>
                <w:szCs w:val="24"/>
              </w:rPr>
            </w:pPr>
            <w:r>
              <w:rPr>
                <w:rFonts w:ascii="Arial" w:hAnsi="Arial" w:cs="Arial"/>
                <w:sz w:val="24"/>
                <w:szCs w:val="24"/>
              </w:rPr>
              <w:lastRenderedPageBreak/>
              <w:t xml:space="preserve">3.2 </w:t>
            </w:r>
          </w:p>
        </w:tc>
        <w:tc>
          <w:tcPr>
            <w:tcW w:w="8492" w:type="dxa"/>
          </w:tcPr>
          <w:p w:rsidR="00D208F4" w:rsidRPr="00997B8E" w:rsidRDefault="00453D1C" w:rsidP="00997B8E">
            <w:pPr>
              <w:rPr>
                <w:rFonts w:ascii="Arial" w:hAnsi="Arial" w:cs="Arial"/>
                <w:sz w:val="24"/>
                <w:szCs w:val="24"/>
              </w:rPr>
            </w:pPr>
            <w:r>
              <w:rPr>
                <w:rFonts w:ascii="Arial" w:hAnsi="Arial" w:cs="Arial"/>
                <w:sz w:val="24"/>
                <w:szCs w:val="24"/>
              </w:rPr>
              <w:t>The expectation set out by the NHF (who is working with Department for Communities and Local Government “DCLG</w:t>
            </w:r>
            <w:r w:rsidR="00867EF4">
              <w:rPr>
                <w:rFonts w:ascii="Arial" w:hAnsi="Arial" w:cs="Arial"/>
                <w:sz w:val="24"/>
                <w:szCs w:val="24"/>
              </w:rPr>
              <w:t>” on</w:t>
            </w:r>
            <w:r>
              <w:rPr>
                <w:rFonts w:ascii="Arial" w:hAnsi="Arial" w:cs="Arial"/>
                <w:sz w:val="24"/>
                <w:szCs w:val="24"/>
              </w:rPr>
              <w:t xml:space="preserve"> the scheme</w:t>
            </w:r>
            <w:r w:rsidR="00A44B4A">
              <w:rPr>
                <w:rFonts w:ascii="Arial" w:hAnsi="Arial" w:cs="Arial"/>
                <w:sz w:val="24"/>
                <w:szCs w:val="24"/>
              </w:rPr>
              <w:t>)</w:t>
            </w:r>
            <w:r>
              <w:rPr>
                <w:rFonts w:ascii="Arial" w:hAnsi="Arial" w:cs="Arial"/>
                <w:sz w:val="24"/>
                <w:szCs w:val="24"/>
              </w:rPr>
              <w:t xml:space="preserve"> is that associations will publish a clear and transparent policy that sets out how we intend to use our </w:t>
            </w:r>
            <w:r w:rsidR="00867EF4">
              <w:rPr>
                <w:rFonts w:ascii="Arial" w:hAnsi="Arial" w:cs="Arial"/>
                <w:sz w:val="24"/>
                <w:szCs w:val="24"/>
              </w:rPr>
              <w:t>discretion in</w:t>
            </w:r>
            <w:r>
              <w:rPr>
                <w:rFonts w:ascii="Arial" w:hAnsi="Arial" w:cs="Arial"/>
                <w:sz w:val="24"/>
                <w:szCs w:val="24"/>
              </w:rPr>
              <w:t xml:space="preserve"> relation to any restrictions on sales. </w:t>
            </w:r>
            <w:r w:rsidR="00D208F4" w:rsidRPr="00997B8E">
              <w:rPr>
                <w:rFonts w:ascii="Arial" w:hAnsi="Arial" w:cs="Arial"/>
                <w:sz w:val="24"/>
                <w:szCs w:val="24"/>
              </w:rPr>
              <w:t xml:space="preserve"> </w:t>
            </w:r>
            <w:r w:rsidR="00997B8E">
              <w:rPr>
                <w:rFonts w:ascii="Arial" w:hAnsi="Arial" w:cs="Arial"/>
                <w:sz w:val="24"/>
                <w:szCs w:val="24"/>
              </w:rPr>
              <w:t xml:space="preserve">The Government, however, wants housing associations to offer a tenant living in a </w:t>
            </w:r>
          </w:p>
          <w:p w:rsidR="0011700D" w:rsidRDefault="00997B8E" w:rsidP="00646FDC">
            <w:pPr>
              <w:rPr>
                <w:rFonts w:ascii="Arial" w:hAnsi="Arial" w:cs="Arial"/>
                <w:sz w:val="24"/>
                <w:szCs w:val="24"/>
              </w:rPr>
            </w:pPr>
            <w:r>
              <w:rPr>
                <w:rFonts w:ascii="Arial" w:hAnsi="Arial" w:cs="Arial"/>
                <w:sz w:val="24"/>
                <w:szCs w:val="24"/>
              </w:rPr>
              <w:t xml:space="preserve">Property which is restricted from being sold under the vRTB an alternative property with a “portable discount”, presumably the discount they are eligible for in </w:t>
            </w:r>
            <w:r w:rsidR="00867EF4">
              <w:rPr>
                <w:rFonts w:ascii="Arial" w:hAnsi="Arial" w:cs="Arial"/>
                <w:sz w:val="24"/>
                <w:szCs w:val="24"/>
              </w:rPr>
              <w:t>their</w:t>
            </w:r>
            <w:r>
              <w:rPr>
                <w:rFonts w:ascii="Arial" w:hAnsi="Arial" w:cs="Arial"/>
                <w:sz w:val="24"/>
                <w:szCs w:val="24"/>
              </w:rPr>
              <w:t xml:space="preserve"> current home. </w:t>
            </w:r>
          </w:p>
          <w:p w:rsidR="00646FDC" w:rsidRDefault="00646FDC" w:rsidP="00997B8E">
            <w:pPr>
              <w:rPr>
                <w:rFonts w:ascii="Arial" w:hAnsi="Arial" w:cs="Arial"/>
                <w:sz w:val="24"/>
                <w:szCs w:val="24"/>
              </w:rPr>
            </w:pPr>
          </w:p>
        </w:tc>
      </w:tr>
      <w:tr w:rsidR="0011700D" w:rsidTr="00867EF4">
        <w:tc>
          <w:tcPr>
            <w:tcW w:w="750" w:type="dxa"/>
          </w:tcPr>
          <w:p w:rsidR="0011700D" w:rsidRDefault="0011700D">
            <w:pPr>
              <w:rPr>
                <w:rFonts w:ascii="Arial" w:hAnsi="Arial" w:cs="Arial"/>
                <w:sz w:val="24"/>
                <w:szCs w:val="24"/>
              </w:rPr>
            </w:pPr>
            <w:r>
              <w:rPr>
                <w:rFonts w:ascii="Arial" w:hAnsi="Arial" w:cs="Arial"/>
                <w:sz w:val="24"/>
                <w:szCs w:val="24"/>
              </w:rPr>
              <w:t xml:space="preserve">3.3 </w:t>
            </w:r>
          </w:p>
        </w:tc>
        <w:tc>
          <w:tcPr>
            <w:tcW w:w="8492" w:type="dxa"/>
          </w:tcPr>
          <w:p w:rsidR="0011700D" w:rsidRDefault="0011700D" w:rsidP="0011700D">
            <w:pPr>
              <w:rPr>
                <w:rFonts w:ascii="Arial" w:hAnsi="Arial" w:cs="Arial"/>
                <w:sz w:val="24"/>
                <w:szCs w:val="24"/>
              </w:rPr>
            </w:pPr>
            <w:r>
              <w:rPr>
                <w:rFonts w:ascii="Arial" w:hAnsi="Arial" w:cs="Arial"/>
                <w:sz w:val="24"/>
                <w:szCs w:val="24"/>
              </w:rPr>
              <w:t xml:space="preserve">Developing these policies without knowing what the “rules” are seems premature. It had been expected that the national scheme after the pilots would be starting in the autumn of this year but that now looks unlikely as the rules are not yet published. Although no official announcement has been made, the assumption by many housing associations seems to be that April 2017 would be the start date. There is an NHF briefing on 29 September on the topic when we hope to hear more. </w:t>
            </w:r>
          </w:p>
          <w:p w:rsidR="0011700D" w:rsidRDefault="0011700D" w:rsidP="0011700D">
            <w:pPr>
              <w:rPr>
                <w:rFonts w:ascii="Arial" w:hAnsi="Arial" w:cs="Arial"/>
                <w:sz w:val="24"/>
                <w:szCs w:val="24"/>
              </w:rPr>
            </w:pPr>
          </w:p>
        </w:tc>
      </w:tr>
      <w:tr w:rsidR="00997B8E" w:rsidTr="00867EF4">
        <w:tc>
          <w:tcPr>
            <w:tcW w:w="750" w:type="dxa"/>
          </w:tcPr>
          <w:p w:rsidR="00997B8E" w:rsidRPr="00125EED" w:rsidRDefault="0011700D">
            <w:pPr>
              <w:rPr>
                <w:rFonts w:ascii="Arial" w:hAnsi="Arial" w:cs="Arial"/>
                <w:i/>
                <w:sz w:val="28"/>
                <w:szCs w:val="28"/>
              </w:rPr>
            </w:pPr>
            <w:r w:rsidRPr="00125EED">
              <w:rPr>
                <w:rFonts w:ascii="Arial" w:hAnsi="Arial" w:cs="Arial"/>
                <w:i/>
                <w:sz w:val="28"/>
                <w:szCs w:val="28"/>
              </w:rPr>
              <w:t>4.</w:t>
            </w:r>
          </w:p>
        </w:tc>
        <w:tc>
          <w:tcPr>
            <w:tcW w:w="8492" w:type="dxa"/>
          </w:tcPr>
          <w:p w:rsidR="00997B8E" w:rsidRPr="00125EED" w:rsidRDefault="00997B8E" w:rsidP="00453D1C">
            <w:pPr>
              <w:rPr>
                <w:rFonts w:ascii="Arial" w:hAnsi="Arial" w:cs="Arial"/>
                <w:i/>
                <w:sz w:val="28"/>
                <w:szCs w:val="28"/>
              </w:rPr>
            </w:pPr>
            <w:r w:rsidRPr="00125EED">
              <w:rPr>
                <w:rFonts w:ascii="Arial" w:hAnsi="Arial" w:cs="Arial"/>
                <w:i/>
                <w:sz w:val="28"/>
                <w:szCs w:val="28"/>
              </w:rPr>
              <w:t>Portable discounts and offers of an alternative property</w:t>
            </w:r>
          </w:p>
          <w:p w:rsidR="00997B8E" w:rsidRPr="00125EED" w:rsidRDefault="00997B8E" w:rsidP="00453D1C">
            <w:pPr>
              <w:rPr>
                <w:rFonts w:ascii="Arial" w:hAnsi="Arial" w:cs="Arial"/>
                <w:i/>
                <w:sz w:val="28"/>
                <w:szCs w:val="28"/>
              </w:rPr>
            </w:pPr>
          </w:p>
        </w:tc>
      </w:tr>
      <w:tr w:rsidR="00997B8E" w:rsidTr="00867EF4">
        <w:tc>
          <w:tcPr>
            <w:tcW w:w="750" w:type="dxa"/>
          </w:tcPr>
          <w:p w:rsidR="00997B8E" w:rsidRDefault="0011700D">
            <w:pPr>
              <w:rPr>
                <w:rFonts w:ascii="Arial" w:hAnsi="Arial" w:cs="Arial"/>
                <w:sz w:val="24"/>
                <w:szCs w:val="24"/>
              </w:rPr>
            </w:pPr>
            <w:r>
              <w:rPr>
                <w:rFonts w:ascii="Arial" w:hAnsi="Arial" w:cs="Arial"/>
                <w:sz w:val="24"/>
                <w:szCs w:val="24"/>
              </w:rPr>
              <w:t xml:space="preserve">4.1 </w:t>
            </w:r>
          </w:p>
        </w:tc>
        <w:tc>
          <w:tcPr>
            <w:tcW w:w="8492" w:type="dxa"/>
          </w:tcPr>
          <w:p w:rsidR="00997B8E" w:rsidRDefault="00997B8E" w:rsidP="00997B8E">
            <w:pPr>
              <w:pStyle w:val="ListParagraph"/>
              <w:ind w:left="0"/>
              <w:rPr>
                <w:rFonts w:ascii="Arial" w:hAnsi="Arial" w:cs="Arial"/>
                <w:sz w:val="24"/>
                <w:szCs w:val="24"/>
              </w:rPr>
            </w:pPr>
            <w:r>
              <w:rPr>
                <w:rFonts w:ascii="Arial" w:hAnsi="Arial" w:cs="Arial"/>
                <w:sz w:val="24"/>
                <w:szCs w:val="24"/>
              </w:rPr>
              <w:t>The government policy</w:t>
            </w:r>
            <w:r w:rsidR="0011700D">
              <w:rPr>
                <w:rFonts w:ascii="Arial" w:hAnsi="Arial" w:cs="Arial"/>
                <w:sz w:val="24"/>
                <w:szCs w:val="24"/>
              </w:rPr>
              <w:t xml:space="preserve"> in relation to housing associations’ restricting sales </w:t>
            </w:r>
            <w:r>
              <w:rPr>
                <w:rFonts w:ascii="Arial" w:hAnsi="Arial" w:cs="Arial"/>
                <w:sz w:val="24"/>
                <w:szCs w:val="24"/>
              </w:rPr>
              <w:t xml:space="preserve">is that we will need to develop a policy in due course about how we will operate a portable discount scheme to an alternative property if the tenant’s own home is restricted from being sold.  We will need to decide what we would consider as a reasonable offer for an alternative property, what the expectations on the tenant would be (presumably on viewing and timescales) and when we would consider that we have discharged the requirement to offer a portable discount. The NHF lists as possible sources of alternative properties for tenants who are porting their discount: </w:t>
            </w:r>
          </w:p>
          <w:p w:rsidR="00997B8E" w:rsidRDefault="00997B8E" w:rsidP="00997B8E">
            <w:pPr>
              <w:pStyle w:val="ListParagraph"/>
              <w:numPr>
                <w:ilvl w:val="0"/>
                <w:numId w:val="1"/>
              </w:numPr>
              <w:rPr>
                <w:rFonts w:ascii="Arial" w:hAnsi="Arial" w:cs="Arial"/>
                <w:sz w:val="24"/>
                <w:szCs w:val="24"/>
              </w:rPr>
            </w:pPr>
            <w:r>
              <w:rPr>
                <w:rFonts w:ascii="Arial" w:hAnsi="Arial" w:cs="Arial"/>
                <w:sz w:val="24"/>
                <w:szCs w:val="24"/>
              </w:rPr>
              <w:t>The new build programme which is expected to be the primary source</w:t>
            </w:r>
          </w:p>
          <w:p w:rsidR="00997B8E" w:rsidRDefault="00997B8E" w:rsidP="00997B8E">
            <w:pPr>
              <w:pStyle w:val="ListParagraph"/>
              <w:numPr>
                <w:ilvl w:val="0"/>
                <w:numId w:val="1"/>
              </w:numPr>
              <w:rPr>
                <w:rFonts w:ascii="Arial" w:hAnsi="Arial" w:cs="Arial"/>
                <w:sz w:val="24"/>
                <w:szCs w:val="24"/>
              </w:rPr>
            </w:pPr>
            <w:r>
              <w:rPr>
                <w:rFonts w:ascii="Arial" w:hAnsi="Arial" w:cs="Arial"/>
                <w:sz w:val="24"/>
                <w:szCs w:val="24"/>
              </w:rPr>
              <w:t xml:space="preserve">Voids (although it is not expected that we will hold these for tenants to port their discount into) </w:t>
            </w:r>
          </w:p>
          <w:p w:rsidR="00997B8E" w:rsidRDefault="00997B8E" w:rsidP="00997B8E">
            <w:pPr>
              <w:pStyle w:val="ListParagraph"/>
              <w:numPr>
                <w:ilvl w:val="0"/>
                <w:numId w:val="1"/>
              </w:numPr>
              <w:rPr>
                <w:rFonts w:ascii="Arial" w:hAnsi="Arial" w:cs="Arial"/>
                <w:sz w:val="24"/>
                <w:szCs w:val="24"/>
              </w:rPr>
            </w:pPr>
            <w:r>
              <w:rPr>
                <w:rFonts w:ascii="Arial" w:hAnsi="Arial" w:cs="Arial"/>
                <w:sz w:val="24"/>
                <w:szCs w:val="24"/>
              </w:rPr>
              <w:t xml:space="preserve">Tenancy swaps (although it is not at all clear how this would work, especially in relation to fraud prevention) </w:t>
            </w:r>
          </w:p>
          <w:p w:rsidR="00997B8E" w:rsidRDefault="00997B8E" w:rsidP="00997B8E">
            <w:pPr>
              <w:pStyle w:val="ListParagraph"/>
              <w:numPr>
                <w:ilvl w:val="0"/>
                <w:numId w:val="1"/>
              </w:numPr>
              <w:rPr>
                <w:rFonts w:ascii="Arial" w:hAnsi="Arial" w:cs="Arial"/>
                <w:sz w:val="24"/>
                <w:szCs w:val="24"/>
              </w:rPr>
            </w:pPr>
            <w:r w:rsidRPr="00997B8E">
              <w:rPr>
                <w:rFonts w:ascii="Arial" w:hAnsi="Arial" w:cs="Arial"/>
                <w:sz w:val="24"/>
                <w:szCs w:val="24"/>
              </w:rPr>
              <w:t>Partnerships with other housing associations</w:t>
            </w:r>
          </w:p>
          <w:p w:rsidR="00997B8E" w:rsidRDefault="00997B8E" w:rsidP="00997B8E">
            <w:pPr>
              <w:rPr>
                <w:rFonts w:ascii="Arial" w:hAnsi="Arial" w:cs="Arial"/>
                <w:sz w:val="24"/>
                <w:szCs w:val="24"/>
              </w:rPr>
            </w:pPr>
          </w:p>
          <w:p w:rsidR="00997B8E" w:rsidRDefault="00997B8E" w:rsidP="00997B8E">
            <w:pPr>
              <w:rPr>
                <w:rFonts w:ascii="Arial" w:hAnsi="Arial" w:cs="Arial"/>
                <w:sz w:val="24"/>
                <w:szCs w:val="24"/>
              </w:rPr>
            </w:pPr>
            <w:r>
              <w:rPr>
                <w:rFonts w:ascii="Arial" w:hAnsi="Arial" w:cs="Arial"/>
                <w:sz w:val="24"/>
                <w:szCs w:val="24"/>
              </w:rPr>
              <w:t xml:space="preserve">We expect that it would be very difficult in practice to be able to offer many tenants in properties restricted from a vRTB sale an alternative property. </w:t>
            </w:r>
          </w:p>
          <w:p w:rsidR="00EA3DAD" w:rsidRDefault="00EA3DAD" w:rsidP="0011700D">
            <w:pPr>
              <w:rPr>
                <w:rFonts w:ascii="Arial" w:hAnsi="Arial" w:cs="Arial"/>
                <w:sz w:val="24"/>
                <w:szCs w:val="24"/>
              </w:rPr>
            </w:pPr>
          </w:p>
          <w:p w:rsidR="005D26E1" w:rsidRDefault="005D26E1" w:rsidP="0011700D">
            <w:pPr>
              <w:rPr>
                <w:rFonts w:ascii="Arial" w:hAnsi="Arial" w:cs="Arial"/>
                <w:sz w:val="24"/>
                <w:szCs w:val="24"/>
              </w:rPr>
            </w:pPr>
          </w:p>
          <w:p w:rsidR="005D26E1" w:rsidRDefault="005D26E1" w:rsidP="0011700D">
            <w:pPr>
              <w:rPr>
                <w:rFonts w:ascii="Arial" w:hAnsi="Arial" w:cs="Arial"/>
                <w:sz w:val="24"/>
                <w:szCs w:val="24"/>
              </w:rPr>
            </w:pPr>
          </w:p>
          <w:p w:rsidR="005D26E1" w:rsidRPr="00997B8E" w:rsidRDefault="005D26E1" w:rsidP="0011700D">
            <w:pPr>
              <w:rPr>
                <w:rFonts w:ascii="Arial" w:hAnsi="Arial" w:cs="Arial"/>
                <w:sz w:val="24"/>
                <w:szCs w:val="24"/>
              </w:rPr>
            </w:pPr>
          </w:p>
        </w:tc>
      </w:tr>
      <w:tr w:rsidR="0011700D" w:rsidTr="00867EF4">
        <w:tc>
          <w:tcPr>
            <w:tcW w:w="750" w:type="dxa"/>
          </w:tcPr>
          <w:p w:rsidR="0011700D" w:rsidRDefault="0011700D">
            <w:pPr>
              <w:rPr>
                <w:rFonts w:ascii="Arial" w:hAnsi="Arial" w:cs="Arial"/>
                <w:sz w:val="24"/>
                <w:szCs w:val="24"/>
              </w:rPr>
            </w:pPr>
            <w:r>
              <w:rPr>
                <w:rFonts w:ascii="Arial" w:hAnsi="Arial" w:cs="Arial"/>
                <w:sz w:val="24"/>
                <w:szCs w:val="24"/>
              </w:rPr>
              <w:lastRenderedPageBreak/>
              <w:t>4.2</w:t>
            </w:r>
          </w:p>
        </w:tc>
        <w:tc>
          <w:tcPr>
            <w:tcW w:w="8492" w:type="dxa"/>
          </w:tcPr>
          <w:p w:rsidR="0011700D" w:rsidRDefault="0011700D" w:rsidP="0011700D">
            <w:pPr>
              <w:rPr>
                <w:rFonts w:ascii="Arial" w:hAnsi="Arial" w:cs="Arial"/>
                <w:sz w:val="24"/>
                <w:szCs w:val="24"/>
              </w:rPr>
            </w:pPr>
            <w:r>
              <w:rPr>
                <w:rFonts w:ascii="Arial" w:hAnsi="Arial" w:cs="Arial"/>
                <w:sz w:val="24"/>
                <w:szCs w:val="24"/>
              </w:rPr>
              <w:t xml:space="preserve">Our new build programme does not have a large volume of sales and in so far as it is partly grant-funded, the grant comes with conditions which may well prevent a sale to a tenant. The location, size mix or price of our new-build units may not match the expectations of the tenants with a portable discount.  </w:t>
            </w:r>
          </w:p>
          <w:p w:rsidR="0011700D" w:rsidRDefault="0011700D" w:rsidP="00997B8E">
            <w:pPr>
              <w:pStyle w:val="ListParagraph"/>
              <w:ind w:left="0"/>
              <w:rPr>
                <w:rFonts w:ascii="Arial" w:hAnsi="Arial" w:cs="Arial"/>
                <w:sz w:val="24"/>
                <w:szCs w:val="24"/>
              </w:rPr>
            </w:pPr>
          </w:p>
        </w:tc>
      </w:tr>
      <w:tr w:rsidR="0011700D" w:rsidTr="00867EF4">
        <w:tc>
          <w:tcPr>
            <w:tcW w:w="750" w:type="dxa"/>
          </w:tcPr>
          <w:p w:rsidR="0011700D" w:rsidRDefault="0011700D">
            <w:pPr>
              <w:rPr>
                <w:rFonts w:ascii="Arial" w:hAnsi="Arial" w:cs="Arial"/>
                <w:sz w:val="24"/>
                <w:szCs w:val="24"/>
              </w:rPr>
            </w:pPr>
            <w:r>
              <w:rPr>
                <w:rFonts w:ascii="Arial" w:hAnsi="Arial" w:cs="Arial"/>
                <w:sz w:val="24"/>
                <w:szCs w:val="24"/>
              </w:rPr>
              <w:t>4.3</w:t>
            </w:r>
          </w:p>
        </w:tc>
        <w:tc>
          <w:tcPr>
            <w:tcW w:w="8492" w:type="dxa"/>
          </w:tcPr>
          <w:p w:rsidR="0011700D" w:rsidRDefault="0011700D" w:rsidP="0011700D">
            <w:pPr>
              <w:rPr>
                <w:rFonts w:ascii="Arial" w:hAnsi="Arial" w:cs="Arial"/>
                <w:sz w:val="24"/>
                <w:szCs w:val="24"/>
              </w:rPr>
            </w:pPr>
            <w:r>
              <w:rPr>
                <w:rFonts w:ascii="Arial" w:hAnsi="Arial" w:cs="Arial"/>
                <w:sz w:val="24"/>
                <w:szCs w:val="24"/>
              </w:rPr>
              <w:t xml:space="preserve">We have an extremely low normal turnover of properties – when published figures were available in the past, our turnover was amongst the lowest in the country – so the probability of being able to offer a tenant with a portable discount a property </w:t>
            </w:r>
            <w:r w:rsidR="002A164A">
              <w:rPr>
                <w:rFonts w:ascii="Arial" w:hAnsi="Arial" w:cs="Arial"/>
                <w:sz w:val="24"/>
                <w:szCs w:val="24"/>
              </w:rPr>
              <w:t xml:space="preserve">from our supply of voids </w:t>
            </w:r>
            <w:r>
              <w:rPr>
                <w:rFonts w:ascii="Arial" w:hAnsi="Arial" w:cs="Arial"/>
                <w:sz w:val="24"/>
                <w:szCs w:val="24"/>
              </w:rPr>
              <w:t xml:space="preserve">which they would accept is not high. </w:t>
            </w:r>
          </w:p>
          <w:p w:rsidR="0011700D" w:rsidRDefault="0011700D" w:rsidP="00997B8E">
            <w:pPr>
              <w:pStyle w:val="ListParagraph"/>
              <w:ind w:left="0"/>
              <w:rPr>
                <w:rFonts w:ascii="Arial" w:hAnsi="Arial" w:cs="Arial"/>
                <w:sz w:val="24"/>
                <w:szCs w:val="24"/>
              </w:rPr>
            </w:pPr>
          </w:p>
        </w:tc>
      </w:tr>
      <w:tr w:rsidR="0011700D" w:rsidTr="00867EF4">
        <w:tc>
          <w:tcPr>
            <w:tcW w:w="750" w:type="dxa"/>
          </w:tcPr>
          <w:p w:rsidR="0011700D" w:rsidRDefault="0011700D">
            <w:pPr>
              <w:rPr>
                <w:rFonts w:ascii="Arial" w:hAnsi="Arial" w:cs="Arial"/>
                <w:sz w:val="24"/>
                <w:szCs w:val="24"/>
              </w:rPr>
            </w:pPr>
            <w:r>
              <w:rPr>
                <w:rFonts w:ascii="Arial" w:hAnsi="Arial" w:cs="Arial"/>
                <w:sz w:val="24"/>
                <w:szCs w:val="24"/>
              </w:rPr>
              <w:t>4.4</w:t>
            </w:r>
          </w:p>
        </w:tc>
        <w:tc>
          <w:tcPr>
            <w:tcW w:w="8492" w:type="dxa"/>
          </w:tcPr>
          <w:p w:rsidR="0011700D" w:rsidRDefault="0011700D" w:rsidP="0011700D">
            <w:pPr>
              <w:rPr>
                <w:rFonts w:ascii="Arial" w:hAnsi="Arial" w:cs="Arial"/>
                <w:sz w:val="24"/>
                <w:szCs w:val="24"/>
              </w:rPr>
            </w:pPr>
            <w:r>
              <w:rPr>
                <w:rFonts w:ascii="Arial" w:hAnsi="Arial" w:cs="Arial"/>
                <w:sz w:val="24"/>
                <w:szCs w:val="24"/>
              </w:rPr>
              <w:t xml:space="preserve">The idea of working in partnership with other housing associations may be worth pursuing (depending on the rules when they are published) and there are some associations who have sizeable market sale programmes where the homes may be available to tenants with a portable discount. </w:t>
            </w:r>
            <w:r w:rsidR="002A164A">
              <w:rPr>
                <w:rFonts w:ascii="Arial" w:hAnsi="Arial" w:cs="Arial"/>
                <w:sz w:val="24"/>
                <w:szCs w:val="24"/>
              </w:rPr>
              <w:t xml:space="preserve">It is premature to make any decisions on this. </w:t>
            </w:r>
          </w:p>
          <w:p w:rsidR="0011700D" w:rsidRDefault="0011700D" w:rsidP="00997B8E">
            <w:pPr>
              <w:pStyle w:val="ListParagraph"/>
              <w:ind w:left="0"/>
              <w:rPr>
                <w:rFonts w:ascii="Arial" w:hAnsi="Arial" w:cs="Arial"/>
                <w:sz w:val="24"/>
                <w:szCs w:val="24"/>
              </w:rPr>
            </w:pPr>
          </w:p>
        </w:tc>
      </w:tr>
      <w:tr w:rsidR="00EA3DAD" w:rsidTr="00867EF4">
        <w:tc>
          <w:tcPr>
            <w:tcW w:w="750" w:type="dxa"/>
          </w:tcPr>
          <w:p w:rsidR="00EA3DAD" w:rsidRDefault="00125EED" w:rsidP="00125EED">
            <w:pPr>
              <w:rPr>
                <w:rFonts w:ascii="Arial" w:hAnsi="Arial" w:cs="Arial"/>
                <w:sz w:val="24"/>
                <w:szCs w:val="24"/>
              </w:rPr>
            </w:pPr>
            <w:r>
              <w:rPr>
                <w:rFonts w:ascii="Arial" w:hAnsi="Arial" w:cs="Arial"/>
                <w:sz w:val="24"/>
                <w:szCs w:val="24"/>
              </w:rPr>
              <w:t>4.5</w:t>
            </w:r>
          </w:p>
        </w:tc>
        <w:tc>
          <w:tcPr>
            <w:tcW w:w="8492" w:type="dxa"/>
          </w:tcPr>
          <w:p w:rsidR="00EA3DAD" w:rsidRDefault="005F28E2" w:rsidP="005F28E2">
            <w:pPr>
              <w:pStyle w:val="ListParagraph"/>
              <w:ind w:left="0"/>
              <w:rPr>
                <w:rFonts w:ascii="Arial" w:hAnsi="Arial" w:cs="Arial"/>
                <w:sz w:val="24"/>
                <w:szCs w:val="24"/>
              </w:rPr>
            </w:pPr>
            <w:r>
              <w:rPr>
                <w:rFonts w:ascii="Arial" w:hAnsi="Arial" w:cs="Arial"/>
                <w:sz w:val="24"/>
                <w:szCs w:val="24"/>
              </w:rPr>
              <w:t>Given t</w:t>
            </w:r>
            <w:r w:rsidR="00EA3DAD">
              <w:rPr>
                <w:rFonts w:ascii="Arial" w:hAnsi="Arial" w:cs="Arial"/>
                <w:sz w:val="24"/>
                <w:szCs w:val="24"/>
              </w:rPr>
              <w:t xml:space="preserve">he anticipated difficulties of finding alternative properties for a tenant with a portable discount </w:t>
            </w:r>
            <w:r>
              <w:rPr>
                <w:rFonts w:ascii="Arial" w:hAnsi="Arial" w:cs="Arial"/>
                <w:sz w:val="24"/>
                <w:szCs w:val="24"/>
              </w:rPr>
              <w:t xml:space="preserve">and the absence of any information about the consequences if we are unable to find an alternative, the safest approach at this stage may be to assume that we will minimise the restrictions we place on vRTB sales. </w:t>
            </w:r>
          </w:p>
          <w:p w:rsidR="005F28E2" w:rsidRDefault="005F28E2" w:rsidP="005F28E2">
            <w:pPr>
              <w:pStyle w:val="ListParagraph"/>
              <w:ind w:left="0"/>
              <w:rPr>
                <w:rFonts w:ascii="Arial" w:hAnsi="Arial" w:cs="Arial"/>
                <w:sz w:val="24"/>
                <w:szCs w:val="24"/>
              </w:rPr>
            </w:pPr>
          </w:p>
        </w:tc>
      </w:tr>
      <w:tr w:rsidR="001F6083" w:rsidTr="00867EF4">
        <w:tc>
          <w:tcPr>
            <w:tcW w:w="750" w:type="dxa"/>
          </w:tcPr>
          <w:p w:rsidR="001F6083" w:rsidRPr="00DF5071" w:rsidRDefault="00D208F4">
            <w:pPr>
              <w:rPr>
                <w:rFonts w:ascii="Arial" w:hAnsi="Arial" w:cs="Arial"/>
                <w:i/>
                <w:sz w:val="28"/>
                <w:szCs w:val="28"/>
              </w:rPr>
            </w:pPr>
            <w:r w:rsidRPr="00DF5071">
              <w:rPr>
                <w:rFonts w:ascii="Arial" w:hAnsi="Arial" w:cs="Arial"/>
                <w:i/>
                <w:sz w:val="28"/>
                <w:szCs w:val="28"/>
              </w:rPr>
              <w:t>4.</w:t>
            </w:r>
          </w:p>
        </w:tc>
        <w:tc>
          <w:tcPr>
            <w:tcW w:w="8492" w:type="dxa"/>
          </w:tcPr>
          <w:p w:rsidR="001F6083" w:rsidRPr="00DF5071" w:rsidRDefault="005F28E2">
            <w:pPr>
              <w:rPr>
                <w:rFonts w:ascii="Arial" w:hAnsi="Arial" w:cs="Arial"/>
                <w:i/>
                <w:sz w:val="28"/>
                <w:szCs w:val="28"/>
              </w:rPr>
            </w:pPr>
            <w:r>
              <w:rPr>
                <w:rFonts w:ascii="Arial" w:hAnsi="Arial" w:cs="Arial"/>
                <w:i/>
                <w:sz w:val="28"/>
                <w:szCs w:val="28"/>
              </w:rPr>
              <w:t>Reasons for r</w:t>
            </w:r>
            <w:r w:rsidR="00227122" w:rsidRPr="00DF5071">
              <w:rPr>
                <w:rFonts w:ascii="Arial" w:hAnsi="Arial" w:cs="Arial"/>
                <w:i/>
                <w:sz w:val="28"/>
                <w:szCs w:val="28"/>
              </w:rPr>
              <w:t xml:space="preserve">estrictions on sales </w:t>
            </w:r>
          </w:p>
          <w:p w:rsidR="00227122" w:rsidRPr="00DF5071" w:rsidRDefault="00227122">
            <w:pPr>
              <w:rPr>
                <w:rFonts w:ascii="Arial" w:hAnsi="Arial" w:cs="Arial"/>
                <w:i/>
                <w:sz w:val="28"/>
                <w:szCs w:val="28"/>
              </w:rPr>
            </w:pPr>
          </w:p>
        </w:tc>
      </w:tr>
      <w:tr w:rsidR="001F6083" w:rsidTr="00867EF4">
        <w:tc>
          <w:tcPr>
            <w:tcW w:w="750" w:type="dxa"/>
          </w:tcPr>
          <w:p w:rsidR="001F6083" w:rsidRDefault="00A44B4A">
            <w:pPr>
              <w:rPr>
                <w:rFonts w:ascii="Arial" w:hAnsi="Arial" w:cs="Arial"/>
                <w:sz w:val="24"/>
                <w:szCs w:val="24"/>
              </w:rPr>
            </w:pPr>
            <w:r>
              <w:rPr>
                <w:rFonts w:ascii="Arial" w:hAnsi="Arial" w:cs="Arial"/>
                <w:sz w:val="24"/>
                <w:szCs w:val="24"/>
              </w:rPr>
              <w:t>4.1</w:t>
            </w:r>
          </w:p>
        </w:tc>
        <w:tc>
          <w:tcPr>
            <w:tcW w:w="8492" w:type="dxa"/>
          </w:tcPr>
          <w:p w:rsidR="001F6083" w:rsidRDefault="00A44B4A">
            <w:pPr>
              <w:rPr>
                <w:rFonts w:ascii="Arial" w:hAnsi="Arial" w:cs="Arial"/>
                <w:sz w:val="24"/>
                <w:szCs w:val="24"/>
              </w:rPr>
            </w:pPr>
            <w:r>
              <w:rPr>
                <w:rFonts w:ascii="Arial" w:hAnsi="Arial" w:cs="Arial"/>
                <w:sz w:val="24"/>
                <w:szCs w:val="24"/>
              </w:rPr>
              <w:t xml:space="preserve">There are a number of possible reasons </w:t>
            </w:r>
            <w:r w:rsidR="009F0AE7">
              <w:rPr>
                <w:rFonts w:ascii="Arial" w:hAnsi="Arial" w:cs="Arial"/>
                <w:sz w:val="24"/>
                <w:szCs w:val="24"/>
              </w:rPr>
              <w:t xml:space="preserve">potentially relevant to Hexagon </w:t>
            </w:r>
            <w:r>
              <w:rPr>
                <w:rFonts w:ascii="Arial" w:hAnsi="Arial" w:cs="Arial"/>
                <w:sz w:val="24"/>
                <w:szCs w:val="24"/>
              </w:rPr>
              <w:t>for restricting which properties are sold:</w:t>
            </w:r>
          </w:p>
          <w:p w:rsidR="00A44B4A" w:rsidRDefault="00A44B4A" w:rsidP="00A44B4A">
            <w:pPr>
              <w:pStyle w:val="ListParagraph"/>
              <w:numPr>
                <w:ilvl w:val="0"/>
                <w:numId w:val="2"/>
              </w:numPr>
              <w:rPr>
                <w:rFonts w:ascii="Arial" w:hAnsi="Arial" w:cs="Arial"/>
                <w:sz w:val="24"/>
                <w:szCs w:val="24"/>
              </w:rPr>
            </w:pPr>
            <w:r>
              <w:rPr>
                <w:rFonts w:ascii="Arial" w:hAnsi="Arial" w:cs="Arial"/>
                <w:sz w:val="24"/>
                <w:szCs w:val="24"/>
              </w:rPr>
              <w:t>There is a legal restriction on sales. This is usually because of a planning requiremen</w:t>
            </w:r>
            <w:r w:rsidR="009F0AE7">
              <w:rPr>
                <w:rFonts w:ascii="Arial" w:hAnsi="Arial" w:cs="Arial"/>
                <w:sz w:val="24"/>
                <w:szCs w:val="24"/>
              </w:rPr>
              <w:t xml:space="preserve">t e.g. a section 106 agreement to keep rented social housing in that use, sometimes in perpetuity or sometimes for a fixed period </w:t>
            </w:r>
          </w:p>
          <w:p w:rsidR="00A44B4A" w:rsidRDefault="00A44B4A" w:rsidP="00A44B4A">
            <w:pPr>
              <w:pStyle w:val="ListParagraph"/>
              <w:numPr>
                <w:ilvl w:val="0"/>
                <w:numId w:val="2"/>
              </w:numPr>
              <w:rPr>
                <w:rFonts w:ascii="Arial" w:hAnsi="Arial" w:cs="Arial"/>
                <w:sz w:val="24"/>
                <w:szCs w:val="24"/>
              </w:rPr>
            </w:pPr>
            <w:r>
              <w:rPr>
                <w:rFonts w:ascii="Arial" w:hAnsi="Arial" w:cs="Arial"/>
                <w:sz w:val="24"/>
                <w:szCs w:val="24"/>
              </w:rPr>
              <w:t xml:space="preserve">There may be a </w:t>
            </w:r>
            <w:r w:rsidR="009F0AE7">
              <w:rPr>
                <w:rFonts w:ascii="Arial" w:hAnsi="Arial" w:cs="Arial"/>
                <w:sz w:val="24"/>
                <w:szCs w:val="24"/>
              </w:rPr>
              <w:t xml:space="preserve">legal </w:t>
            </w:r>
            <w:r>
              <w:rPr>
                <w:rFonts w:ascii="Arial" w:hAnsi="Arial" w:cs="Arial"/>
                <w:sz w:val="24"/>
                <w:szCs w:val="24"/>
              </w:rPr>
              <w:t xml:space="preserve">restriction arising from a loan agreement. Most of our properties are charged as security for our loans but for the purposes of this report, it is assumed that none of our loan agreements will prevent the sale of individual properties. </w:t>
            </w:r>
          </w:p>
          <w:p w:rsidR="009F0AE7" w:rsidRDefault="009F0AE7" w:rsidP="00A44B4A">
            <w:pPr>
              <w:pStyle w:val="ListParagraph"/>
              <w:numPr>
                <w:ilvl w:val="0"/>
                <w:numId w:val="2"/>
              </w:numPr>
              <w:rPr>
                <w:rFonts w:ascii="Arial" w:hAnsi="Arial" w:cs="Arial"/>
                <w:sz w:val="24"/>
                <w:szCs w:val="24"/>
              </w:rPr>
            </w:pPr>
            <w:r>
              <w:rPr>
                <w:rFonts w:ascii="Arial" w:hAnsi="Arial" w:cs="Arial"/>
                <w:sz w:val="24"/>
                <w:szCs w:val="24"/>
              </w:rPr>
              <w:t xml:space="preserve">The property is part of a scheme of supported housing where the disruption to the management arrangements or the cost of replacement  would make a sale uneconomic for the landlord </w:t>
            </w:r>
          </w:p>
          <w:p w:rsidR="009F0AE7" w:rsidRDefault="009F0AE7" w:rsidP="009F0AE7">
            <w:pPr>
              <w:pStyle w:val="ListParagraph"/>
              <w:numPr>
                <w:ilvl w:val="0"/>
                <w:numId w:val="2"/>
              </w:numPr>
              <w:rPr>
                <w:rFonts w:ascii="Arial" w:hAnsi="Arial" w:cs="Arial"/>
                <w:sz w:val="24"/>
                <w:szCs w:val="24"/>
              </w:rPr>
            </w:pPr>
            <w:r>
              <w:rPr>
                <w:rFonts w:ascii="Arial" w:hAnsi="Arial" w:cs="Arial"/>
                <w:sz w:val="24"/>
                <w:szCs w:val="24"/>
              </w:rPr>
              <w:t xml:space="preserve">The property is specially designed for a particular use and it would be difficult to replace it </w:t>
            </w:r>
          </w:p>
          <w:p w:rsidR="009F0AE7" w:rsidRDefault="009F0AE7" w:rsidP="009F0AE7">
            <w:pPr>
              <w:pStyle w:val="ListParagraph"/>
              <w:numPr>
                <w:ilvl w:val="0"/>
                <w:numId w:val="2"/>
              </w:numPr>
              <w:rPr>
                <w:rFonts w:ascii="Arial" w:hAnsi="Arial" w:cs="Arial"/>
                <w:sz w:val="24"/>
                <w:szCs w:val="24"/>
              </w:rPr>
            </w:pPr>
            <w:r>
              <w:rPr>
                <w:rFonts w:ascii="Arial" w:hAnsi="Arial" w:cs="Arial"/>
                <w:sz w:val="24"/>
                <w:szCs w:val="24"/>
              </w:rPr>
              <w:t xml:space="preserve">The property has high historic costs and a sale would breach the cost floor </w:t>
            </w:r>
          </w:p>
          <w:p w:rsidR="00C25F05" w:rsidRDefault="00C25F05" w:rsidP="009F0AE7">
            <w:pPr>
              <w:pStyle w:val="ListParagraph"/>
              <w:numPr>
                <w:ilvl w:val="0"/>
                <w:numId w:val="2"/>
              </w:numPr>
              <w:rPr>
                <w:rFonts w:ascii="Arial" w:hAnsi="Arial" w:cs="Arial"/>
                <w:sz w:val="24"/>
                <w:szCs w:val="24"/>
              </w:rPr>
            </w:pPr>
            <w:r>
              <w:rPr>
                <w:rFonts w:ascii="Arial" w:hAnsi="Arial" w:cs="Arial"/>
                <w:sz w:val="24"/>
                <w:szCs w:val="24"/>
              </w:rPr>
              <w:t xml:space="preserve">Our legal interest is insufficient to offer the vRTB – properties on a short lease for example. </w:t>
            </w:r>
          </w:p>
          <w:p w:rsidR="009F0AE7" w:rsidRDefault="009F0AE7" w:rsidP="009F0AE7">
            <w:pPr>
              <w:pStyle w:val="ListParagraph"/>
              <w:rPr>
                <w:rFonts w:ascii="Arial" w:hAnsi="Arial" w:cs="Arial"/>
                <w:sz w:val="24"/>
                <w:szCs w:val="24"/>
              </w:rPr>
            </w:pPr>
          </w:p>
          <w:p w:rsidR="005D26E1" w:rsidRDefault="005D26E1" w:rsidP="009F0AE7">
            <w:pPr>
              <w:pStyle w:val="ListParagraph"/>
              <w:rPr>
                <w:rFonts w:ascii="Arial" w:hAnsi="Arial" w:cs="Arial"/>
                <w:sz w:val="24"/>
                <w:szCs w:val="24"/>
              </w:rPr>
            </w:pPr>
          </w:p>
          <w:p w:rsidR="005D26E1" w:rsidRDefault="005D26E1" w:rsidP="009F0AE7">
            <w:pPr>
              <w:pStyle w:val="ListParagraph"/>
              <w:rPr>
                <w:rFonts w:ascii="Arial" w:hAnsi="Arial" w:cs="Arial"/>
                <w:sz w:val="24"/>
                <w:szCs w:val="24"/>
              </w:rPr>
            </w:pPr>
          </w:p>
          <w:p w:rsidR="005D26E1" w:rsidRDefault="005D26E1" w:rsidP="009F0AE7">
            <w:pPr>
              <w:pStyle w:val="ListParagraph"/>
              <w:rPr>
                <w:rFonts w:ascii="Arial" w:hAnsi="Arial" w:cs="Arial"/>
                <w:sz w:val="24"/>
                <w:szCs w:val="24"/>
              </w:rPr>
            </w:pPr>
          </w:p>
          <w:p w:rsidR="005D26E1" w:rsidRPr="00A44B4A" w:rsidRDefault="005D26E1" w:rsidP="009F0AE7">
            <w:pPr>
              <w:pStyle w:val="ListParagraph"/>
              <w:rPr>
                <w:rFonts w:ascii="Arial" w:hAnsi="Arial" w:cs="Arial"/>
                <w:sz w:val="24"/>
                <w:szCs w:val="24"/>
              </w:rPr>
            </w:pPr>
          </w:p>
        </w:tc>
      </w:tr>
      <w:tr w:rsidR="001F6083" w:rsidTr="00867EF4">
        <w:tc>
          <w:tcPr>
            <w:tcW w:w="750" w:type="dxa"/>
          </w:tcPr>
          <w:p w:rsidR="001F6083" w:rsidRPr="00DF5071" w:rsidRDefault="009F0AE7">
            <w:pPr>
              <w:rPr>
                <w:rFonts w:ascii="Arial" w:hAnsi="Arial" w:cs="Arial"/>
                <w:i/>
                <w:sz w:val="28"/>
                <w:szCs w:val="28"/>
              </w:rPr>
            </w:pPr>
            <w:r w:rsidRPr="00DF5071">
              <w:rPr>
                <w:rFonts w:ascii="Arial" w:hAnsi="Arial" w:cs="Arial"/>
                <w:i/>
                <w:sz w:val="28"/>
                <w:szCs w:val="28"/>
              </w:rPr>
              <w:lastRenderedPageBreak/>
              <w:t xml:space="preserve">4.2 </w:t>
            </w:r>
          </w:p>
        </w:tc>
        <w:tc>
          <w:tcPr>
            <w:tcW w:w="8492" w:type="dxa"/>
          </w:tcPr>
          <w:p w:rsidR="001F6083" w:rsidRDefault="009F0AE7" w:rsidP="009F0AE7">
            <w:pPr>
              <w:rPr>
                <w:rFonts w:ascii="Arial" w:hAnsi="Arial" w:cs="Arial"/>
                <w:i/>
                <w:sz w:val="28"/>
                <w:szCs w:val="28"/>
              </w:rPr>
            </w:pPr>
            <w:r w:rsidRPr="00DF5071">
              <w:rPr>
                <w:rFonts w:ascii="Arial" w:hAnsi="Arial" w:cs="Arial"/>
                <w:i/>
                <w:sz w:val="28"/>
                <w:szCs w:val="28"/>
              </w:rPr>
              <w:t xml:space="preserve">Restrictions on sale of supported housing </w:t>
            </w:r>
          </w:p>
          <w:p w:rsidR="00DF5071" w:rsidRPr="005D26E1" w:rsidRDefault="00DF5071" w:rsidP="009F0AE7">
            <w:pPr>
              <w:rPr>
                <w:rFonts w:ascii="Arial" w:hAnsi="Arial" w:cs="Arial"/>
                <w:i/>
                <w:sz w:val="24"/>
                <w:szCs w:val="28"/>
              </w:rPr>
            </w:pPr>
          </w:p>
        </w:tc>
      </w:tr>
      <w:tr w:rsidR="001F6083" w:rsidTr="00867EF4">
        <w:tc>
          <w:tcPr>
            <w:tcW w:w="750" w:type="dxa"/>
          </w:tcPr>
          <w:p w:rsidR="001F6083" w:rsidRDefault="00C25F05">
            <w:pPr>
              <w:rPr>
                <w:rFonts w:ascii="Arial" w:hAnsi="Arial" w:cs="Arial"/>
                <w:sz w:val="24"/>
                <w:szCs w:val="24"/>
              </w:rPr>
            </w:pPr>
            <w:r>
              <w:rPr>
                <w:rFonts w:ascii="Arial" w:hAnsi="Arial" w:cs="Arial"/>
                <w:sz w:val="24"/>
                <w:szCs w:val="24"/>
              </w:rPr>
              <w:t>4.2.1</w:t>
            </w:r>
          </w:p>
        </w:tc>
        <w:tc>
          <w:tcPr>
            <w:tcW w:w="8492" w:type="dxa"/>
          </w:tcPr>
          <w:p w:rsidR="00C25F05" w:rsidRDefault="005F28E2" w:rsidP="00D25F88">
            <w:pPr>
              <w:rPr>
                <w:rFonts w:ascii="Arial" w:hAnsi="Arial" w:cs="Arial"/>
                <w:sz w:val="24"/>
                <w:szCs w:val="24"/>
              </w:rPr>
            </w:pPr>
            <w:r>
              <w:rPr>
                <w:rFonts w:ascii="Arial" w:hAnsi="Arial" w:cs="Arial"/>
                <w:sz w:val="24"/>
                <w:szCs w:val="24"/>
              </w:rPr>
              <w:t xml:space="preserve">We do not know if supported housing will be exempt altogether from the vRTB scheme as the rules are not yet published. Much of our supported housing is in shared houses and we are assuming that such properties will be exempt. </w:t>
            </w:r>
            <w:r w:rsidR="009A58DD">
              <w:rPr>
                <w:rFonts w:ascii="Arial" w:hAnsi="Arial" w:cs="Arial"/>
                <w:sz w:val="24"/>
                <w:szCs w:val="24"/>
              </w:rPr>
              <w:t xml:space="preserve">Some supported housing units are held on short leases so could not be sold anyway. </w:t>
            </w:r>
            <w:r w:rsidR="00D25F88">
              <w:rPr>
                <w:rFonts w:ascii="Arial" w:hAnsi="Arial" w:cs="Arial"/>
                <w:sz w:val="24"/>
                <w:szCs w:val="24"/>
              </w:rPr>
              <w:t xml:space="preserve">It is proposed that our policy should be not to sell any of our supported housing located in schemes such as a shared house, a block of flats which is all managed as supported housing, or a care home. (It is unlikely that residents in care homes would be eligible in any case but without seeing the rules, we cannot be sure.) This would cover most </w:t>
            </w:r>
            <w:r w:rsidR="009A58DD">
              <w:rPr>
                <w:rFonts w:ascii="Arial" w:hAnsi="Arial" w:cs="Arial"/>
                <w:sz w:val="24"/>
                <w:szCs w:val="24"/>
              </w:rPr>
              <w:t xml:space="preserve">of our supported housing units </w:t>
            </w:r>
            <w:r w:rsidR="00D25F88">
              <w:rPr>
                <w:rFonts w:ascii="Arial" w:hAnsi="Arial" w:cs="Arial"/>
                <w:sz w:val="24"/>
                <w:szCs w:val="24"/>
              </w:rPr>
              <w:t xml:space="preserve">including all our 121 agency managed units. </w:t>
            </w:r>
          </w:p>
          <w:p w:rsidR="00C25F05" w:rsidRPr="005D26E1" w:rsidRDefault="00C25F05" w:rsidP="00C25F05">
            <w:pPr>
              <w:rPr>
                <w:rFonts w:ascii="Arial" w:hAnsi="Arial" w:cs="Arial"/>
                <w:szCs w:val="24"/>
              </w:rPr>
            </w:pPr>
          </w:p>
        </w:tc>
      </w:tr>
      <w:tr w:rsidR="001F6083" w:rsidTr="00867EF4">
        <w:tc>
          <w:tcPr>
            <w:tcW w:w="750" w:type="dxa"/>
          </w:tcPr>
          <w:p w:rsidR="001F6083" w:rsidRDefault="00C25F05" w:rsidP="00C25F05">
            <w:pPr>
              <w:rPr>
                <w:rFonts w:ascii="Arial" w:hAnsi="Arial" w:cs="Arial"/>
                <w:sz w:val="24"/>
                <w:szCs w:val="24"/>
              </w:rPr>
            </w:pPr>
            <w:r>
              <w:rPr>
                <w:rFonts w:ascii="Arial" w:hAnsi="Arial" w:cs="Arial"/>
                <w:sz w:val="24"/>
                <w:szCs w:val="24"/>
              </w:rPr>
              <w:t>4.2.2</w:t>
            </w:r>
          </w:p>
        </w:tc>
        <w:tc>
          <w:tcPr>
            <w:tcW w:w="8492" w:type="dxa"/>
          </w:tcPr>
          <w:p w:rsidR="001F6083" w:rsidRDefault="00C25F05" w:rsidP="009A58DD">
            <w:pPr>
              <w:rPr>
                <w:rFonts w:ascii="Arial" w:hAnsi="Arial" w:cs="Arial"/>
                <w:sz w:val="24"/>
                <w:szCs w:val="24"/>
              </w:rPr>
            </w:pPr>
            <w:r>
              <w:rPr>
                <w:rFonts w:ascii="Arial" w:hAnsi="Arial" w:cs="Arial"/>
                <w:sz w:val="24"/>
                <w:szCs w:val="24"/>
              </w:rPr>
              <w:t xml:space="preserve">Conversely, there are </w:t>
            </w:r>
            <w:r w:rsidR="00154D95">
              <w:rPr>
                <w:rFonts w:ascii="Arial" w:hAnsi="Arial" w:cs="Arial"/>
                <w:sz w:val="24"/>
                <w:szCs w:val="24"/>
              </w:rPr>
              <w:t>58</w:t>
            </w:r>
            <w:r>
              <w:rPr>
                <w:rFonts w:ascii="Arial" w:hAnsi="Arial" w:cs="Arial"/>
                <w:sz w:val="24"/>
                <w:szCs w:val="24"/>
              </w:rPr>
              <w:t xml:space="preserve"> </w:t>
            </w:r>
            <w:r w:rsidR="00125EED">
              <w:rPr>
                <w:rFonts w:ascii="Arial" w:hAnsi="Arial" w:cs="Arial"/>
                <w:sz w:val="24"/>
                <w:szCs w:val="24"/>
              </w:rPr>
              <w:t xml:space="preserve">dispersed </w:t>
            </w:r>
            <w:r>
              <w:rPr>
                <w:rFonts w:ascii="Arial" w:hAnsi="Arial" w:cs="Arial"/>
                <w:sz w:val="24"/>
                <w:szCs w:val="24"/>
              </w:rPr>
              <w:t>supported housing units in blocks where there are also general needs tenants and also some supported housing tenants in flats in street properties. There would be no overriding management reason to r</w:t>
            </w:r>
            <w:r w:rsidR="00DE3002">
              <w:rPr>
                <w:rFonts w:ascii="Arial" w:hAnsi="Arial" w:cs="Arial"/>
                <w:sz w:val="24"/>
                <w:szCs w:val="24"/>
              </w:rPr>
              <w:t>estrict the vRTB in these units although</w:t>
            </w:r>
            <w:r w:rsidR="002A164A">
              <w:rPr>
                <w:rFonts w:ascii="Arial" w:hAnsi="Arial" w:cs="Arial"/>
                <w:sz w:val="24"/>
                <w:szCs w:val="24"/>
              </w:rPr>
              <w:t>,</w:t>
            </w:r>
            <w:r w:rsidR="00DE3002">
              <w:rPr>
                <w:rFonts w:ascii="Arial" w:hAnsi="Arial" w:cs="Arial"/>
                <w:sz w:val="24"/>
                <w:szCs w:val="24"/>
              </w:rPr>
              <w:t xml:space="preserve"> unless replaced by an equivalent supported housing unit, a sale would reduce the stock of supported housing.</w:t>
            </w:r>
            <w:r>
              <w:rPr>
                <w:rFonts w:ascii="Arial" w:hAnsi="Arial" w:cs="Arial"/>
                <w:sz w:val="24"/>
                <w:szCs w:val="24"/>
              </w:rPr>
              <w:t xml:space="preserve">  </w:t>
            </w:r>
            <w:r w:rsidR="00125EED">
              <w:rPr>
                <w:rFonts w:ascii="Arial" w:hAnsi="Arial" w:cs="Arial"/>
                <w:sz w:val="24"/>
                <w:szCs w:val="24"/>
              </w:rPr>
              <w:t>At this stage, i</w:t>
            </w:r>
            <w:r w:rsidR="009A58DD">
              <w:rPr>
                <w:rFonts w:ascii="Arial" w:hAnsi="Arial" w:cs="Arial"/>
                <w:sz w:val="24"/>
                <w:szCs w:val="24"/>
              </w:rPr>
              <w:t xml:space="preserve">t is not proposed to restrict the sale of these units. </w:t>
            </w:r>
          </w:p>
          <w:p w:rsidR="009A58DD" w:rsidRPr="005D26E1" w:rsidRDefault="009A58DD" w:rsidP="009A58DD">
            <w:pPr>
              <w:rPr>
                <w:rFonts w:ascii="Arial" w:hAnsi="Arial" w:cs="Arial"/>
                <w:szCs w:val="24"/>
              </w:rPr>
            </w:pPr>
          </w:p>
        </w:tc>
      </w:tr>
      <w:tr w:rsidR="001F6083" w:rsidTr="00867EF4">
        <w:tc>
          <w:tcPr>
            <w:tcW w:w="750" w:type="dxa"/>
          </w:tcPr>
          <w:p w:rsidR="001F6083" w:rsidRDefault="00C25F05">
            <w:pPr>
              <w:rPr>
                <w:rFonts w:ascii="Arial" w:hAnsi="Arial" w:cs="Arial"/>
                <w:sz w:val="24"/>
                <w:szCs w:val="24"/>
              </w:rPr>
            </w:pPr>
            <w:r>
              <w:rPr>
                <w:rFonts w:ascii="Arial" w:hAnsi="Arial" w:cs="Arial"/>
                <w:sz w:val="24"/>
                <w:szCs w:val="24"/>
              </w:rPr>
              <w:t xml:space="preserve">4.2.3 </w:t>
            </w:r>
          </w:p>
        </w:tc>
        <w:tc>
          <w:tcPr>
            <w:tcW w:w="8492" w:type="dxa"/>
          </w:tcPr>
          <w:p w:rsidR="001F6083" w:rsidRDefault="00D72767">
            <w:pPr>
              <w:rPr>
                <w:rFonts w:ascii="Arial" w:hAnsi="Arial" w:cs="Arial"/>
                <w:sz w:val="24"/>
                <w:szCs w:val="24"/>
              </w:rPr>
            </w:pPr>
            <w:r>
              <w:rPr>
                <w:rFonts w:ascii="Arial" w:hAnsi="Arial" w:cs="Arial"/>
                <w:sz w:val="24"/>
                <w:szCs w:val="24"/>
              </w:rPr>
              <w:t>Overall</w:t>
            </w:r>
            <w:r w:rsidR="00125EED">
              <w:rPr>
                <w:rFonts w:ascii="Arial" w:hAnsi="Arial" w:cs="Arial"/>
                <w:sz w:val="24"/>
                <w:szCs w:val="24"/>
              </w:rPr>
              <w:t xml:space="preserve"> then if the policy set out in section</w:t>
            </w:r>
            <w:r w:rsidR="00867EF4">
              <w:rPr>
                <w:rFonts w:ascii="Arial" w:hAnsi="Arial" w:cs="Arial"/>
                <w:sz w:val="24"/>
                <w:szCs w:val="24"/>
              </w:rPr>
              <w:t xml:space="preserve"> 4.2.1 and 4.2.2 </w:t>
            </w:r>
            <w:r w:rsidR="00125EED">
              <w:rPr>
                <w:rFonts w:ascii="Arial" w:hAnsi="Arial" w:cs="Arial"/>
                <w:sz w:val="24"/>
                <w:szCs w:val="24"/>
              </w:rPr>
              <w:t xml:space="preserve">is followed </w:t>
            </w:r>
            <w:r>
              <w:rPr>
                <w:rFonts w:ascii="Arial" w:hAnsi="Arial" w:cs="Arial"/>
                <w:sz w:val="24"/>
                <w:szCs w:val="24"/>
              </w:rPr>
              <w:t xml:space="preserve">, the restriction from the vRTB would apply to a total of </w:t>
            </w:r>
            <w:r w:rsidR="00395B68" w:rsidRPr="00154D95">
              <w:rPr>
                <w:rFonts w:ascii="Arial" w:hAnsi="Arial" w:cs="Arial"/>
                <w:sz w:val="24"/>
                <w:szCs w:val="24"/>
              </w:rPr>
              <w:t>2</w:t>
            </w:r>
            <w:r w:rsidR="00154D95" w:rsidRPr="00154D95">
              <w:rPr>
                <w:rFonts w:ascii="Arial" w:hAnsi="Arial" w:cs="Arial"/>
                <w:sz w:val="24"/>
                <w:szCs w:val="24"/>
              </w:rPr>
              <w:t>9</w:t>
            </w:r>
            <w:r w:rsidR="00154D95">
              <w:rPr>
                <w:rFonts w:ascii="Arial" w:hAnsi="Arial" w:cs="Arial"/>
                <w:sz w:val="24"/>
                <w:szCs w:val="24"/>
              </w:rPr>
              <w:t>1</w:t>
            </w:r>
            <w:r>
              <w:rPr>
                <w:rFonts w:ascii="Arial" w:hAnsi="Arial" w:cs="Arial"/>
                <w:sz w:val="24"/>
                <w:szCs w:val="24"/>
              </w:rPr>
              <w:t xml:space="preserve"> supported housing units - </w:t>
            </w:r>
            <w:r w:rsidR="00C25F05">
              <w:rPr>
                <w:rFonts w:ascii="Arial" w:hAnsi="Arial" w:cs="Arial"/>
                <w:sz w:val="24"/>
                <w:szCs w:val="24"/>
              </w:rPr>
              <w:t xml:space="preserve"> </w:t>
            </w:r>
            <w:r w:rsidR="00154D95">
              <w:rPr>
                <w:rFonts w:ascii="Arial" w:hAnsi="Arial" w:cs="Arial"/>
                <w:sz w:val="24"/>
                <w:szCs w:val="24"/>
              </w:rPr>
              <w:t xml:space="preserve">156 </w:t>
            </w:r>
            <w:r w:rsidR="006907D0">
              <w:rPr>
                <w:rFonts w:ascii="Arial" w:hAnsi="Arial" w:cs="Arial"/>
                <w:sz w:val="24"/>
                <w:szCs w:val="24"/>
              </w:rPr>
              <w:t xml:space="preserve"> </w:t>
            </w:r>
            <w:r w:rsidR="00C25F05">
              <w:rPr>
                <w:rFonts w:ascii="Arial" w:hAnsi="Arial" w:cs="Arial"/>
                <w:sz w:val="24"/>
                <w:szCs w:val="24"/>
              </w:rPr>
              <w:t xml:space="preserve">directly managed </w:t>
            </w:r>
            <w:r w:rsidR="00DE3002">
              <w:rPr>
                <w:rFonts w:ascii="Arial" w:hAnsi="Arial" w:cs="Arial"/>
                <w:sz w:val="24"/>
                <w:szCs w:val="24"/>
              </w:rPr>
              <w:t xml:space="preserve">supported housing </w:t>
            </w:r>
            <w:r w:rsidR="00C25F05">
              <w:rPr>
                <w:rFonts w:ascii="Arial" w:hAnsi="Arial" w:cs="Arial"/>
                <w:sz w:val="24"/>
                <w:szCs w:val="24"/>
              </w:rPr>
              <w:t xml:space="preserve">units in addition to the 121 agency managed units plus </w:t>
            </w:r>
            <w:r w:rsidR="00154D95">
              <w:rPr>
                <w:rFonts w:ascii="Arial" w:hAnsi="Arial" w:cs="Arial"/>
                <w:sz w:val="24"/>
                <w:szCs w:val="24"/>
              </w:rPr>
              <w:t xml:space="preserve">a 14 unit scheme nearing the end of its lease with </w:t>
            </w:r>
            <w:r w:rsidR="00DE3002">
              <w:rPr>
                <w:rFonts w:ascii="Arial" w:hAnsi="Arial" w:cs="Arial"/>
                <w:sz w:val="24"/>
                <w:szCs w:val="24"/>
              </w:rPr>
              <w:t xml:space="preserve"> </w:t>
            </w:r>
            <w:r w:rsidR="00154D95">
              <w:rPr>
                <w:rFonts w:ascii="Arial" w:hAnsi="Arial" w:cs="Arial"/>
                <w:sz w:val="24"/>
                <w:szCs w:val="24"/>
              </w:rPr>
              <w:t xml:space="preserve">Turning Point. </w:t>
            </w:r>
          </w:p>
          <w:p w:rsidR="00C25F05" w:rsidRPr="005D26E1" w:rsidRDefault="00C25F05">
            <w:pPr>
              <w:rPr>
                <w:rFonts w:ascii="Arial" w:hAnsi="Arial" w:cs="Arial"/>
                <w:szCs w:val="24"/>
              </w:rPr>
            </w:pPr>
          </w:p>
        </w:tc>
      </w:tr>
      <w:tr w:rsidR="001F6083" w:rsidTr="00867EF4">
        <w:tc>
          <w:tcPr>
            <w:tcW w:w="750" w:type="dxa"/>
          </w:tcPr>
          <w:p w:rsidR="001F6083" w:rsidRPr="00DF5071" w:rsidRDefault="00D72767">
            <w:pPr>
              <w:rPr>
                <w:rFonts w:ascii="Arial" w:hAnsi="Arial" w:cs="Arial"/>
                <w:i/>
                <w:sz w:val="28"/>
                <w:szCs w:val="28"/>
              </w:rPr>
            </w:pPr>
            <w:r w:rsidRPr="00DF5071">
              <w:rPr>
                <w:rFonts w:ascii="Arial" w:hAnsi="Arial" w:cs="Arial"/>
                <w:i/>
                <w:sz w:val="28"/>
                <w:szCs w:val="28"/>
              </w:rPr>
              <w:t>4.3</w:t>
            </w:r>
          </w:p>
        </w:tc>
        <w:tc>
          <w:tcPr>
            <w:tcW w:w="8492" w:type="dxa"/>
          </w:tcPr>
          <w:p w:rsidR="001F6083" w:rsidRDefault="000E7F4A">
            <w:pPr>
              <w:rPr>
                <w:rFonts w:ascii="Arial" w:hAnsi="Arial" w:cs="Arial"/>
                <w:i/>
                <w:sz w:val="28"/>
                <w:szCs w:val="28"/>
              </w:rPr>
            </w:pPr>
            <w:r w:rsidRPr="00DF5071">
              <w:rPr>
                <w:rFonts w:ascii="Arial" w:hAnsi="Arial" w:cs="Arial"/>
                <w:i/>
                <w:sz w:val="28"/>
                <w:szCs w:val="28"/>
              </w:rPr>
              <w:t xml:space="preserve">Restrictions due to section 106 agreements </w:t>
            </w:r>
            <w:r w:rsidR="00205FD9" w:rsidRPr="00DF5071">
              <w:rPr>
                <w:rFonts w:ascii="Arial" w:hAnsi="Arial" w:cs="Arial"/>
                <w:i/>
                <w:sz w:val="28"/>
                <w:szCs w:val="28"/>
              </w:rPr>
              <w:t xml:space="preserve">or lease agreements </w:t>
            </w:r>
          </w:p>
          <w:p w:rsidR="00DF5071" w:rsidRPr="005D26E1" w:rsidRDefault="00DF5071">
            <w:pPr>
              <w:rPr>
                <w:rFonts w:ascii="Arial" w:hAnsi="Arial" w:cs="Arial"/>
                <w:i/>
                <w:szCs w:val="28"/>
              </w:rPr>
            </w:pPr>
          </w:p>
        </w:tc>
      </w:tr>
      <w:tr w:rsidR="001F6083" w:rsidTr="00867EF4">
        <w:tc>
          <w:tcPr>
            <w:tcW w:w="750" w:type="dxa"/>
          </w:tcPr>
          <w:p w:rsidR="001F6083" w:rsidRDefault="000E7F4A">
            <w:pPr>
              <w:rPr>
                <w:rFonts w:ascii="Arial" w:hAnsi="Arial" w:cs="Arial"/>
                <w:sz w:val="24"/>
                <w:szCs w:val="24"/>
              </w:rPr>
            </w:pPr>
            <w:r>
              <w:rPr>
                <w:rFonts w:ascii="Arial" w:hAnsi="Arial" w:cs="Arial"/>
                <w:sz w:val="24"/>
                <w:szCs w:val="24"/>
              </w:rPr>
              <w:t xml:space="preserve">4.3.1 </w:t>
            </w:r>
          </w:p>
        </w:tc>
        <w:tc>
          <w:tcPr>
            <w:tcW w:w="8492" w:type="dxa"/>
          </w:tcPr>
          <w:p w:rsidR="008E0C1A" w:rsidRDefault="000E7F4A" w:rsidP="009A58DD">
            <w:pPr>
              <w:rPr>
                <w:rFonts w:ascii="Arial" w:hAnsi="Arial" w:cs="Arial"/>
                <w:sz w:val="24"/>
                <w:szCs w:val="24"/>
              </w:rPr>
            </w:pPr>
            <w:r>
              <w:rPr>
                <w:rFonts w:ascii="Arial" w:hAnsi="Arial" w:cs="Arial"/>
                <w:sz w:val="24"/>
                <w:szCs w:val="24"/>
              </w:rPr>
              <w:t xml:space="preserve">The largest category of possible restrictions relates to restrictions on </w:t>
            </w:r>
            <w:r w:rsidR="00867EF4">
              <w:rPr>
                <w:rFonts w:ascii="Arial" w:hAnsi="Arial" w:cs="Arial"/>
                <w:sz w:val="24"/>
                <w:szCs w:val="24"/>
              </w:rPr>
              <w:t>sale imposed</w:t>
            </w:r>
            <w:r>
              <w:rPr>
                <w:rFonts w:ascii="Arial" w:hAnsi="Arial" w:cs="Arial"/>
                <w:sz w:val="24"/>
                <w:szCs w:val="24"/>
              </w:rPr>
              <w:t xml:space="preserve"> by section 106 agreements</w:t>
            </w:r>
            <w:r w:rsidR="00477969">
              <w:rPr>
                <w:rFonts w:ascii="Arial" w:hAnsi="Arial" w:cs="Arial"/>
                <w:sz w:val="24"/>
                <w:szCs w:val="24"/>
              </w:rPr>
              <w:t xml:space="preserve"> and other legal agreements</w:t>
            </w:r>
            <w:r>
              <w:rPr>
                <w:rFonts w:ascii="Arial" w:hAnsi="Arial" w:cs="Arial"/>
                <w:sz w:val="24"/>
                <w:szCs w:val="24"/>
              </w:rPr>
              <w:t xml:space="preserve">. Many of these </w:t>
            </w:r>
            <w:r w:rsidR="008E0C1A">
              <w:rPr>
                <w:rFonts w:ascii="Arial" w:hAnsi="Arial" w:cs="Arial"/>
                <w:sz w:val="24"/>
                <w:szCs w:val="24"/>
              </w:rPr>
              <w:t xml:space="preserve">agreements </w:t>
            </w:r>
            <w:r>
              <w:rPr>
                <w:rFonts w:ascii="Arial" w:hAnsi="Arial" w:cs="Arial"/>
                <w:sz w:val="24"/>
                <w:szCs w:val="24"/>
              </w:rPr>
              <w:t xml:space="preserve">go back more than 20 years. </w:t>
            </w:r>
            <w:r w:rsidR="009A58DD">
              <w:rPr>
                <w:rFonts w:ascii="Arial" w:hAnsi="Arial" w:cs="Arial"/>
                <w:sz w:val="24"/>
                <w:szCs w:val="24"/>
              </w:rPr>
              <w:t>We have basic not detailed records in our asset register about these restrictions.</w:t>
            </w:r>
            <w:r w:rsidR="002A164A">
              <w:rPr>
                <w:rFonts w:ascii="Arial" w:hAnsi="Arial" w:cs="Arial"/>
                <w:sz w:val="24"/>
                <w:szCs w:val="24"/>
              </w:rPr>
              <w:t xml:space="preserve"> We will need to refer to the full section 106 agreements to understand the specifics of the restrictions. </w:t>
            </w:r>
          </w:p>
          <w:p w:rsidR="009A58DD" w:rsidRDefault="009A58DD" w:rsidP="009A58DD">
            <w:pPr>
              <w:rPr>
                <w:rFonts w:ascii="Arial" w:hAnsi="Arial" w:cs="Arial"/>
                <w:sz w:val="24"/>
                <w:szCs w:val="24"/>
              </w:rPr>
            </w:pPr>
          </w:p>
        </w:tc>
      </w:tr>
      <w:tr w:rsidR="001F6083" w:rsidTr="00867EF4">
        <w:tc>
          <w:tcPr>
            <w:tcW w:w="750" w:type="dxa"/>
          </w:tcPr>
          <w:p w:rsidR="001F6083" w:rsidRDefault="008E0C1A">
            <w:pPr>
              <w:rPr>
                <w:rFonts w:ascii="Arial" w:hAnsi="Arial" w:cs="Arial"/>
                <w:sz w:val="24"/>
                <w:szCs w:val="24"/>
              </w:rPr>
            </w:pPr>
            <w:r>
              <w:rPr>
                <w:rFonts w:ascii="Arial" w:hAnsi="Arial" w:cs="Arial"/>
                <w:sz w:val="24"/>
                <w:szCs w:val="24"/>
              </w:rPr>
              <w:t xml:space="preserve">4.3.2 </w:t>
            </w:r>
          </w:p>
        </w:tc>
        <w:tc>
          <w:tcPr>
            <w:tcW w:w="8492" w:type="dxa"/>
          </w:tcPr>
          <w:p w:rsidR="00477969" w:rsidRDefault="008E0C1A" w:rsidP="008E0C1A">
            <w:pPr>
              <w:rPr>
                <w:rFonts w:ascii="Arial" w:hAnsi="Arial" w:cs="Arial"/>
                <w:sz w:val="24"/>
                <w:szCs w:val="24"/>
              </w:rPr>
            </w:pPr>
            <w:r>
              <w:rPr>
                <w:rFonts w:ascii="Arial" w:hAnsi="Arial" w:cs="Arial"/>
                <w:sz w:val="24"/>
                <w:szCs w:val="24"/>
              </w:rPr>
              <w:t xml:space="preserve">Some section 106 agreements relate to </w:t>
            </w:r>
            <w:r w:rsidRPr="008E0C1A">
              <w:rPr>
                <w:rFonts w:ascii="Arial" w:hAnsi="Arial" w:cs="Arial"/>
                <w:i/>
                <w:sz w:val="24"/>
                <w:szCs w:val="24"/>
              </w:rPr>
              <w:t>all</w:t>
            </w:r>
            <w:r>
              <w:rPr>
                <w:rFonts w:ascii="Arial" w:hAnsi="Arial" w:cs="Arial"/>
                <w:sz w:val="24"/>
                <w:szCs w:val="24"/>
              </w:rPr>
              <w:t xml:space="preserve"> the units in a scheme and others relate to a </w:t>
            </w:r>
            <w:r w:rsidRPr="009A58DD">
              <w:rPr>
                <w:rFonts w:ascii="Arial" w:hAnsi="Arial" w:cs="Arial"/>
                <w:i/>
                <w:sz w:val="24"/>
                <w:szCs w:val="24"/>
              </w:rPr>
              <w:t>proportion</w:t>
            </w:r>
            <w:r>
              <w:rPr>
                <w:rFonts w:ascii="Arial" w:hAnsi="Arial" w:cs="Arial"/>
                <w:sz w:val="24"/>
                <w:szCs w:val="24"/>
              </w:rPr>
              <w:t xml:space="preserve"> of the units in a scheme, sometimes but not always with the bed</w:t>
            </w:r>
            <w:r w:rsidR="00477969">
              <w:rPr>
                <w:rFonts w:ascii="Arial" w:hAnsi="Arial" w:cs="Arial"/>
                <w:sz w:val="24"/>
                <w:szCs w:val="24"/>
              </w:rPr>
              <w:t>-</w:t>
            </w:r>
            <w:r>
              <w:rPr>
                <w:rFonts w:ascii="Arial" w:hAnsi="Arial" w:cs="Arial"/>
                <w:sz w:val="24"/>
                <w:szCs w:val="24"/>
              </w:rPr>
              <w:t>size mix specified. Where the section 106 relates to a proportion of the units, the affected units are not specified by address.</w:t>
            </w:r>
            <w:r w:rsidR="00477969">
              <w:rPr>
                <w:rFonts w:ascii="Arial" w:hAnsi="Arial" w:cs="Arial"/>
                <w:sz w:val="24"/>
                <w:szCs w:val="24"/>
              </w:rPr>
              <w:t xml:space="preserve"> An example is given below for an 11 unit rented scheme in East Dulwich: </w:t>
            </w:r>
          </w:p>
          <w:p w:rsidR="00DD133F" w:rsidRDefault="00DD133F" w:rsidP="008E0C1A">
            <w:pPr>
              <w:rPr>
                <w:rFonts w:ascii="Arial" w:hAnsi="Arial" w:cs="Arial"/>
                <w:sz w:val="24"/>
                <w:szCs w:val="24"/>
              </w:rPr>
            </w:pPr>
          </w:p>
          <w:p w:rsidR="00477969" w:rsidRDefault="00477969" w:rsidP="00DD133F">
            <w:pPr>
              <w:pBdr>
                <w:top w:val="single" w:sz="4" w:space="1" w:color="auto"/>
                <w:left w:val="single" w:sz="4" w:space="4" w:color="auto"/>
                <w:bottom w:val="single" w:sz="4" w:space="1" w:color="auto"/>
                <w:right w:val="single" w:sz="4" w:space="4" w:color="auto"/>
              </w:pBdr>
              <w:rPr>
                <w:rFonts w:ascii="Calibri" w:hAnsi="Calibri"/>
                <w:color w:val="000000"/>
              </w:rPr>
            </w:pPr>
            <w:r>
              <w:rPr>
                <w:rFonts w:ascii="Calibri" w:hAnsi="Calibri"/>
                <w:color w:val="000000"/>
              </w:rPr>
              <w:t>S.106 - 7 Affordable housing units must be permanently available for affordable housing</w:t>
            </w:r>
            <w:r>
              <w:rPr>
                <w:rFonts w:ascii="Calibri" w:hAnsi="Calibri"/>
                <w:color w:val="000000"/>
              </w:rPr>
              <w:br/>
              <w:t>1x4b6pH @134m2</w:t>
            </w:r>
            <w:r>
              <w:rPr>
                <w:rFonts w:ascii="Calibri" w:hAnsi="Calibri"/>
                <w:color w:val="000000"/>
              </w:rPr>
              <w:br/>
              <w:t>1x1b2p F @ 53.6m2</w:t>
            </w:r>
            <w:r>
              <w:rPr>
                <w:rFonts w:ascii="Calibri" w:hAnsi="Calibri"/>
                <w:color w:val="000000"/>
              </w:rPr>
              <w:br/>
              <w:t>1x2b4p F @ 90.6m2</w:t>
            </w:r>
            <w:r>
              <w:rPr>
                <w:rFonts w:ascii="Calibri" w:hAnsi="Calibri"/>
                <w:color w:val="000000"/>
              </w:rPr>
              <w:br/>
              <w:t>4x2b4pF @ 77.62m2</w:t>
            </w:r>
          </w:p>
          <w:p w:rsidR="00477969" w:rsidRDefault="00477969" w:rsidP="008E0C1A">
            <w:pPr>
              <w:rPr>
                <w:rFonts w:ascii="Arial" w:hAnsi="Arial" w:cs="Arial"/>
                <w:sz w:val="24"/>
                <w:szCs w:val="24"/>
              </w:rPr>
            </w:pPr>
          </w:p>
          <w:p w:rsidR="009A58DD" w:rsidRDefault="008E0C1A" w:rsidP="009A58DD">
            <w:pPr>
              <w:rPr>
                <w:rFonts w:ascii="Arial" w:hAnsi="Arial" w:cs="Arial"/>
                <w:sz w:val="24"/>
                <w:szCs w:val="24"/>
              </w:rPr>
            </w:pPr>
            <w:r>
              <w:rPr>
                <w:rFonts w:ascii="Arial" w:hAnsi="Arial" w:cs="Arial"/>
                <w:sz w:val="24"/>
                <w:szCs w:val="24"/>
              </w:rPr>
              <w:t xml:space="preserve">For the purposes of the report, </w:t>
            </w:r>
            <w:r w:rsidRPr="008E0C1A">
              <w:rPr>
                <w:rFonts w:ascii="Arial" w:hAnsi="Arial" w:cs="Arial"/>
                <w:sz w:val="24"/>
                <w:szCs w:val="24"/>
                <w:u w:val="single"/>
              </w:rPr>
              <w:t>all</w:t>
            </w:r>
            <w:r>
              <w:rPr>
                <w:rFonts w:ascii="Arial" w:hAnsi="Arial" w:cs="Arial"/>
                <w:sz w:val="24"/>
                <w:szCs w:val="24"/>
              </w:rPr>
              <w:t xml:space="preserve"> the units in this situation are treated as potentially restricted. This increases the number of potentially res</w:t>
            </w:r>
            <w:r w:rsidR="009A58DD">
              <w:rPr>
                <w:rFonts w:ascii="Arial" w:hAnsi="Arial" w:cs="Arial"/>
                <w:sz w:val="24"/>
                <w:szCs w:val="24"/>
              </w:rPr>
              <w:t xml:space="preserve">tricted properties considerably. </w:t>
            </w:r>
          </w:p>
        </w:tc>
      </w:tr>
      <w:tr w:rsidR="001F6083" w:rsidTr="00867EF4">
        <w:tc>
          <w:tcPr>
            <w:tcW w:w="750" w:type="dxa"/>
          </w:tcPr>
          <w:p w:rsidR="001F6083" w:rsidRDefault="008E0C1A">
            <w:pPr>
              <w:rPr>
                <w:rFonts w:ascii="Arial" w:hAnsi="Arial" w:cs="Arial"/>
                <w:sz w:val="24"/>
                <w:szCs w:val="24"/>
              </w:rPr>
            </w:pPr>
            <w:r>
              <w:rPr>
                <w:rFonts w:ascii="Arial" w:hAnsi="Arial" w:cs="Arial"/>
                <w:sz w:val="24"/>
                <w:szCs w:val="24"/>
              </w:rPr>
              <w:lastRenderedPageBreak/>
              <w:t xml:space="preserve">4.3.3 </w:t>
            </w:r>
          </w:p>
        </w:tc>
        <w:tc>
          <w:tcPr>
            <w:tcW w:w="8492" w:type="dxa"/>
          </w:tcPr>
          <w:p w:rsidR="001F6083" w:rsidRDefault="008E0C1A">
            <w:pPr>
              <w:rPr>
                <w:rFonts w:ascii="Arial" w:hAnsi="Arial" w:cs="Arial"/>
                <w:sz w:val="24"/>
                <w:szCs w:val="24"/>
              </w:rPr>
            </w:pPr>
            <w:r>
              <w:rPr>
                <w:rFonts w:ascii="Arial" w:hAnsi="Arial" w:cs="Arial"/>
                <w:sz w:val="24"/>
                <w:szCs w:val="24"/>
              </w:rPr>
              <w:t xml:space="preserve">The table below shows the numbers in each of several categories </w:t>
            </w:r>
            <w:r w:rsidR="00DD133F">
              <w:rPr>
                <w:rFonts w:ascii="Arial" w:hAnsi="Arial" w:cs="Arial"/>
                <w:sz w:val="24"/>
                <w:szCs w:val="24"/>
              </w:rPr>
              <w:t xml:space="preserve">devised for policy development purposes </w:t>
            </w:r>
            <w:r w:rsidR="00867EF4">
              <w:rPr>
                <w:rFonts w:ascii="Arial" w:hAnsi="Arial" w:cs="Arial"/>
                <w:sz w:val="24"/>
                <w:szCs w:val="24"/>
              </w:rPr>
              <w:t>only,</w:t>
            </w:r>
            <w:r w:rsidR="00DD133F">
              <w:rPr>
                <w:rFonts w:ascii="Arial" w:hAnsi="Arial" w:cs="Arial"/>
                <w:sz w:val="24"/>
                <w:szCs w:val="24"/>
              </w:rPr>
              <w:t xml:space="preserve"> </w:t>
            </w:r>
            <w:r>
              <w:rPr>
                <w:rFonts w:ascii="Arial" w:hAnsi="Arial" w:cs="Arial"/>
                <w:sz w:val="24"/>
                <w:szCs w:val="24"/>
              </w:rPr>
              <w:t xml:space="preserve">based on an interpretation of the short description in the record </w:t>
            </w:r>
            <w:r w:rsidR="009A58DD">
              <w:rPr>
                <w:rFonts w:ascii="Arial" w:hAnsi="Arial" w:cs="Arial"/>
                <w:sz w:val="24"/>
                <w:szCs w:val="24"/>
              </w:rPr>
              <w:t xml:space="preserve">in the asset register </w:t>
            </w:r>
            <w:r>
              <w:rPr>
                <w:rFonts w:ascii="Arial" w:hAnsi="Arial" w:cs="Arial"/>
                <w:sz w:val="24"/>
                <w:szCs w:val="24"/>
              </w:rPr>
              <w:t xml:space="preserve">of the </w:t>
            </w:r>
            <w:r w:rsidR="009A58DD">
              <w:rPr>
                <w:rFonts w:ascii="Arial" w:hAnsi="Arial" w:cs="Arial"/>
                <w:sz w:val="24"/>
                <w:szCs w:val="24"/>
              </w:rPr>
              <w:t xml:space="preserve">terms of the </w:t>
            </w:r>
            <w:r>
              <w:rPr>
                <w:rFonts w:ascii="Arial" w:hAnsi="Arial" w:cs="Arial"/>
                <w:sz w:val="24"/>
                <w:szCs w:val="24"/>
              </w:rPr>
              <w:t>section 106</w:t>
            </w:r>
            <w:r w:rsidR="00DD133F">
              <w:rPr>
                <w:rFonts w:ascii="Arial" w:hAnsi="Arial" w:cs="Arial"/>
                <w:sz w:val="24"/>
                <w:szCs w:val="24"/>
              </w:rPr>
              <w:t xml:space="preserve">. </w:t>
            </w:r>
          </w:p>
          <w:p w:rsidR="00DD133F" w:rsidRDefault="00DD133F">
            <w:pPr>
              <w:rPr>
                <w:rFonts w:ascii="Arial" w:hAnsi="Arial" w:cs="Arial"/>
                <w:sz w:val="24"/>
                <w:szCs w:val="24"/>
              </w:rPr>
            </w:pPr>
          </w:p>
          <w:p w:rsidR="00867EF4" w:rsidRDefault="00867EF4" w:rsidP="003F1086">
            <w:pPr>
              <w:jc w:val="center"/>
              <w:rPr>
                <w:rFonts w:ascii="Arial" w:hAnsi="Arial" w:cs="Arial"/>
                <w:b/>
                <w:sz w:val="24"/>
                <w:szCs w:val="24"/>
              </w:rPr>
            </w:pPr>
          </w:p>
          <w:p w:rsidR="003F1086" w:rsidRPr="00E24442" w:rsidRDefault="003F1086" w:rsidP="003F1086">
            <w:pPr>
              <w:jc w:val="center"/>
              <w:rPr>
                <w:rFonts w:ascii="Arial" w:hAnsi="Arial" w:cs="Arial"/>
                <w:b/>
                <w:sz w:val="24"/>
                <w:szCs w:val="24"/>
              </w:rPr>
            </w:pPr>
            <w:r w:rsidRPr="00E24442">
              <w:rPr>
                <w:rFonts w:ascii="Arial" w:hAnsi="Arial" w:cs="Arial"/>
                <w:b/>
                <w:sz w:val="24"/>
                <w:szCs w:val="24"/>
              </w:rPr>
              <w:t>Table 1: section 106</w:t>
            </w:r>
            <w:r w:rsidR="00E24442">
              <w:rPr>
                <w:rFonts w:ascii="Arial" w:hAnsi="Arial" w:cs="Arial"/>
                <w:b/>
                <w:sz w:val="24"/>
                <w:szCs w:val="24"/>
              </w:rPr>
              <w:t xml:space="preserve"> and other legal </w:t>
            </w:r>
            <w:r w:rsidRPr="00E24442">
              <w:rPr>
                <w:rFonts w:ascii="Arial" w:hAnsi="Arial" w:cs="Arial"/>
                <w:b/>
                <w:sz w:val="24"/>
                <w:szCs w:val="24"/>
              </w:rPr>
              <w:t xml:space="preserve">restrictions on sale </w:t>
            </w:r>
          </w:p>
          <w:p w:rsidR="003F1086" w:rsidRPr="00E24442" w:rsidRDefault="003F1086">
            <w:pPr>
              <w:rPr>
                <w:rFonts w:ascii="Arial" w:hAnsi="Arial" w:cs="Arial"/>
                <w:b/>
                <w:sz w:val="24"/>
                <w:szCs w:val="24"/>
              </w:rPr>
            </w:pPr>
          </w:p>
          <w:tbl>
            <w:tblPr>
              <w:tblStyle w:val="TableGrid"/>
              <w:tblW w:w="0" w:type="auto"/>
              <w:tblLook w:val="04A0" w:firstRow="1" w:lastRow="0" w:firstColumn="1" w:lastColumn="0" w:noHBand="0" w:noVBand="1"/>
            </w:tblPr>
            <w:tblGrid>
              <w:gridCol w:w="6616"/>
              <w:gridCol w:w="1645"/>
            </w:tblGrid>
            <w:tr w:rsidR="003F1086" w:rsidTr="003F1086">
              <w:tc>
                <w:tcPr>
                  <w:tcW w:w="6616" w:type="dxa"/>
                </w:tcPr>
                <w:p w:rsidR="003F1086" w:rsidRPr="00E24442" w:rsidRDefault="00E24442" w:rsidP="00E24442">
                  <w:pPr>
                    <w:jc w:val="center"/>
                    <w:rPr>
                      <w:rFonts w:ascii="Arial" w:hAnsi="Arial" w:cs="Arial"/>
                      <w:b/>
                      <w:sz w:val="24"/>
                      <w:szCs w:val="24"/>
                    </w:rPr>
                  </w:pPr>
                  <w:r w:rsidRPr="00E24442">
                    <w:rPr>
                      <w:rFonts w:ascii="Arial" w:hAnsi="Arial" w:cs="Arial"/>
                      <w:b/>
                      <w:sz w:val="24"/>
                      <w:szCs w:val="24"/>
                    </w:rPr>
                    <w:t>Category</w:t>
                  </w:r>
                </w:p>
              </w:tc>
              <w:tc>
                <w:tcPr>
                  <w:tcW w:w="1645" w:type="dxa"/>
                </w:tcPr>
                <w:p w:rsidR="003F1086" w:rsidRDefault="00205FD9">
                  <w:pPr>
                    <w:rPr>
                      <w:rFonts w:ascii="Arial" w:hAnsi="Arial" w:cs="Arial"/>
                      <w:b/>
                      <w:sz w:val="24"/>
                      <w:szCs w:val="24"/>
                    </w:rPr>
                  </w:pPr>
                  <w:r w:rsidRPr="00E24442">
                    <w:rPr>
                      <w:rFonts w:ascii="Arial" w:hAnsi="Arial" w:cs="Arial"/>
                      <w:b/>
                      <w:sz w:val="24"/>
                      <w:szCs w:val="24"/>
                    </w:rPr>
                    <w:t>Number</w:t>
                  </w:r>
                </w:p>
                <w:p w:rsidR="002A164A" w:rsidRPr="00E24442" w:rsidRDefault="002A164A">
                  <w:pPr>
                    <w:rPr>
                      <w:rFonts w:ascii="Arial" w:hAnsi="Arial" w:cs="Arial"/>
                      <w:b/>
                      <w:sz w:val="24"/>
                      <w:szCs w:val="24"/>
                    </w:rPr>
                  </w:pPr>
                </w:p>
              </w:tc>
            </w:tr>
            <w:tr w:rsidR="003F1086" w:rsidTr="003F1086">
              <w:tc>
                <w:tcPr>
                  <w:tcW w:w="6616" w:type="dxa"/>
                </w:tcPr>
                <w:p w:rsidR="003F1086" w:rsidRDefault="00205FD9" w:rsidP="00205FD9">
                  <w:pPr>
                    <w:pStyle w:val="ListParagraph"/>
                    <w:numPr>
                      <w:ilvl w:val="0"/>
                      <w:numId w:val="3"/>
                    </w:numPr>
                    <w:rPr>
                      <w:rFonts w:ascii="Arial" w:hAnsi="Arial" w:cs="Arial"/>
                      <w:sz w:val="24"/>
                      <w:szCs w:val="24"/>
                    </w:rPr>
                  </w:pPr>
                  <w:r>
                    <w:rPr>
                      <w:rFonts w:ascii="Arial" w:hAnsi="Arial" w:cs="Arial"/>
                      <w:sz w:val="24"/>
                      <w:szCs w:val="24"/>
                    </w:rPr>
                    <w:t xml:space="preserve">Clear restriction : rented housing in perpetuity </w:t>
                  </w:r>
                </w:p>
                <w:p w:rsidR="00E24442" w:rsidRPr="00205FD9" w:rsidRDefault="00E24442" w:rsidP="00E24442">
                  <w:pPr>
                    <w:pStyle w:val="ListParagraph"/>
                    <w:rPr>
                      <w:rFonts w:ascii="Arial" w:hAnsi="Arial" w:cs="Arial"/>
                      <w:sz w:val="24"/>
                      <w:szCs w:val="24"/>
                    </w:rPr>
                  </w:pPr>
                </w:p>
              </w:tc>
              <w:tc>
                <w:tcPr>
                  <w:tcW w:w="1645" w:type="dxa"/>
                </w:tcPr>
                <w:p w:rsidR="003F1086" w:rsidRDefault="00205FD9">
                  <w:pPr>
                    <w:rPr>
                      <w:rFonts w:ascii="Arial" w:hAnsi="Arial" w:cs="Arial"/>
                      <w:sz w:val="24"/>
                      <w:szCs w:val="24"/>
                    </w:rPr>
                  </w:pPr>
                  <w:r>
                    <w:rPr>
                      <w:rFonts w:ascii="Arial" w:hAnsi="Arial" w:cs="Arial"/>
                      <w:sz w:val="24"/>
                      <w:szCs w:val="24"/>
                    </w:rPr>
                    <w:t>271</w:t>
                  </w:r>
                </w:p>
              </w:tc>
            </w:tr>
            <w:tr w:rsidR="003F1086" w:rsidTr="003F1086">
              <w:tc>
                <w:tcPr>
                  <w:tcW w:w="6616" w:type="dxa"/>
                </w:tcPr>
                <w:p w:rsidR="003F1086" w:rsidRDefault="00E24442" w:rsidP="00E24442">
                  <w:pPr>
                    <w:pStyle w:val="ListParagraph"/>
                    <w:numPr>
                      <w:ilvl w:val="0"/>
                      <w:numId w:val="3"/>
                    </w:numPr>
                    <w:rPr>
                      <w:rFonts w:ascii="Arial" w:hAnsi="Arial" w:cs="Arial"/>
                      <w:sz w:val="24"/>
                      <w:szCs w:val="24"/>
                    </w:rPr>
                  </w:pPr>
                  <w:r>
                    <w:rPr>
                      <w:rFonts w:ascii="Arial" w:hAnsi="Arial" w:cs="Arial"/>
                      <w:sz w:val="24"/>
                      <w:szCs w:val="24"/>
                    </w:rPr>
                    <w:t xml:space="preserve">Restricted by </w:t>
                  </w:r>
                  <w:r w:rsidR="00867EF4">
                    <w:rPr>
                      <w:rFonts w:ascii="Arial" w:hAnsi="Arial" w:cs="Arial"/>
                      <w:sz w:val="24"/>
                      <w:szCs w:val="24"/>
                    </w:rPr>
                    <w:t>leases “</w:t>
                  </w:r>
                  <w:r>
                    <w:rPr>
                      <w:rFonts w:ascii="Arial" w:hAnsi="Arial" w:cs="Arial"/>
                      <w:sz w:val="24"/>
                      <w:szCs w:val="24"/>
                    </w:rPr>
                    <w:t xml:space="preserve">special needs use only </w:t>
                  </w:r>
                  <w:r w:rsidR="00867EF4">
                    <w:rPr>
                      <w:rFonts w:ascii="Arial" w:hAnsi="Arial" w:cs="Arial"/>
                      <w:sz w:val="24"/>
                      <w:szCs w:val="24"/>
                    </w:rPr>
                    <w:t>“etc.</w:t>
                  </w:r>
                  <w:r>
                    <w:rPr>
                      <w:rFonts w:ascii="Arial" w:hAnsi="Arial" w:cs="Arial"/>
                      <w:sz w:val="24"/>
                      <w:szCs w:val="24"/>
                    </w:rPr>
                    <w:t xml:space="preserve">  All units are supported housing </w:t>
                  </w:r>
                </w:p>
                <w:p w:rsidR="00E24442" w:rsidRPr="00205FD9" w:rsidRDefault="00E24442" w:rsidP="00E24442">
                  <w:pPr>
                    <w:pStyle w:val="ListParagraph"/>
                    <w:rPr>
                      <w:rFonts w:ascii="Arial" w:hAnsi="Arial" w:cs="Arial"/>
                      <w:sz w:val="24"/>
                      <w:szCs w:val="24"/>
                    </w:rPr>
                  </w:pPr>
                </w:p>
              </w:tc>
              <w:tc>
                <w:tcPr>
                  <w:tcW w:w="1645" w:type="dxa"/>
                </w:tcPr>
                <w:p w:rsidR="003F1086" w:rsidRDefault="00E24442">
                  <w:pPr>
                    <w:rPr>
                      <w:rFonts w:ascii="Arial" w:hAnsi="Arial" w:cs="Arial"/>
                      <w:sz w:val="24"/>
                      <w:szCs w:val="24"/>
                    </w:rPr>
                  </w:pPr>
                  <w:r>
                    <w:rPr>
                      <w:rFonts w:ascii="Arial" w:hAnsi="Arial" w:cs="Arial"/>
                      <w:sz w:val="24"/>
                      <w:szCs w:val="24"/>
                    </w:rPr>
                    <w:t xml:space="preserve">  82 </w:t>
                  </w:r>
                </w:p>
              </w:tc>
            </w:tr>
            <w:tr w:rsidR="003F1086" w:rsidTr="003F1086">
              <w:tc>
                <w:tcPr>
                  <w:tcW w:w="6616" w:type="dxa"/>
                </w:tcPr>
                <w:p w:rsidR="003F1086" w:rsidRDefault="00E24442" w:rsidP="00E24442">
                  <w:pPr>
                    <w:pStyle w:val="ListParagraph"/>
                    <w:numPr>
                      <w:ilvl w:val="0"/>
                      <w:numId w:val="3"/>
                    </w:numPr>
                    <w:rPr>
                      <w:rFonts w:ascii="Arial" w:hAnsi="Arial" w:cs="Arial"/>
                      <w:sz w:val="24"/>
                      <w:szCs w:val="24"/>
                    </w:rPr>
                  </w:pPr>
                  <w:r>
                    <w:rPr>
                      <w:rFonts w:ascii="Arial" w:hAnsi="Arial" w:cs="Arial"/>
                      <w:sz w:val="24"/>
                      <w:szCs w:val="24"/>
                    </w:rPr>
                    <w:t xml:space="preserve">Partial restriction e.g. part of the scheme cannot be sold or units can be sold but restrictions on replacement </w:t>
                  </w:r>
                </w:p>
                <w:p w:rsidR="00E24442" w:rsidRPr="00E24442" w:rsidRDefault="00E24442" w:rsidP="00E24442">
                  <w:pPr>
                    <w:pStyle w:val="ListParagraph"/>
                    <w:rPr>
                      <w:rFonts w:ascii="Arial" w:hAnsi="Arial" w:cs="Arial"/>
                      <w:sz w:val="24"/>
                      <w:szCs w:val="24"/>
                    </w:rPr>
                  </w:pPr>
                </w:p>
              </w:tc>
              <w:tc>
                <w:tcPr>
                  <w:tcW w:w="1645" w:type="dxa"/>
                </w:tcPr>
                <w:p w:rsidR="003F1086" w:rsidRDefault="00477969" w:rsidP="00477969">
                  <w:pPr>
                    <w:rPr>
                      <w:rFonts w:ascii="Arial" w:hAnsi="Arial" w:cs="Arial"/>
                      <w:sz w:val="24"/>
                      <w:szCs w:val="24"/>
                    </w:rPr>
                  </w:pPr>
                  <w:r>
                    <w:rPr>
                      <w:rFonts w:ascii="Arial" w:hAnsi="Arial" w:cs="Arial"/>
                      <w:sz w:val="24"/>
                      <w:szCs w:val="24"/>
                    </w:rPr>
                    <w:t>305</w:t>
                  </w:r>
                </w:p>
              </w:tc>
            </w:tr>
            <w:tr w:rsidR="003F1086" w:rsidTr="003F1086">
              <w:tc>
                <w:tcPr>
                  <w:tcW w:w="6616" w:type="dxa"/>
                </w:tcPr>
                <w:p w:rsidR="003F1086" w:rsidRDefault="00E24442" w:rsidP="00E24442">
                  <w:pPr>
                    <w:pStyle w:val="ListParagraph"/>
                    <w:numPr>
                      <w:ilvl w:val="0"/>
                      <w:numId w:val="3"/>
                    </w:numPr>
                    <w:rPr>
                      <w:rFonts w:ascii="Arial" w:hAnsi="Arial" w:cs="Arial"/>
                      <w:sz w:val="24"/>
                      <w:szCs w:val="24"/>
                    </w:rPr>
                  </w:pPr>
                  <w:r>
                    <w:rPr>
                      <w:rFonts w:ascii="Arial" w:hAnsi="Arial" w:cs="Arial"/>
                      <w:sz w:val="24"/>
                      <w:szCs w:val="24"/>
                    </w:rPr>
                    <w:t xml:space="preserve">LA consent to sell would be required </w:t>
                  </w:r>
                </w:p>
                <w:p w:rsidR="00E24442" w:rsidRPr="00E24442" w:rsidRDefault="00E24442" w:rsidP="00E24442">
                  <w:pPr>
                    <w:pStyle w:val="ListParagraph"/>
                    <w:rPr>
                      <w:rFonts w:ascii="Arial" w:hAnsi="Arial" w:cs="Arial"/>
                      <w:sz w:val="24"/>
                      <w:szCs w:val="24"/>
                    </w:rPr>
                  </w:pPr>
                </w:p>
              </w:tc>
              <w:tc>
                <w:tcPr>
                  <w:tcW w:w="1645" w:type="dxa"/>
                </w:tcPr>
                <w:p w:rsidR="003F1086" w:rsidRDefault="00E24442">
                  <w:pPr>
                    <w:rPr>
                      <w:rFonts w:ascii="Arial" w:hAnsi="Arial" w:cs="Arial"/>
                      <w:sz w:val="24"/>
                      <w:szCs w:val="24"/>
                    </w:rPr>
                  </w:pPr>
                  <w:r>
                    <w:rPr>
                      <w:rFonts w:ascii="Arial" w:hAnsi="Arial" w:cs="Arial"/>
                      <w:sz w:val="24"/>
                      <w:szCs w:val="24"/>
                    </w:rPr>
                    <w:t xml:space="preserve"> 49 </w:t>
                  </w:r>
                </w:p>
              </w:tc>
            </w:tr>
            <w:tr w:rsidR="003F1086" w:rsidTr="003F1086">
              <w:tc>
                <w:tcPr>
                  <w:tcW w:w="6616" w:type="dxa"/>
                </w:tcPr>
                <w:p w:rsidR="003F1086" w:rsidRDefault="00E24442" w:rsidP="00E24442">
                  <w:pPr>
                    <w:pStyle w:val="ListParagraph"/>
                    <w:numPr>
                      <w:ilvl w:val="0"/>
                      <w:numId w:val="3"/>
                    </w:numPr>
                    <w:rPr>
                      <w:rFonts w:ascii="Arial" w:hAnsi="Arial" w:cs="Arial"/>
                      <w:sz w:val="24"/>
                      <w:szCs w:val="24"/>
                    </w:rPr>
                  </w:pPr>
                  <w:r>
                    <w:rPr>
                      <w:rFonts w:ascii="Arial" w:hAnsi="Arial" w:cs="Arial"/>
                      <w:sz w:val="24"/>
                      <w:szCs w:val="24"/>
                    </w:rPr>
                    <w:t xml:space="preserve">Section 106 appears to allow sale now as restriction time expired </w:t>
                  </w:r>
                  <w:r w:rsidR="00867EF4">
                    <w:rPr>
                      <w:rFonts w:ascii="Arial" w:hAnsi="Arial" w:cs="Arial"/>
                      <w:sz w:val="24"/>
                      <w:szCs w:val="24"/>
                    </w:rPr>
                    <w:t>etc.</w:t>
                  </w:r>
                  <w:r>
                    <w:rPr>
                      <w:rFonts w:ascii="Arial" w:hAnsi="Arial" w:cs="Arial"/>
                      <w:sz w:val="24"/>
                      <w:szCs w:val="24"/>
                    </w:rPr>
                    <w:t xml:space="preserve"> </w:t>
                  </w:r>
                </w:p>
                <w:p w:rsidR="00E24442" w:rsidRPr="00E24442" w:rsidRDefault="00E24442" w:rsidP="00E24442">
                  <w:pPr>
                    <w:pStyle w:val="ListParagraph"/>
                    <w:rPr>
                      <w:rFonts w:ascii="Arial" w:hAnsi="Arial" w:cs="Arial"/>
                      <w:sz w:val="24"/>
                      <w:szCs w:val="24"/>
                    </w:rPr>
                  </w:pPr>
                </w:p>
              </w:tc>
              <w:tc>
                <w:tcPr>
                  <w:tcW w:w="1645" w:type="dxa"/>
                </w:tcPr>
                <w:p w:rsidR="003F1086" w:rsidRDefault="00E24442">
                  <w:pPr>
                    <w:rPr>
                      <w:rFonts w:ascii="Arial" w:hAnsi="Arial" w:cs="Arial"/>
                      <w:sz w:val="24"/>
                      <w:szCs w:val="24"/>
                    </w:rPr>
                  </w:pPr>
                  <w:r>
                    <w:rPr>
                      <w:rFonts w:ascii="Arial" w:hAnsi="Arial" w:cs="Arial"/>
                      <w:sz w:val="24"/>
                      <w:szCs w:val="24"/>
                    </w:rPr>
                    <w:t xml:space="preserve"> 80</w:t>
                  </w:r>
                </w:p>
              </w:tc>
            </w:tr>
            <w:tr w:rsidR="003F1086" w:rsidTr="003F1086">
              <w:tc>
                <w:tcPr>
                  <w:tcW w:w="6616" w:type="dxa"/>
                </w:tcPr>
                <w:p w:rsidR="003F1086" w:rsidRPr="00477969" w:rsidRDefault="00477969" w:rsidP="00477969">
                  <w:pPr>
                    <w:pStyle w:val="ListParagraph"/>
                    <w:numPr>
                      <w:ilvl w:val="0"/>
                      <w:numId w:val="3"/>
                    </w:numPr>
                    <w:rPr>
                      <w:rFonts w:ascii="Arial" w:hAnsi="Arial" w:cs="Arial"/>
                      <w:sz w:val="24"/>
                      <w:szCs w:val="24"/>
                    </w:rPr>
                  </w:pPr>
                  <w:r>
                    <w:rPr>
                      <w:rFonts w:ascii="Arial" w:hAnsi="Arial" w:cs="Arial"/>
                      <w:sz w:val="24"/>
                      <w:szCs w:val="24"/>
                    </w:rPr>
                    <w:t xml:space="preserve">Further clarification required from full section 106 as application of conditions to disposal is not clear </w:t>
                  </w:r>
                </w:p>
              </w:tc>
              <w:tc>
                <w:tcPr>
                  <w:tcW w:w="1645" w:type="dxa"/>
                </w:tcPr>
                <w:p w:rsidR="003F1086" w:rsidRDefault="00477969">
                  <w:pPr>
                    <w:rPr>
                      <w:rFonts w:ascii="Arial" w:hAnsi="Arial" w:cs="Arial"/>
                      <w:sz w:val="24"/>
                      <w:szCs w:val="24"/>
                    </w:rPr>
                  </w:pPr>
                  <w:r>
                    <w:rPr>
                      <w:rFonts w:ascii="Arial" w:hAnsi="Arial" w:cs="Arial"/>
                      <w:sz w:val="24"/>
                      <w:szCs w:val="24"/>
                    </w:rPr>
                    <w:t xml:space="preserve"> 63 </w:t>
                  </w:r>
                </w:p>
              </w:tc>
            </w:tr>
          </w:tbl>
          <w:p w:rsidR="003F1086" w:rsidRDefault="003F1086">
            <w:pPr>
              <w:rPr>
                <w:rFonts w:ascii="Arial" w:hAnsi="Arial" w:cs="Arial"/>
                <w:sz w:val="24"/>
                <w:szCs w:val="24"/>
              </w:rPr>
            </w:pPr>
          </w:p>
        </w:tc>
      </w:tr>
      <w:tr w:rsidR="001F6083" w:rsidTr="00867EF4">
        <w:tc>
          <w:tcPr>
            <w:tcW w:w="750" w:type="dxa"/>
          </w:tcPr>
          <w:p w:rsidR="001F6083" w:rsidRDefault="001F6083">
            <w:pPr>
              <w:rPr>
                <w:rFonts w:ascii="Arial" w:hAnsi="Arial" w:cs="Arial"/>
                <w:sz w:val="24"/>
                <w:szCs w:val="24"/>
              </w:rPr>
            </w:pPr>
          </w:p>
        </w:tc>
        <w:tc>
          <w:tcPr>
            <w:tcW w:w="8492" w:type="dxa"/>
          </w:tcPr>
          <w:p w:rsidR="00867EF4" w:rsidRDefault="00867EF4" w:rsidP="00B80C73">
            <w:pPr>
              <w:rPr>
                <w:rFonts w:ascii="Arial" w:hAnsi="Arial" w:cs="Arial"/>
                <w:sz w:val="24"/>
                <w:szCs w:val="24"/>
              </w:rPr>
            </w:pPr>
          </w:p>
          <w:p w:rsidR="00DD133F" w:rsidRDefault="00DD133F" w:rsidP="00B80C73">
            <w:pPr>
              <w:rPr>
                <w:rFonts w:ascii="Arial" w:hAnsi="Arial" w:cs="Arial"/>
                <w:sz w:val="24"/>
                <w:szCs w:val="24"/>
              </w:rPr>
            </w:pPr>
            <w:r>
              <w:rPr>
                <w:rFonts w:ascii="Arial" w:hAnsi="Arial" w:cs="Arial"/>
                <w:sz w:val="24"/>
                <w:szCs w:val="24"/>
              </w:rPr>
              <w:t>This suggests that about 688 units (categories 1</w:t>
            </w:r>
            <w:r w:rsidR="002D310F">
              <w:rPr>
                <w:rFonts w:ascii="Arial" w:hAnsi="Arial" w:cs="Arial"/>
                <w:sz w:val="24"/>
                <w:szCs w:val="24"/>
              </w:rPr>
              <w:t>, 3</w:t>
            </w:r>
            <w:r>
              <w:rPr>
                <w:rFonts w:ascii="Arial" w:hAnsi="Arial" w:cs="Arial"/>
                <w:sz w:val="24"/>
                <w:szCs w:val="24"/>
              </w:rPr>
              <w:t xml:space="preserve">, 4 and </w:t>
            </w:r>
            <w:r w:rsidR="002D310F">
              <w:rPr>
                <w:rFonts w:ascii="Arial" w:hAnsi="Arial" w:cs="Arial"/>
                <w:sz w:val="24"/>
                <w:szCs w:val="24"/>
              </w:rPr>
              <w:t>6)</w:t>
            </w:r>
            <w:r>
              <w:rPr>
                <w:rFonts w:ascii="Arial" w:hAnsi="Arial" w:cs="Arial"/>
                <w:sz w:val="24"/>
                <w:szCs w:val="24"/>
              </w:rPr>
              <w:t xml:space="preserve"> in addition to the </w:t>
            </w:r>
            <w:r w:rsidR="00154D95">
              <w:rPr>
                <w:rFonts w:ascii="Arial" w:hAnsi="Arial" w:cs="Arial"/>
                <w:sz w:val="24"/>
                <w:szCs w:val="24"/>
              </w:rPr>
              <w:t>291</w:t>
            </w:r>
            <w:r>
              <w:rPr>
                <w:rFonts w:ascii="Arial" w:hAnsi="Arial" w:cs="Arial"/>
                <w:sz w:val="24"/>
                <w:szCs w:val="24"/>
              </w:rPr>
              <w:t xml:space="preserve"> Supported Housing units which have already been counted in section 4.2 </w:t>
            </w:r>
            <w:r w:rsidR="0050334A">
              <w:rPr>
                <w:rFonts w:ascii="Arial" w:hAnsi="Arial" w:cs="Arial"/>
                <w:sz w:val="24"/>
                <w:szCs w:val="24"/>
              </w:rPr>
              <w:t>should potentially</w:t>
            </w:r>
            <w:r>
              <w:rPr>
                <w:rFonts w:ascii="Arial" w:hAnsi="Arial" w:cs="Arial"/>
                <w:sz w:val="24"/>
                <w:szCs w:val="24"/>
              </w:rPr>
              <w:t xml:space="preserve"> have some restriction placed on sale. </w:t>
            </w:r>
          </w:p>
          <w:p w:rsidR="00B80C73" w:rsidRDefault="00B80C73" w:rsidP="00B80C73">
            <w:pPr>
              <w:rPr>
                <w:rFonts w:ascii="Arial" w:hAnsi="Arial" w:cs="Arial"/>
                <w:sz w:val="24"/>
                <w:szCs w:val="24"/>
              </w:rPr>
            </w:pPr>
          </w:p>
        </w:tc>
      </w:tr>
      <w:tr w:rsidR="001F6083" w:rsidTr="00867EF4">
        <w:tc>
          <w:tcPr>
            <w:tcW w:w="750" w:type="dxa"/>
          </w:tcPr>
          <w:p w:rsidR="001F6083" w:rsidRDefault="00DD133F">
            <w:pPr>
              <w:rPr>
                <w:rFonts w:ascii="Arial" w:hAnsi="Arial" w:cs="Arial"/>
                <w:sz w:val="24"/>
                <w:szCs w:val="24"/>
              </w:rPr>
            </w:pPr>
            <w:r>
              <w:rPr>
                <w:rFonts w:ascii="Arial" w:hAnsi="Arial" w:cs="Arial"/>
                <w:sz w:val="24"/>
                <w:szCs w:val="24"/>
              </w:rPr>
              <w:t>4.3.4</w:t>
            </w:r>
          </w:p>
        </w:tc>
        <w:tc>
          <w:tcPr>
            <w:tcW w:w="8492" w:type="dxa"/>
          </w:tcPr>
          <w:p w:rsidR="001F6083" w:rsidRPr="00DF5071" w:rsidRDefault="00DD133F">
            <w:pPr>
              <w:rPr>
                <w:rFonts w:ascii="Arial" w:hAnsi="Arial" w:cs="Arial"/>
                <w:b/>
                <w:sz w:val="24"/>
                <w:szCs w:val="24"/>
              </w:rPr>
            </w:pPr>
            <w:r w:rsidRPr="00DF5071">
              <w:rPr>
                <w:rFonts w:ascii="Arial" w:hAnsi="Arial" w:cs="Arial"/>
                <w:b/>
                <w:sz w:val="24"/>
                <w:szCs w:val="24"/>
              </w:rPr>
              <w:t xml:space="preserve">Restrictions on </w:t>
            </w:r>
            <w:r w:rsidR="00D61E3A" w:rsidRPr="00DF5071">
              <w:rPr>
                <w:rFonts w:ascii="Arial" w:hAnsi="Arial" w:cs="Arial"/>
                <w:b/>
                <w:sz w:val="24"/>
                <w:szCs w:val="24"/>
              </w:rPr>
              <w:t xml:space="preserve">some of the units in a </w:t>
            </w:r>
            <w:r w:rsidRPr="00DF5071">
              <w:rPr>
                <w:rFonts w:ascii="Arial" w:hAnsi="Arial" w:cs="Arial"/>
                <w:b/>
                <w:sz w:val="24"/>
                <w:szCs w:val="24"/>
              </w:rPr>
              <w:t xml:space="preserve">scheme </w:t>
            </w:r>
          </w:p>
          <w:p w:rsidR="00DD133F" w:rsidRDefault="00DD133F" w:rsidP="00D61E3A">
            <w:pPr>
              <w:rPr>
                <w:rFonts w:ascii="Arial" w:hAnsi="Arial" w:cs="Arial"/>
                <w:sz w:val="24"/>
                <w:szCs w:val="24"/>
              </w:rPr>
            </w:pPr>
            <w:r>
              <w:rPr>
                <w:rFonts w:ascii="Arial" w:hAnsi="Arial" w:cs="Arial"/>
                <w:sz w:val="24"/>
                <w:szCs w:val="24"/>
              </w:rPr>
              <w:t xml:space="preserve">More work needs to be done to identify where possible the addresses of the units restricted by the section 106 and where this is possible, the rest of the units in the scheme can be released from a restriction.  </w:t>
            </w:r>
            <w:r w:rsidR="0050334A">
              <w:rPr>
                <w:rFonts w:ascii="Arial" w:hAnsi="Arial" w:cs="Arial"/>
                <w:sz w:val="24"/>
                <w:szCs w:val="24"/>
              </w:rPr>
              <w:t xml:space="preserve">This would reduce the overall number of restricted units. </w:t>
            </w:r>
            <w:r>
              <w:rPr>
                <w:rFonts w:ascii="Arial" w:hAnsi="Arial" w:cs="Arial"/>
                <w:sz w:val="24"/>
                <w:szCs w:val="24"/>
              </w:rPr>
              <w:t xml:space="preserve">For most schemes though, the restricted units are not specified. In this case, all units would have to be restricted by </w:t>
            </w:r>
            <w:r w:rsidR="002D310F">
              <w:rPr>
                <w:rFonts w:ascii="Arial" w:hAnsi="Arial" w:cs="Arial"/>
                <w:sz w:val="24"/>
                <w:szCs w:val="24"/>
              </w:rPr>
              <w:t>quota;</w:t>
            </w:r>
            <w:r>
              <w:rPr>
                <w:rFonts w:ascii="Arial" w:hAnsi="Arial" w:cs="Arial"/>
                <w:sz w:val="24"/>
                <w:szCs w:val="24"/>
              </w:rPr>
              <w:t xml:space="preserve"> units could only be sold </w:t>
            </w:r>
            <w:r w:rsidR="00D61E3A">
              <w:rPr>
                <w:rFonts w:ascii="Arial" w:hAnsi="Arial" w:cs="Arial"/>
                <w:sz w:val="24"/>
                <w:szCs w:val="24"/>
              </w:rPr>
              <w:t xml:space="preserve">up to the limit allowed in the quota for that scheme. For example, the Elmley </w:t>
            </w:r>
            <w:r w:rsidR="002D310F">
              <w:rPr>
                <w:rFonts w:ascii="Arial" w:hAnsi="Arial" w:cs="Arial"/>
                <w:sz w:val="24"/>
                <w:szCs w:val="24"/>
              </w:rPr>
              <w:t>Street</w:t>
            </w:r>
            <w:r w:rsidR="00D61E3A">
              <w:rPr>
                <w:rFonts w:ascii="Arial" w:hAnsi="Arial" w:cs="Arial"/>
                <w:sz w:val="24"/>
                <w:szCs w:val="24"/>
              </w:rPr>
              <w:t xml:space="preserve">/Southport Road scheme in Plumstead has a restriction </w:t>
            </w:r>
            <w:r w:rsidR="0050334A">
              <w:rPr>
                <w:rFonts w:ascii="Arial" w:hAnsi="Arial" w:cs="Arial"/>
                <w:sz w:val="24"/>
                <w:szCs w:val="24"/>
              </w:rPr>
              <w:t xml:space="preserve">which stipulates that </w:t>
            </w:r>
            <w:r w:rsidR="00D61E3A">
              <w:rPr>
                <w:rFonts w:ascii="Arial" w:hAnsi="Arial" w:cs="Arial"/>
                <w:sz w:val="24"/>
                <w:szCs w:val="24"/>
              </w:rPr>
              <w:t xml:space="preserve">13 units on the scheme have to be preserved for affordable </w:t>
            </w:r>
            <w:r w:rsidR="002D310F">
              <w:rPr>
                <w:rFonts w:ascii="Arial" w:hAnsi="Arial" w:cs="Arial"/>
                <w:sz w:val="24"/>
                <w:szCs w:val="24"/>
              </w:rPr>
              <w:t xml:space="preserve">housing. </w:t>
            </w:r>
            <w:r w:rsidR="00D61E3A">
              <w:rPr>
                <w:rFonts w:ascii="Arial" w:hAnsi="Arial" w:cs="Arial"/>
                <w:sz w:val="24"/>
                <w:szCs w:val="24"/>
              </w:rPr>
              <w:t xml:space="preserve">This would mean that sales of 40 of </w:t>
            </w:r>
            <w:r w:rsidR="002D310F">
              <w:rPr>
                <w:rFonts w:ascii="Arial" w:hAnsi="Arial" w:cs="Arial"/>
                <w:sz w:val="24"/>
                <w:szCs w:val="24"/>
              </w:rPr>
              <w:t>the 53</w:t>
            </w:r>
            <w:r w:rsidR="00D61E3A">
              <w:rPr>
                <w:rFonts w:ascii="Arial" w:hAnsi="Arial" w:cs="Arial"/>
                <w:sz w:val="24"/>
                <w:szCs w:val="24"/>
              </w:rPr>
              <w:t xml:space="preserve"> units could take place but then no more sales would be allowed. This level of sales is in practice not likely to happen. </w:t>
            </w:r>
          </w:p>
          <w:p w:rsidR="00D61E3A" w:rsidRDefault="00D61E3A" w:rsidP="00D61E3A">
            <w:pPr>
              <w:rPr>
                <w:rFonts w:ascii="Arial" w:hAnsi="Arial" w:cs="Arial"/>
                <w:sz w:val="24"/>
                <w:szCs w:val="24"/>
              </w:rPr>
            </w:pPr>
          </w:p>
        </w:tc>
      </w:tr>
      <w:tr w:rsidR="001F6083" w:rsidTr="00867EF4">
        <w:tc>
          <w:tcPr>
            <w:tcW w:w="750" w:type="dxa"/>
          </w:tcPr>
          <w:p w:rsidR="001F6083" w:rsidRDefault="0050334A">
            <w:pPr>
              <w:rPr>
                <w:rFonts w:ascii="Arial" w:hAnsi="Arial" w:cs="Arial"/>
                <w:sz w:val="24"/>
                <w:szCs w:val="24"/>
              </w:rPr>
            </w:pPr>
            <w:r>
              <w:rPr>
                <w:rFonts w:ascii="Arial" w:hAnsi="Arial" w:cs="Arial"/>
                <w:sz w:val="24"/>
                <w:szCs w:val="24"/>
              </w:rPr>
              <w:t xml:space="preserve">4.3.5 </w:t>
            </w:r>
          </w:p>
        </w:tc>
        <w:tc>
          <w:tcPr>
            <w:tcW w:w="8492" w:type="dxa"/>
          </w:tcPr>
          <w:p w:rsidR="001F6083" w:rsidRPr="00DF5071" w:rsidRDefault="0050334A" w:rsidP="0050334A">
            <w:pPr>
              <w:rPr>
                <w:rFonts w:ascii="Arial" w:hAnsi="Arial" w:cs="Arial"/>
                <w:b/>
                <w:sz w:val="24"/>
                <w:szCs w:val="24"/>
              </w:rPr>
            </w:pPr>
            <w:r w:rsidRPr="00DF5071">
              <w:rPr>
                <w:rFonts w:ascii="Arial" w:hAnsi="Arial" w:cs="Arial"/>
                <w:b/>
                <w:sz w:val="24"/>
                <w:szCs w:val="24"/>
              </w:rPr>
              <w:t xml:space="preserve">Scope for renegotiating some of the restrictions </w:t>
            </w:r>
          </w:p>
        </w:tc>
      </w:tr>
      <w:tr w:rsidR="001F6083" w:rsidTr="00867EF4">
        <w:tc>
          <w:tcPr>
            <w:tcW w:w="750" w:type="dxa"/>
          </w:tcPr>
          <w:p w:rsidR="001F6083" w:rsidRDefault="001F6083">
            <w:pPr>
              <w:rPr>
                <w:rFonts w:ascii="Arial" w:hAnsi="Arial" w:cs="Arial"/>
                <w:sz w:val="24"/>
                <w:szCs w:val="24"/>
              </w:rPr>
            </w:pPr>
          </w:p>
        </w:tc>
        <w:tc>
          <w:tcPr>
            <w:tcW w:w="8492" w:type="dxa"/>
          </w:tcPr>
          <w:p w:rsidR="0050334A" w:rsidRDefault="0050334A" w:rsidP="00B80C73">
            <w:pPr>
              <w:rPr>
                <w:rFonts w:ascii="Arial" w:hAnsi="Arial" w:cs="Arial"/>
                <w:sz w:val="24"/>
                <w:szCs w:val="24"/>
              </w:rPr>
            </w:pPr>
            <w:r>
              <w:rPr>
                <w:rFonts w:ascii="Arial" w:hAnsi="Arial" w:cs="Arial"/>
                <w:sz w:val="24"/>
                <w:szCs w:val="24"/>
              </w:rPr>
              <w:t xml:space="preserve">It may be possible to renegotiate some of the section 106 terms restricting sale although most if not all of our partner local authorities are unlikely to be keen to further facilitate the vRTB.  Other housing associations may well also be looking to renegotiate and this may be to our advantage if there was a general agreement to relax some of the conditions. </w:t>
            </w:r>
            <w:r w:rsidR="00B80C73">
              <w:rPr>
                <w:rFonts w:ascii="Arial" w:hAnsi="Arial" w:cs="Arial"/>
                <w:sz w:val="24"/>
                <w:szCs w:val="24"/>
              </w:rPr>
              <w:t xml:space="preserve">The work of renegotiating section 106s would be time consuming so it is suggested that our approach </w:t>
            </w:r>
            <w:r w:rsidR="00B80C73">
              <w:rPr>
                <w:rFonts w:ascii="Arial" w:hAnsi="Arial" w:cs="Arial"/>
                <w:sz w:val="24"/>
                <w:szCs w:val="24"/>
              </w:rPr>
              <w:lastRenderedPageBreak/>
              <w:t xml:space="preserve">should be to only seek to negotiate if and when we receive an application from a tenant in a property with a restriction that might be lifted e.g. when local authority consent is required to dispose.  </w:t>
            </w:r>
          </w:p>
          <w:p w:rsidR="00B80C73" w:rsidRDefault="00B80C73" w:rsidP="00B80C73">
            <w:pPr>
              <w:rPr>
                <w:rFonts w:ascii="Arial" w:hAnsi="Arial" w:cs="Arial"/>
                <w:sz w:val="24"/>
                <w:szCs w:val="24"/>
              </w:rPr>
            </w:pPr>
          </w:p>
        </w:tc>
      </w:tr>
      <w:tr w:rsidR="001F6083" w:rsidTr="00867EF4">
        <w:tc>
          <w:tcPr>
            <w:tcW w:w="750" w:type="dxa"/>
          </w:tcPr>
          <w:p w:rsidR="001F6083" w:rsidRPr="00DF5071" w:rsidRDefault="00893ED9">
            <w:pPr>
              <w:rPr>
                <w:rFonts w:ascii="Arial" w:hAnsi="Arial" w:cs="Arial"/>
                <w:i/>
                <w:sz w:val="28"/>
                <w:szCs w:val="28"/>
              </w:rPr>
            </w:pPr>
            <w:r w:rsidRPr="00DF5071">
              <w:rPr>
                <w:rFonts w:ascii="Arial" w:hAnsi="Arial" w:cs="Arial"/>
                <w:i/>
                <w:sz w:val="28"/>
                <w:szCs w:val="28"/>
              </w:rPr>
              <w:lastRenderedPageBreak/>
              <w:t xml:space="preserve">4.4 </w:t>
            </w:r>
          </w:p>
        </w:tc>
        <w:tc>
          <w:tcPr>
            <w:tcW w:w="8492" w:type="dxa"/>
          </w:tcPr>
          <w:p w:rsidR="001F6083" w:rsidRDefault="00893ED9">
            <w:pPr>
              <w:rPr>
                <w:rFonts w:ascii="Arial" w:hAnsi="Arial" w:cs="Arial"/>
                <w:i/>
                <w:sz w:val="28"/>
                <w:szCs w:val="28"/>
              </w:rPr>
            </w:pPr>
            <w:r w:rsidRPr="00DF5071">
              <w:rPr>
                <w:rFonts w:ascii="Arial" w:hAnsi="Arial" w:cs="Arial"/>
                <w:i/>
                <w:sz w:val="28"/>
                <w:szCs w:val="28"/>
              </w:rPr>
              <w:t xml:space="preserve">Specialist accommodation </w:t>
            </w:r>
          </w:p>
          <w:p w:rsidR="00DF5071" w:rsidRPr="00DF5071" w:rsidRDefault="00DF5071">
            <w:pPr>
              <w:rPr>
                <w:rFonts w:ascii="Arial" w:hAnsi="Arial" w:cs="Arial"/>
                <w:i/>
                <w:sz w:val="28"/>
                <w:szCs w:val="28"/>
              </w:rPr>
            </w:pPr>
          </w:p>
        </w:tc>
      </w:tr>
      <w:tr w:rsidR="001F6083" w:rsidTr="00867EF4">
        <w:tc>
          <w:tcPr>
            <w:tcW w:w="750" w:type="dxa"/>
          </w:tcPr>
          <w:p w:rsidR="001F6083" w:rsidRDefault="00893ED9">
            <w:pPr>
              <w:rPr>
                <w:rFonts w:ascii="Arial" w:hAnsi="Arial" w:cs="Arial"/>
                <w:sz w:val="24"/>
                <w:szCs w:val="24"/>
              </w:rPr>
            </w:pPr>
            <w:r>
              <w:rPr>
                <w:rFonts w:ascii="Arial" w:hAnsi="Arial" w:cs="Arial"/>
                <w:sz w:val="24"/>
                <w:szCs w:val="24"/>
              </w:rPr>
              <w:t xml:space="preserve">4.4.1 </w:t>
            </w:r>
          </w:p>
        </w:tc>
        <w:tc>
          <w:tcPr>
            <w:tcW w:w="8492" w:type="dxa"/>
          </w:tcPr>
          <w:p w:rsidR="0092774B" w:rsidRDefault="00893ED9" w:rsidP="0092774B">
            <w:pPr>
              <w:rPr>
                <w:rFonts w:ascii="Arial" w:hAnsi="Arial" w:cs="Arial"/>
                <w:sz w:val="24"/>
                <w:szCs w:val="24"/>
              </w:rPr>
            </w:pPr>
            <w:r>
              <w:rPr>
                <w:rFonts w:ascii="Arial" w:hAnsi="Arial" w:cs="Arial"/>
                <w:sz w:val="24"/>
                <w:szCs w:val="24"/>
              </w:rPr>
              <w:t>Hexagon has 109 units of accommodation which show on our records as wheelchair standard</w:t>
            </w:r>
            <w:r w:rsidR="002A164A">
              <w:rPr>
                <w:rFonts w:ascii="Arial" w:hAnsi="Arial" w:cs="Arial"/>
                <w:sz w:val="24"/>
                <w:szCs w:val="24"/>
              </w:rPr>
              <w:t>, not counting those units in Supported Housing</w:t>
            </w:r>
            <w:r w:rsidR="00B80C73">
              <w:rPr>
                <w:rFonts w:ascii="Arial" w:hAnsi="Arial" w:cs="Arial"/>
                <w:sz w:val="24"/>
                <w:szCs w:val="24"/>
              </w:rPr>
              <w:t xml:space="preserve">. It is not proposed to restrict the tenants in these properties from the vRTB on these grounds (although some will be restricted for reasons of a section 106.) Assuming </w:t>
            </w:r>
            <w:r w:rsidR="002D310F">
              <w:rPr>
                <w:rFonts w:ascii="Arial" w:hAnsi="Arial" w:cs="Arial"/>
                <w:sz w:val="24"/>
                <w:szCs w:val="24"/>
              </w:rPr>
              <w:t>that we</w:t>
            </w:r>
            <w:r w:rsidR="0083303A">
              <w:rPr>
                <w:rFonts w:ascii="Arial" w:hAnsi="Arial" w:cs="Arial"/>
                <w:sz w:val="24"/>
                <w:szCs w:val="24"/>
              </w:rPr>
              <w:t xml:space="preserve"> allow these specially designed homes to be sold under the vRTB, we should also commit to replacing them as part of the replacement programme for vRTB units. </w:t>
            </w:r>
          </w:p>
          <w:p w:rsidR="0092774B" w:rsidRDefault="0092774B" w:rsidP="0092774B">
            <w:pPr>
              <w:rPr>
                <w:rFonts w:ascii="Arial" w:hAnsi="Arial" w:cs="Arial"/>
                <w:sz w:val="24"/>
                <w:szCs w:val="24"/>
              </w:rPr>
            </w:pPr>
          </w:p>
        </w:tc>
      </w:tr>
    </w:tbl>
    <w:p w:rsidR="001F6083" w:rsidRPr="001F6083" w:rsidRDefault="001F6083">
      <w:pPr>
        <w:rPr>
          <w:rFonts w:ascii="Arial" w:hAnsi="Arial" w:cs="Arial"/>
          <w:sz w:val="24"/>
          <w:szCs w:val="24"/>
        </w:rPr>
      </w:pPr>
    </w:p>
    <w:sectPr w:rsidR="001F6083" w:rsidRPr="001F608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D1" w:rsidRDefault="001805D1" w:rsidP="001F6083">
      <w:pPr>
        <w:spacing w:after="0" w:line="240" w:lineRule="auto"/>
      </w:pPr>
      <w:r>
        <w:separator/>
      </w:r>
    </w:p>
  </w:endnote>
  <w:endnote w:type="continuationSeparator" w:id="0">
    <w:p w:rsidR="001805D1" w:rsidRDefault="001805D1" w:rsidP="001F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05" w:rsidRPr="00DE3002" w:rsidRDefault="00DE3002">
    <w:pPr>
      <w:pStyle w:val="Footer"/>
      <w:pBdr>
        <w:top w:val="thinThickSmallGap" w:sz="24" w:space="1" w:color="622423" w:themeColor="accent2" w:themeShade="7F"/>
      </w:pBdr>
      <w:rPr>
        <w:rFonts w:ascii="Arial" w:eastAsiaTheme="majorEastAsia" w:hAnsi="Arial" w:cs="Arial"/>
        <w:sz w:val="20"/>
        <w:szCs w:val="20"/>
      </w:rPr>
    </w:pPr>
    <w:r w:rsidRPr="00DE3002">
      <w:rPr>
        <w:rFonts w:ascii="Arial" w:eastAsiaTheme="majorEastAsia" w:hAnsi="Arial" w:cs="Arial"/>
        <w:sz w:val="20"/>
        <w:szCs w:val="20"/>
      </w:rPr>
      <w:t>vRTB restrictions policy – Board September 16</w:t>
    </w:r>
    <w:r w:rsidR="00C25F05" w:rsidRPr="00DE3002">
      <w:rPr>
        <w:rFonts w:ascii="Arial" w:eastAsiaTheme="majorEastAsia" w:hAnsi="Arial" w:cs="Arial"/>
        <w:sz w:val="20"/>
        <w:szCs w:val="20"/>
      </w:rPr>
      <w:ptab w:relativeTo="margin" w:alignment="right" w:leader="none"/>
    </w:r>
    <w:r w:rsidR="00C25F05" w:rsidRPr="00DE3002">
      <w:rPr>
        <w:rFonts w:ascii="Arial" w:eastAsiaTheme="majorEastAsia" w:hAnsi="Arial" w:cs="Arial"/>
        <w:sz w:val="20"/>
        <w:szCs w:val="20"/>
      </w:rPr>
      <w:t xml:space="preserve">Page </w:t>
    </w:r>
    <w:r w:rsidR="00C25F05" w:rsidRPr="00DE3002">
      <w:rPr>
        <w:rFonts w:ascii="Arial" w:eastAsiaTheme="minorEastAsia" w:hAnsi="Arial" w:cs="Arial"/>
        <w:sz w:val="20"/>
        <w:szCs w:val="20"/>
      </w:rPr>
      <w:fldChar w:fldCharType="begin"/>
    </w:r>
    <w:r w:rsidR="00C25F05" w:rsidRPr="00DE3002">
      <w:rPr>
        <w:rFonts w:ascii="Arial" w:hAnsi="Arial" w:cs="Arial"/>
        <w:sz w:val="20"/>
        <w:szCs w:val="20"/>
      </w:rPr>
      <w:instrText xml:space="preserve"> PAGE   \* MERGEFORMAT </w:instrText>
    </w:r>
    <w:r w:rsidR="00C25F05" w:rsidRPr="00DE3002">
      <w:rPr>
        <w:rFonts w:ascii="Arial" w:eastAsiaTheme="minorEastAsia" w:hAnsi="Arial" w:cs="Arial"/>
        <w:sz w:val="20"/>
        <w:szCs w:val="20"/>
      </w:rPr>
      <w:fldChar w:fldCharType="separate"/>
    </w:r>
    <w:r w:rsidR="00314CA1" w:rsidRPr="00314CA1">
      <w:rPr>
        <w:rFonts w:ascii="Arial" w:eastAsiaTheme="majorEastAsia" w:hAnsi="Arial" w:cs="Arial"/>
        <w:noProof/>
        <w:sz w:val="20"/>
        <w:szCs w:val="20"/>
      </w:rPr>
      <w:t>2</w:t>
    </w:r>
    <w:r w:rsidR="00C25F05" w:rsidRPr="00DE3002">
      <w:rPr>
        <w:rFonts w:ascii="Arial" w:eastAsiaTheme="majorEastAsia" w:hAnsi="Arial" w:cs="Arial"/>
        <w:noProof/>
        <w:sz w:val="20"/>
        <w:szCs w:val="20"/>
      </w:rPr>
      <w:fldChar w:fldCharType="end"/>
    </w:r>
  </w:p>
  <w:p w:rsidR="00C25F05" w:rsidRPr="00DE3002" w:rsidRDefault="00C25F05">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D1" w:rsidRDefault="001805D1" w:rsidP="001F6083">
      <w:pPr>
        <w:spacing w:after="0" w:line="240" w:lineRule="auto"/>
      </w:pPr>
      <w:r>
        <w:separator/>
      </w:r>
    </w:p>
  </w:footnote>
  <w:footnote w:type="continuationSeparator" w:id="0">
    <w:p w:rsidR="001805D1" w:rsidRDefault="001805D1" w:rsidP="001F6083">
      <w:pPr>
        <w:spacing w:after="0" w:line="240" w:lineRule="auto"/>
      </w:pPr>
      <w:r>
        <w:continuationSeparator/>
      </w:r>
    </w:p>
  </w:footnote>
  <w:footnote w:id="1">
    <w:p w:rsidR="001F6083" w:rsidRDefault="001F6083">
      <w:pPr>
        <w:pStyle w:val="FootnoteText"/>
      </w:pPr>
      <w:r>
        <w:rPr>
          <w:rStyle w:val="FootnoteReference"/>
        </w:rPr>
        <w:footnoteRef/>
      </w:r>
      <w:r>
        <w:t xml:space="preserve"> NHF briefing Voluntary Right to Buy: scheme design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D65"/>
    <w:multiLevelType w:val="hybridMultilevel"/>
    <w:tmpl w:val="01C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7E6BF5"/>
    <w:multiLevelType w:val="hybridMultilevel"/>
    <w:tmpl w:val="DCA8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C65D6F"/>
    <w:multiLevelType w:val="hybridMultilevel"/>
    <w:tmpl w:val="B2B43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83"/>
    <w:rsid w:val="000E1E96"/>
    <w:rsid w:val="000E7F4A"/>
    <w:rsid w:val="0011700D"/>
    <w:rsid w:val="00125EED"/>
    <w:rsid w:val="00151B17"/>
    <w:rsid w:val="00154D95"/>
    <w:rsid w:val="001805D1"/>
    <w:rsid w:val="001F54AB"/>
    <w:rsid w:val="001F6083"/>
    <w:rsid w:val="00205FD9"/>
    <w:rsid w:val="00227122"/>
    <w:rsid w:val="00244BC6"/>
    <w:rsid w:val="0028521C"/>
    <w:rsid w:val="002A164A"/>
    <w:rsid w:val="002D310F"/>
    <w:rsid w:val="00314CA1"/>
    <w:rsid w:val="00395B68"/>
    <w:rsid w:val="003F1086"/>
    <w:rsid w:val="00453D1C"/>
    <w:rsid w:val="00477969"/>
    <w:rsid w:val="0050334A"/>
    <w:rsid w:val="005B729F"/>
    <w:rsid w:val="005D26E1"/>
    <w:rsid w:val="005F28E2"/>
    <w:rsid w:val="00646FDC"/>
    <w:rsid w:val="006907D0"/>
    <w:rsid w:val="00706C62"/>
    <w:rsid w:val="0083303A"/>
    <w:rsid w:val="00867EF4"/>
    <w:rsid w:val="00893ED9"/>
    <w:rsid w:val="008E0C1A"/>
    <w:rsid w:val="0092774B"/>
    <w:rsid w:val="00997B8E"/>
    <w:rsid w:val="009A58DD"/>
    <w:rsid w:val="009F0AE7"/>
    <w:rsid w:val="00A44B4A"/>
    <w:rsid w:val="00B52460"/>
    <w:rsid w:val="00B80C73"/>
    <w:rsid w:val="00BE6726"/>
    <w:rsid w:val="00C056EE"/>
    <w:rsid w:val="00C25F05"/>
    <w:rsid w:val="00CB6D54"/>
    <w:rsid w:val="00D208F4"/>
    <w:rsid w:val="00D25F88"/>
    <w:rsid w:val="00D56BD9"/>
    <w:rsid w:val="00D61E3A"/>
    <w:rsid w:val="00D72767"/>
    <w:rsid w:val="00D933B4"/>
    <w:rsid w:val="00D94F93"/>
    <w:rsid w:val="00DD133F"/>
    <w:rsid w:val="00DE3002"/>
    <w:rsid w:val="00DF5071"/>
    <w:rsid w:val="00E24442"/>
    <w:rsid w:val="00E27079"/>
    <w:rsid w:val="00EA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60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083"/>
    <w:rPr>
      <w:sz w:val="20"/>
      <w:szCs w:val="20"/>
    </w:rPr>
  </w:style>
  <w:style w:type="character" w:styleId="FootnoteReference">
    <w:name w:val="footnote reference"/>
    <w:basedOn w:val="DefaultParagraphFont"/>
    <w:uiPriority w:val="99"/>
    <w:semiHidden/>
    <w:unhideWhenUsed/>
    <w:rsid w:val="001F6083"/>
    <w:rPr>
      <w:vertAlign w:val="superscript"/>
    </w:rPr>
  </w:style>
  <w:style w:type="paragraph" w:styleId="ListParagraph">
    <w:name w:val="List Paragraph"/>
    <w:basedOn w:val="Normal"/>
    <w:uiPriority w:val="34"/>
    <w:qFormat/>
    <w:rsid w:val="00D208F4"/>
    <w:pPr>
      <w:ind w:left="720"/>
      <w:contextualSpacing/>
    </w:pPr>
  </w:style>
  <w:style w:type="paragraph" w:styleId="Header">
    <w:name w:val="header"/>
    <w:basedOn w:val="Normal"/>
    <w:link w:val="HeaderChar"/>
    <w:uiPriority w:val="99"/>
    <w:unhideWhenUsed/>
    <w:rsid w:val="00C25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F05"/>
  </w:style>
  <w:style w:type="paragraph" w:styleId="Footer">
    <w:name w:val="footer"/>
    <w:basedOn w:val="Normal"/>
    <w:link w:val="FooterChar"/>
    <w:uiPriority w:val="99"/>
    <w:unhideWhenUsed/>
    <w:rsid w:val="00C25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F05"/>
  </w:style>
  <w:style w:type="paragraph" w:styleId="BalloonText">
    <w:name w:val="Balloon Text"/>
    <w:basedOn w:val="Normal"/>
    <w:link w:val="BalloonTextChar"/>
    <w:uiPriority w:val="99"/>
    <w:semiHidden/>
    <w:unhideWhenUsed/>
    <w:rsid w:val="00C2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60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083"/>
    <w:rPr>
      <w:sz w:val="20"/>
      <w:szCs w:val="20"/>
    </w:rPr>
  </w:style>
  <w:style w:type="character" w:styleId="FootnoteReference">
    <w:name w:val="footnote reference"/>
    <w:basedOn w:val="DefaultParagraphFont"/>
    <w:uiPriority w:val="99"/>
    <w:semiHidden/>
    <w:unhideWhenUsed/>
    <w:rsid w:val="001F6083"/>
    <w:rPr>
      <w:vertAlign w:val="superscript"/>
    </w:rPr>
  </w:style>
  <w:style w:type="paragraph" w:styleId="ListParagraph">
    <w:name w:val="List Paragraph"/>
    <w:basedOn w:val="Normal"/>
    <w:uiPriority w:val="34"/>
    <w:qFormat/>
    <w:rsid w:val="00D208F4"/>
    <w:pPr>
      <w:ind w:left="720"/>
      <w:contextualSpacing/>
    </w:pPr>
  </w:style>
  <w:style w:type="paragraph" w:styleId="Header">
    <w:name w:val="header"/>
    <w:basedOn w:val="Normal"/>
    <w:link w:val="HeaderChar"/>
    <w:uiPriority w:val="99"/>
    <w:unhideWhenUsed/>
    <w:rsid w:val="00C25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F05"/>
  </w:style>
  <w:style w:type="paragraph" w:styleId="Footer">
    <w:name w:val="footer"/>
    <w:basedOn w:val="Normal"/>
    <w:link w:val="FooterChar"/>
    <w:uiPriority w:val="99"/>
    <w:unhideWhenUsed/>
    <w:rsid w:val="00C25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F05"/>
  </w:style>
  <w:style w:type="paragraph" w:styleId="BalloonText">
    <w:name w:val="Balloon Text"/>
    <w:basedOn w:val="Normal"/>
    <w:link w:val="BalloonTextChar"/>
    <w:uiPriority w:val="99"/>
    <w:semiHidden/>
    <w:unhideWhenUsed/>
    <w:rsid w:val="00C2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731BC-86F9-4B3D-9CEC-CB2DB0AB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10879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Melville</dc:creator>
  <cp:lastModifiedBy>Phil Newsam</cp:lastModifiedBy>
  <cp:revision>2</cp:revision>
  <cp:lastPrinted>2016-09-20T10:52:00Z</cp:lastPrinted>
  <dcterms:created xsi:type="dcterms:W3CDTF">2016-11-30T10:46:00Z</dcterms:created>
  <dcterms:modified xsi:type="dcterms:W3CDTF">2016-11-30T10:46:00Z</dcterms:modified>
</cp:coreProperties>
</file>