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289" w:rsidRPr="009237DE" w:rsidRDefault="005C4289" w:rsidP="005C4289">
      <w:pPr>
        <w:pStyle w:val="Heading1"/>
        <w:jc w:val="both"/>
        <w:rPr>
          <w:sz w:val="36"/>
          <w:szCs w:val="36"/>
        </w:rPr>
      </w:pPr>
      <w:bookmarkStart w:id="0" w:name="_GoBack"/>
      <w:bookmarkEnd w:id="0"/>
      <w:r w:rsidRPr="009237DE">
        <w:rPr>
          <w:sz w:val="36"/>
          <w:szCs w:val="36"/>
        </w:rPr>
        <w:t>Hexagon Housing Association</w:t>
      </w:r>
    </w:p>
    <w:p w:rsidR="005C4289" w:rsidRPr="009237DE" w:rsidRDefault="005C4289" w:rsidP="005C4289">
      <w:pPr>
        <w:jc w:val="both"/>
        <w:rPr>
          <w:b/>
          <w:szCs w:val="36"/>
        </w:rPr>
      </w:pPr>
    </w:p>
    <w:p w:rsidR="005C4289" w:rsidRPr="009237DE" w:rsidRDefault="005C4289" w:rsidP="005C4289">
      <w:pPr>
        <w:jc w:val="both"/>
        <w:rPr>
          <w:b/>
          <w:sz w:val="36"/>
          <w:szCs w:val="36"/>
        </w:rPr>
      </w:pPr>
      <w:r w:rsidRPr="009237DE">
        <w:rPr>
          <w:b/>
          <w:sz w:val="36"/>
          <w:szCs w:val="36"/>
        </w:rPr>
        <w:t>Board of Management</w:t>
      </w:r>
    </w:p>
    <w:p w:rsidR="005C4289" w:rsidRPr="009237DE" w:rsidRDefault="005C4289" w:rsidP="005C4289">
      <w:pPr>
        <w:jc w:val="both"/>
        <w:rPr>
          <w:b/>
          <w:szCs w:val="36"/>
        </w:rPr>
      </w:pPr>
    </w:p>
    <w:p w:rsidR="005C4289" w:rsidRPr="009237DE" w:rsidRDefault="005C4289" w:rsidP="005C4289">
      <w:pPr>
        <w:jc w:val="both"/>
        <w:rPr>
          <w:b/>
          <w:sz w:val="36"/>
          <w:szCs w:val="36"/>
        </w:rPr>
      </w:pPr>
      <w:r w:rsidRPr="009237DE">
        <w:rPr>
          <w:b/>
          <w:sz w:val="36"/>
          <w:szCs w:val="36"/>
        </w:rPr>
        <w:t>Report from the Development &amp; Regeneration Director</w:t>
      </w:r>
    </w:p>
    <w:p w:rsidR="002215D9" w:rsidRDefault="002215D9" w:rsidP="005C4289">
      <w:pPr>
        <w:jc w:val="both"/>
        <w:rPr>
          <w:b/>
          <w:sz w:val="36"/>
          <w:szCs w:val="36"/>
        </w:rPr>
      </w:pPr>
    </w:p>
    <w:p w:rsidR="005C4289" w:rsidRPr="009237DE" w:rsidRDefault="00C5640A" w:rsidP="005C4289">
      <w:pPr>
        <w:jc w:val="both"/>
        <w:rPr>
          <w:b/>
          <w:sz w:val="36"/>
          <w:szCs w:val="36"/>
        </w:rPr>
      </w:pPr>
      <w:r>
        <w:rPr>
          <w:b/>
          <w:sz w:val="36"/>
          <w:szCs w:val="36"/>
        </w:rPr>
        <w:t>2</w:t>
      </w:r>
      <w:r w:rsidR="00746C25">
        <w:rPr>
          <w:b/>
          <w:sz w:val="36"/>
          <w:szCs w:val="36"/>
        </w:rPr>
        <w:t>9</w:t>
      </w:r>
      <w:r w:rsidR="005C4289" w:rsidRPr="005C4289">
        <w:rPr>
          <w:b/>
          <w:sz w:val="36"/>
          <w:szCs w:val="36"/>
          <w:vertAlign w:val="superscript"/>
        </w:rPr>
        <w:t>th</w:t>
      </w:r>
      <w:r w:rsidR="005C4289">
        <w:rPr>
          <w:b/>
          <w:sz w:val="36"/>
          <w:szCs w:val="36"/>
        </w:rPr>
        <w:t xml:space="preserve"> </w:t>
      </w:r>
      <w:r w:rsidR="00746C25">
        <w:rPr>
          <w:b/>
          <w:sz w:val="36"/>
          <w:szCs w:val="36"/>
        </w:rPr>
        <w:t>Nove</w:t>
      </w:r>
      <w:r>
        <w:rPr>
          <w:b/>
          <w:sz w:val="36"/>
          <w:szCs w:val="36"/>
        </w:rPr>
        <w:t xml:space="preserve">mber </w:t>
      </w:r>
      <w:r w:rsidR="005C4289">
        <w:rPr>
          <w:b/>
          <w:sz w:val="36"/>
          <w:szCs w:val="36"/>
        </w:rPr>
        <w:t>2016</w:t>
      </w:r>
    </w:p>
    <w:p w:rsidR="005C4289" w:rsidRPr="009237DE" w:rsidRDefault="005C4289" w:rsidP="005C4289">
      <w:pPr>
        <w:jc w:val="both"/>
        <w:rPr>
          <w:b/>
          <w:szCs w:val="36"/>
        </w:rPr>
      </w:pPr>
    </w:p>
    <w:p w:rsidR="005C4289" w:rsidRPr="009237DE" w:rsidRDefault="005C4289" w:rsidP="005C4289">
      <w:pPr>
        <w:jc w:val="both"/>
        <w:rPr>
          <w:b/>
          <w:sz w:val="36"/>
          <w:szCs w:val="36"/>
        </w:rPr>
      </w:pPr>
      <w:r w:rsidRPr="009237DE">
        <w:rPr>
          <w:b/>
          <w:sz w:val="36"/>
          <w:szCs w:val="36"/>
        </w:rPr>
        <w:t xml:space="preserve">Agenda Item </w:t>
      </w:r>
      <w:r w:rsidR="00F65251">
        <w:rPr>
          <w:b/>
          <w:sz w:val="36"/>
          <w:szCs w:val="36"/>
        </w:rPr>
        <w:t>15</w:t>
      </w:r>
    </w:p>
    <w:p w:rsidR="005C4289" w:rsidRPr="009237DE" w:rsidRDefault="005C4289" w:rsidP="005C4289">
      <w:pPr>
        <w:jc w:val="both"/>
        <w:rPr>
          <w:b/>
          <w:szCs w:val="36"/>
        </w:rPr>
      </w:pPr>
    </w:p>
    <w:p w:rsidR="001545BA" w:rsidRDefault="001545BA" w:rsidP="005C4289">
      <w:pPr>
        <w:jc w:val="both"/>
        <w:rPr>
          <w:b/>
          <w:sz w:val="36"/>
          <w:szCs w:val="36"/>
        </w:rPr>
      </w:pPr>
      <w:r>
        <w:rPr>
          <w:b/>
          <w:sz w:val="36"/>
          <w:szCs w:val="36"/>
        </w:rPr>
        <w:t>Brickfield Cottages</w:t>
      </w:r>
      <w:r w:rsidR="00B32B84">
        <w:rPr>
          <w:b/>
          <w:sz w:val="36"/>
          <w:szCs w:val="36"/>
        </w:rPr>
        <w:t>, Plumstead</w:t>
      </w:r>
      <w:r>
        <w:rPr>
          <w:b/>
          <w:sz w:val="36"/>
          <w:szCs w:val="36"/>
        </w:rPr>
        <w:t xml:space="preserve"> – Ground Collapse</w:t>
      </w:r>
    </w:p>
    <w:p w:rsidR="005C4289" w:rsidRPr="009237DE" w:rsidRDefault="005C4289" w:rsidP="005C4289">
      <w:pPr>
        <w:jc w:val="both"/>
      </w:pPr>
      <w:r w:rsidRPr="009237DE">
        <w:t>______________________________________________________________</w:t>
      </w:r>
      <w:r w:rsidR="00AD0B6B">
        <w:t>_____</w:t>
      </w:r>
    </w:p>
    <w:p w:rsidR="005C4289" w:rsidRPr="009237DE" w:rsidRDefault="005C4289" w:rsidP="005C4289">
      <w:pPr>
        <w:jc w:val="both"/>
      </w:pPr>
    </w:p>
    <w:p w:rsidR="005C4289" w:rsidRPr="009237DE" w:rsidRDefault="005C4289" w:rsidP="005C4289">
      <w:pPr>
        <w:pStyle w:val="Heading4"/>
        <w:jc w:val="both"/>
      </w:pPr>
      <w:r w:rsidRPr="009237DE">
        <w:t>1.0</w:t>
      </w:r>
      <w:r w:rsidRPr="009237DE">
        <w:tab/>
        <w:t xml:space="preserve">Summary </w:t>
      </w:r>
    </w:p>
    <w:p w:rsidR="005C4289" w:rsidRPr="009237DE" w:rsidRDefault="005C4289" w:rsidP="005C4289">
      <w:pPr>
        <w:jc w:val="both"/>
      </w:pPr>
    </w:p>
    <w:p w:rsidR="00AC46EF" w:rsidRDefault="00456CD0" w:rsidP="009C475C">
      <w:pPr>
        <w:ind w:left="709" w:hanging="709"/>
      </w:pPr>
      <w:r>
        <w:t>1.1</w:t>
      </w:r>
      <w:r>
        <w:tab/>
      </w:r>
      <w:r w:rsidR="00882DB1">
        <w:t xml:space="preserve">As reported to the last Board meeting, we have taken the difficult but right decision to decant the </w:t>
      </w:r>
      <w:r w:rsidR="00C52F8C">
        <w:t xml:space="preserve">whole </w:t>
      </w:r>
      <w:r w:rsidR="00357287">
        <w:t xml:space="preserve">of the 40 home </w:t>
      </w:r>
      <w:r w:rsidR="00882DB1">
        <w:t>estate so that ground investigations across the w</w:t>
      </w:r>
      <w:r w:rsidR="00C52F8C">
        <w:t xml:space="preserve">hole development can take place in the safest and </w:t>
      </w:r>
      <w:r w:rsidR="00357287">
        <w:t xml:space="preserve">most </w:t>
      </w:r>
      <w:r w:rsidR="00C52F8C">
        <w:t>expedient</w:t>
      </w:r>
      <w:r w:rsidR="00882DB1">
        <w:t xml:space="preserve"> </w:t>
      </w:r>
      <w:r w:rsidR="00C52F8C">
        <w:t>way.</w:t>
      </w:r>
    </w:p>
    <w:p w:rsidR="00882DB1" w:rsidRDefault="00882DB1" w:rsidP="009C475C">
      <w:pPr>
        <w:ind w:left="709" w:hanging="709"/>
      </w:pPr>
    </w:p>
    <w:p w:rsidR="00882DB1" w:rsidRDefault="00456CD0" w:rsidP="009C475C">
      <w:pPr>
        <w:ind w:left="709" w:hanging="709"/>
      </w:pPr>
      <w:r>
        <w:t>1.2</w:t>
      </w:r>
      <w:r>
        <w:tab/>
      </w:r>
      <w:r w:rsidR="00882DB1">
        <w:t xml:space="preserve">Residents were notified of this course of action at a residents’ meeting held last month.  Since that meeting, all residents have had a one to one meeting with project based staff to discuss their personal circumstances and housing needs. This information will serve to inform the temporary housing solutions we need to identify </w:t>
      </w:r>
      <w:r w:rsidR="008E0559">
        <w:t xml:space="preserve">for the tenants </w:t>
      </w:r>
      <w:r w:rsidR="00882DB1">
        <w:t>to ensure a successful decant of the estate.</w:t>
      </w:r>
    </w:p>
    <w:p w:rsidR="00882DB1" w:rsidRDefault="00882DB1" w:rsidP="009C475C">
      <w:pPr>
        <w:ind w:left="709" w:hanging="709"/>
      </w:pPr>
    </w:p>
    <w:p w:rsidR="008E0559" w:rsidRDefault="00456CD0" w:rsidP="009C475C">
      <w:pPr>
        <w:ind w:left="709" w:hanging="709"/>
      </w:pPr>
      <w:r>
        <w:t>1.3</w:t>
      </w:r>
      <w:r>
        <w:tab/>
      </w:r>
      <w:r w:rsidR="008E0559">
        <w:t>We have engag</w:t>
      </w:r>
      <w:r w:rsidR="00882DB1">
        <w:t>ed the services o</w:t>
      </w:r>
      <w:r w:rsidR="008E0559">
        <w:t xml:space="preserve">f </w:t>
      </w:r>
      <w:r w:rsidR="00EC2D2F">
        <w:t>‘</w:t>
      </w:r>
      <w:r w:rsidR="008E0559">
        <w:t>Social Communications</w:t>
      </w:r>
      <w:r w:rsidR="00EC2D2F">
        <w:t>’</w:t>
      </w:r>
      <w:r w:rsidR="008E0559">
        <w:t xml:space="preserve"> to advise and mana</w:t>
      </w:r>
      <w:r w:rsidR="00882DB1">
        <w:t xml:space="preserve">ge PR </w:t>
      </w:r>
      <w:r w:rsidR="008E0559">
        <w:t xml:space="preserve">and communications with residents, stakeholders </w:t>
      </w:r>
      <w:r w:rsidR="00882DB1">
        <w:t>and</w:t>
      </w:r>
      <w:r w:rsidR="008E0559">
        <w:t xml:space="preserve"> the press.  To date there has been no negative press stories or hostile feedback from residents.  Communications are being well managed.</w:t>
      </w:r>
    </w:p>
    <w:p w:rsidR="00F92376" w:rsidRDefault="00F92376" w:rsidP="009C475C">
      <w:pPr>
        <w:ind w:left="709" w:hanging="709"/>
      </w:pPr>
    </w:p>
    <w:p w:rsidR="00F92376" w:rsidRDefault="00A75519" w:rsidP="009C475C">
      <w:pPr>
        <w:ind w:left="709" w:hanging="709"/>
      </w:pPr>
      <w:r>
        <w:t>1.4</w:t>
      </w:r>
      <w:r>
        <w:tab/>
      </w:r>
      <w:r w:rsidR="00F92376">
        <w:t xml:space="preserve">We now have a Project Team </w:t>
      </w:r>
      <w:r>
        <w:t xml:space="preserve">overseeing the process of decant and works.  </w:t>
      </w:r>
      <w:r w:rsidR="00F92376">
        <w:t>The pro</w:t>
      </w:r>
      <w:r>
        <w:t>ject team are meeting weekly to up the momentum a</w:t>
      </w:r>
      <w:r w:rsidR="00F92376">
        <w:t>nd the need to make important decisions arising from feedback from residents and stakeholders.</w:t>
      </w:r>
    </w:p>
    <w:p w:rsidR="00EC05DF" w:rsidRDefault="00EC05DF" w:rsidP="009C475C">
      <w:pPr>
        <w:ind w:left="709" w:hanging="709"/>
      </w:pPr>
    </w:p>
    <w:p w:rsidR="00EC05DF" w:rsidRDefault="00EC05DF" w:rsidP="009C475C">
      <w:pPr>
        <w:ind w:left="709" w:hanging="709"/>
      </w:pPr>
      <w:r>
        <w:t>1.5</w:t>
      </w:r>
      <w:r>
        <w:tab/>
        <w:t>We recognise that managing the rehousing is going to be challenging, so we will be working very closely with residents to find alternative housing that meets their needs.  We have committed to meet their ‘out of pocket’ expenses and a ‘goodwill’ payment in recognition of the inconvenience / distress caused. The feedback from residents thus far has been largely co-operative and very understanding.</w:t>
      </w:r>
    </w:p>
    <w:p w:rsidR="008E0559" w:rsidRDefault="008E0559" w:rsidP="009C475C">
      <w:pPr>
        <w:ind w:left="709" w:hanging="709"/>
      </w:pPr>
    </w:p>
    <w:p w:rsidR="008E0559" w:rsidRDefault="00EC2D2F" w:rsidP="009C475C">
      <w:pPr>
        <w:ind w:left="709" w:hanging="709"/>
      </w:pPr>
      <w:r>
        <w:lastRenderedPageBreak/>
        <w:t>1.</w:t>
      </w:r>
      <w:r w:rsidR="00B629B4">
        <w:t>6</w:t>
      </w:r>
      <w:r w:rsidR="008E0559">
        <w:tab/>
        <w:t xml:space="preserve">Greenwich have offered to assist us in the purchase of some street properties by providing us with grant from their right to buy receipts.  </w:t>
      </w:r>
      <w:r w:rsidR="00EC05DF">
        <w:t>Subject to Board approval, w</w:t>
      </w:r>
      <w:r w:rsidR="008E0559">
        <w:t>e have assumed we will purchase a minimum of 20 properties utilising this funding. (A separate report is on the agenda).</w:t>
      </w:r>
    </w:p>
    <w:p w:rsidR="008E0559" w:rsidRDefault="008E0559" w:rsidP="008E0559"/>
    <w:p w:rsidR="00FB085E" w:rsidRDefault="00456CD0" w:rsidP="009C475C">
      <w:pPr>
        <w:ind w:left="709" w:hanging="709"/>
      </w:pPr>
      <w:r>
        <w:t>1.</w:t>
      </w:r>
      <w:r w:rsidR="00B629B4">
        <w:t>7</w:t>
      </w:r>
      <w:r>
        <w:tab/>
      </w:r>
      <w:r w:rsidR="008E0559">
        <w:t xml:space="preserve">We have received offers of assistance with void properties from other HAs who have stock in the borough and are pursuing this with the support of Greenwich who we expect to also offer some properties.  The suitability </w:t>
      </w:r>
      <w:r w:rsidR="00FB085E">
        <w:t>of o</w:t>
      </w:r>
      <w:r w:rsidR="008E0559">
        <w:t>ur own void properties are being assessed against the needs of residents</w:t>
      </w:r>
      <w:r w:rsidR="00FB085E">
        <w:t>.</w:t>
      </w:r>
    </w:p>
    <w:p w:rsidR="00A75519" w:rsidRDefault="00A75519" w:rsidP="009C475C">
      <w:pPr>
        <w:ind w:left="709" w:hanging="709"/>
      </w:pPr>
    </w:p>
    <w:p w:rsidR="005468BB" w:rsidRDefault="00EC2D2F" w:rsidP="009C475C">
      <w:pPr>
        <w:ind w:left="709" w:hanging="709"/>
      </w:pPr>
      <w:r>
        <w:t>1.</w:t>
      </w:r>
      <w:r w:rsidR="00B629B4">
        <w:t>8</w:t>
      </w:r>
      <w:r w:rsidR="00456CD0">
        <w:tab/>
      </w:r>
      <w:r w:rsidR="00FB085E">
        <w:t xml:space="preserve">Some residents are assisting us by looking for suitable private rental properties directly, which appears to be more successful than a direct approach by us. </w:t>
      </w:r>
    </w:p>
    <w:p w:rsidR="00F92376" w:rsidRDefault="00F92376" w:rsidP="009C475C">
      <w:pPr>
        <w:ind w:left="709" w:hanging="709"/>
      </w:pPr>
    </w:p>
    <w:p w:rsidR="00332B2B" w:rsidRDefault="00EC2D2F" w:rsidP="009C475C">
      <w:pPr>
        <w:ind w:left="709" w:hanging="709"/>
      </w:pPr>
      <w:r>
        <w:t>1.</w:t>
      </w:r>
      <w:r w:rsidR="00332B2B">
        <w:t>9</w:t>
      </w:r>
      <w:r w:rsidR="00456CD0">
        <w:tab/>
      </w:r>
      <w:r w:rsidR="00332B2B">
        <w:t xml:space="preserve">To date we have spent </w:t>
      </w:r>
      <w:r w:rsidR="00E360F3">
        <w:t xml:space="preserve">circa </w:t>
      </w:r>
      <w:r w:rsidR="00332B2B" w:rsidRPr="006B334F">
        <w:t>£</w:t>
      </w:r>
      <w:r w:rsidR="006B334F" w:rsidRPr="006B334F">
        <w:t>600</w:t>
      </w:r>
      <w:r w:rsidR="00E360F3" w:rsidRPr="006B334F">
        <w:t>k</w:t>
      </w:r>
      <w:r w:rsidR="00E360F3">
        <w:t xml:space="preserve"> on investigations and works</w:t>
      </w:r>
      <w:r w:rsidR="00FB7839">
        <w:t xml:space="preserve"> (relating to the original collapse incident)</w:t>
      </w:r>
      <w:r w:rsidR="00E360F3">
        <w:t>.</w:t>
      </w:r>
      <w:r w:rsidR="00332B2B">
        <w:t xml:space="preserve"> </w:t>
      </w:r>
      <w:r w:rsidR="00FB7839">
        <w:t xml:space="preserve"> The latest works cost </w:t>
      </w:r>
      <w:r w:rsidR="00FB7839" w:rsidRPr="00332B2B">
        <w:rPr>
          <w:b/>
          <w:i/>
        </w:rPr>
        <w:t>estimate</w:t>
      </w:r>
      <w:r w:rsidR="00FB7839">
        <w:t xml:space="preserve"> for the extended site wide investigations assuming it leads to stabilisation works across the estate is </w:t>
      </w:r>
      <w:r w:rsidR="00FB7839" w:rsidRPr="006B334F">
        <w:t>£3.3m</w:t>
      </w:r>
      <w:r w:rsidR="00FB7839">
        <w:t xml:space="preserve">.  </w:t>
      </w:r>
      <w:r w:rsidR="00332B2B">
        <w:t xml:space="preserve">Tender preparation for the site wide investigations / works </w:t>
      </w:r>
      <w:r w:rsidR="006B334F">
        <w:t>is underway.</w:t>
      </w:r>
    </w:p>
    <w:p w:rsidR="006B334F" w:rsidRDefault="006B334F" w:rsidP="009C475C">
      <w:pPr>
        <w:ind w:left="709" w:hanging="709"/>
      </w:pPr>
    </w:p>
    <w:p w:rsidR="005468BB" w:rsidRDefault="00332B2B" w:rsidP="009C475C">
      <w:pPr>
        <w:ind w:left="709" w:hanging="709"/>
      </w:pPr>
      <w:r>
        <w:t>1.10</w:t>
      </w:r>
      <w:r>
        <w:tab/>
      </w:r>
      <w:r w:rsidR="005468BB">
        <w:t xml:space="preserve">The potential for recovery </w:t>
      </w:r>
      <w:r w:rsidR="00A75519">
        <w:t xml:space="preserve">of our costs </w:t>
      </w:r>
      <w:r w:rsidR="005468BB">
        <w:t>from the original Ground Investigation consultants / Main Contractor etc. is currently being assessed by our lawyers at Devonshires</w:t>
      </w:r>
      <w:r w:rsidR="00FB085E">
        <w:t xml:space="preserve"> who are working with the insurer’s solicitors</w:t>
      </w:r>
      <w:r w:rsidR="00A75519">
        <w:t xml:space="preserve"> to establish the legal position</w:t>
      </w:r>
      <w:r w:rsidR="00FB085E">
        <w:t xml:space="preserve">. An independent expert has been engaged to make an assessment of liability, and we expect to receive his </w:t>
      </w:r>
      <w:r w:rsidR="00FF72C1">
        <w:t xml:space="preserve">initial </w:t>
      </w:r>
      <w:r w:rsidR="00FB085E">
        <w:t xml:space="preserve">advice </w:t>
      </w:r>
      <w:r>
        <w:t>by 2</w:t>
      </w:r>
      <w:r w:rsidRPr="00332B2B">
        <w:rPr>
          <w:vertAlign w:val="superscript"/>
        </w:rPr>
        <w:t>nd</w:t>
      </w:r>
      <w:r>
        <w:t xml:space="preserve"> December</w:t>
      </w:r>
      <w:r w:rsidR="00FB085E">
        <w:t>.</w:t>
      </w:r>
    </w:p>
    <w:p w:rsidR="001278AF" w:rsidRDefault="001278AF" w:rsidP="009C475C">
      <w:pPr>
        <w:ind w:left="709" w:hanging="709"/>
      </w:pPr>
    </w:p>
    <w:p w:rsidR="001278AF" w:rsidRDefault="00EC2D2F" w:rsidP="009C475C">
      <w:pPr>
        <w:ind w:left="709" w:hanging="709"/>
      </w:pPr>
      <w:r>
        <w:t>1.11</w:t>
      </w:r>
      <w:r w:rsidR="001278AF">
        <w:tab/>
        <w:t xml:space="preserve">At this stage, the timescales for decanting and carrying out the full extent </w:t>
      </w:r>
      <w:r w:rsidR="00D51BAC">
        <w:t>of investigations</w:t>
      </w:r>
      <w:r w:rsidR="001278AF">
        <w:t xml:space="preserve"> and remedial works are </w:t>
      </w:r>
      <w:r w:rsidR="00FB085E">
        <w:t xml:space="preserve">still </w:t>
      </w:r>
      <w:r w:rsidR="001278AF">
        <w:t>unknown.  However</w:t>
      </w:r>
      <w:r w:rsidR="00FB085E">
        <w:t xml:space="preserve">, </w:t>
      </w:r>
      <w:r w:rsidR="001278AF">
        <w:t xml:space="preserve">we </w:t>
      </w:r>
      <w:r w:rsidR="00FB085E">
        <w:t xml:space="preserve">have </w:t>
      </w:r>
      <w:r w:rsidR="001278AF">
        <w:t>assume</w:t>
      </w:r>
      <w:r w:rsidR="00FB085E">
        <w:t>d 12 months for the investigations to be completed and then potentially another 12 months for any stabilisation works to be carried out (assuming there is a problem across the whole estate).</w:t>
      </w:r>
    </w:p>
    <w:p w:rsidR="001278AF" w:rsidRDefault="001278AF" w:rsidP="009C475C">
      <w:pPr>
        <w:ind w:left="709" w:hanging="709"/>
      </w:pPr>
    </w:p>
    <w:p w:rsidR="00F92376" w:rsidRDefault="00EC2D2F" w:rsidP="009C475C">
      <w:pPr>
        <w:ind w:left="709" w:hanging="709"/>
      </w:pPr>
      <w:r>
        <w:t>1.12</w:t>
      </w:r>
      <w:r w:rsidR="001278AF">
        <w:tab/>
      </w:r>
      <w:r w:rsidR="00F92376">
        <w:t>At the last Board Meeting the Chair requested that the Chair of ARC be kept informed as this matter progresses.  Ian Watts has been provided with notes of the weekly project team meetings. The Audit and Risk Committee also received an update report</w:t>
      </w:r>
      <w:r w:rsidR="00A75519">
        <w:t xml:space="preserve"> at the last meeting</w:t>
      </w:r>
      <w:r w:rsidR="00F92376">
        <w:t>.</w:t>
      </w:r>
    </w:p>
    <w:p w:rsidR="005468BB" w:rsidRDefault="005468BB" w:rsidP="00341BC5"/>
    <w:p w:rsidR="00224237" w:rsidRDefault="00224237" w:rsidP="00341BC5">
      <w:r>
        <w:t>Further details are provided within the report.</w:t>
      </w:r>
    </w:p>
    <w:p w:rsidR="005C4289" w:rsidRPr="009237DE" w:rsidRDefault="005C4289" w:rsidP="005C4289">
      <w:pPr>
        <w:jc w:val="both"/>
      </w:pPr>
      <w:r w:rsidRPr="009237DE">
        <w:t>_________________________________</w:t>
      </w:r>
      <w:r w:rsidR="00EE553A">
        <w:t>_________________________________</w:t>
      </w:r>
    </w:p>
    <w:p w:rsidR="005C4289" w:rsidRPr="009237DE" w:rsidRDefault="005C4289" w:rsidP="005C4289">
      <w:pPr>
        <w:pStyle w:val="Heading4"/>
        <w:jc w:val="both"/>
      </w:pPr>
      <w:r w:rsidRPr="009237DE">
        <w:t>2.0</w:t>
      </w:r>
      <w:r w:rsidRPr="009237DE">
        <w:tab/>
        <w:t>Recommendation</w:t>
      </w:r>
    </w:p>
    <w:p w:rsidR="005C4289" w:rsidRPr="009237DE" w:rsidRDefault="005C4289" w:rsidP="005C4289">
      <w:pPr>
        <w:jc w:val="both"/>
      </w:pPr>
    </w:p>
    <w:p w:rsidR="005C4289" w:rsidRDefault="005C4289" w:rsidP="009C475C">
      <w:pPr>
        <w:ind w:firstLine="720"/>
        <w:jc w:val="both"/>
      </w:pPr>
      <w:r w:rsidRPr="009237DE">
        <w:t xml:space="preserve">That the Board </w:t>
      </w:r>
      <w:r w:rsidR="00341BC5" w:rsidRPr="00341BC5">
        <w:rPr>
          <w:b/>
          <w:u w:val="single"/>
        </w:rPr>
        <w:t>note</w:t>
      </w:r>
      <w:r w:rsidR="009C475C">
        <w:rPr>
          <w:b/>
          <w:u w:val="single"/>
        </w:rPr>
        <w:t>s</w:t>
      </w:r>
      <w:r w:rsidR="00341BC5">
        <w:t xml:space="preserve"> this report</w:t>
      </w:r>
      <w:r>
        <w:t>.</w:t>
      </w:r>
    </w:p>
    <w:p w:rsidR="005C4289" w:rsidRPr="009237DE" w:rsidRDefault="005C4289" w:rsidP="005C4289">
      <w:pPr>
        <w:jc w:val="both"/>
      </w:pPr>
      <w:r w:rsidRPr="009237DE">
        <w:t>_____________________________________________________________</w:t>
      </w:r>
      <w:r w:rsidR="00EE553A">
        <w:t>______</w:t>
      </w:r>
    </w:p>
    <w:p w:rsidR="009C475C" w:rsidRDefault="009C475C">
      <w:pPr>
        <w:spacing w:after="200" w:line="276" w:lineRule="auto"/>
      </w:pPr>
      <w:r>
        <w:br w:type="page"/>
      </w:r>
    </w:p>
    <w:p w:rsidR="00036126" w:rsidRDefault="00036126" w:rsidP="00036126"/>
    <w:p w:rsidR="003C5236" w:rsidRPr="009C475C" w:rsidRDefault="003C5236" w:rsidP="003C5236">
      <w:pPr>
        <w:rPr>
          <w:b/>
          <w:i/>
          <w:sz w:val="28"/>
        </w:rPr>
      </w:pPr>
      <w:r w:rsidRPr="009C475C">
        <w:rPr>
          <w:b/>
          <w:i/>
          <w:sz w:val="28"/>
        </w:rPr>
        <w:t>3.0</w:t>
      </w:r>
      <w:r w:rsidRPr="009C475C">
        <w:rPr>
          <w:b/>
          <w:i/>
          <w:sz w:val="28"/>
        </w:rPr>
        <w:tab/>
        <w:t>Works on site</w:t>
      </w:r>
    </w:p>
    <w:p w:rsidR="003C5236" w:rsidRDefault="003C5236" w:rsidP="003C5236"/>
    <w:p w:rsidR="00EC2D2F" w:rsidRDefault="003C5236" w:rsidP="009C475C">
      <w:pPr>
        <w:ind w:left="709" w:hanging="709"/>
      </w:pPr>
      <w:r>
        <w:t>3.1</w:t>
      </w:r>
      <w:r>
        <w:tab/>
        <w:t>Stabi</w:t>
      </w:r>
      <w:r w:rsidR="00047DD0">
        <w:t>lisation works are now complete</w:t>
      </w:r>
      <w:r>
        <w:t xml:space="preserve"> to </w:t>
      </w:r>
      <w:r w:rsidR="00047DD0">
        <w:t xml:space="preserve">Nos. </w:t>
      </w:r>
      <w:r>
        <w:t xml:space="preserve">32 and 34. Stabilisation works are continuing on at the rear of Numbers 36 and 30 (properties either side of 32 and 34).  The extent of weak ground to the rear of 36 was such that PBA advised that we should expedite the decanting of neighbouring property No. 38. Therefore the residents of 38 (and 40) have now moved out into hotel accommodation.  </w:t>
      </w:r>
    </w:p>
    <w:p w:rsidR="00EC2D2F" w:rsidRDefault="00EC2D2F" w:rsidP="009C475C">
      <w:pPr>
        <w:ind w:left="709" w:hanging="709"/>
      </w:pPr>
    </w:p>
    <w:p w:rsidR="003C5236" w:rsidRDefault="00EC2D2F" w:rsidP="009C475C">
      <w:pPr>
        <w:ind w:left="709" w:hanging="709"/>
      </w:pPr>
      <w:r>
        <w:t>3.2</w:t>
      </w:r>
      <w:r>
        <w:tab/>
      </w:r>
      <w:r w:rsidR="003C5236">
        <w:t xml:space="preserve">Works are expected to extend to the rear of 28 (already empty) due to the extent of weak ground </w:t>
      </w:r>
      <w:r>
        <w:t>to the rear of N</w:t>
      </w:r>
      <w:r w:rsidR="003C5236">
        <w:t>o. 30.</w:t>
      </w:r>
    </w:p>
    <w:p w:rsidR="003C5236" w:rsidRDefault="003C5236" w:rsidP="009C475C">
      <w:pPr>
        <w:ind w:left="709" w:hanging="709"/>
      </w:pPr>
    </w:p>
    <w:p w:rsidR="003C5236" w:rsidRDefault="003C5236" w:rsidP="009C475C">
      <w:pPr>
        <w:ind w:left="709" w:hanging="709"/>
      </w:pPr>
      <w:r>
        <w:t>3.</w:t>
      </w:r>
      <w:r w:rsidR="00EC2D2F">
        <w:t>3</w:t>
      </w:r>
      <w:r>
        <w:tab/>
        <w:t xml:space="preserve">Contractors are preparing to start investigations to 33-39, once they are decanted. Two of these four households </w:t>
      </w:r>
      <w:r w:rsidR="00EC2D2F">
        <w:t>have been moved into h</w:t>
      </w:r>
      <w:r>
        <w:t>otels.</w:t>
      </w:r>
      <w:r w:rsidR="00EC2D2F">
        <w:t xml:space="preserve">  We hope to establish suitable properties for the two remaining ‘wheelchair need’ households.</w:t>
      </w:r>
    </w:p>
    <w:p w:rsidR="003C5236" w:rsidRDefault="003C5236" w:rsidP="009C475C">
      <w:pPr>
        <w:ind w:left="709" w:hanging="709"/>
      </w:pPr>
    </w:p>
    <w:p w:rsidR="003C5236" w:rsidRDefault="003C5236" w:rsidP="009C475C">
      <w:pPr>
        <w:ind w:left="709" w:hanging="709"/>
      </w:pPr>
      <w:r>
        <w:t>3.</w:t>
      </w:r>
      <w:r w:rsidR="009436B7">
        <w:t>4</w:t>
      </w:r>
      <w:r>
        <w:tab/>
        <w:t>PBA have issued a draft plan for the borehole investigations across the estate once it has been decanted and circa 450 holes are needed</w:t>
      </w:r>
      <w:r w:rsidR="00EC2D2F">
        <w:t xml:space="preserve"> in roads, drives and gardens, </w:t>
      </w:r>
      <w:r>
        <w:t xml:space="preserve"> and the </w:t>
      </w:r>
      <w:r w:rsidR="00EC2D2F">
        <w:t>estimated times</w:t>
      </w:r>
      <w:r>
        <w:t>cale</w:t>
      </w:r>
      <w:r w:rsidR="00EC2D2F">
        <w:t xml:space="preserve"> is</w:t>
      </w:r>
      <w:r>
        <w:t xml:space="preserve"> 10-12 months.  The lead in time for these works to start is subject to how long it will take to move people and could be 6 months or more.  </w:t>
      </w:r>
    </w:p>
    <w:p w:rsidR="009719C3" w:rsidRDefault="009719C3" w:rsidP="00FC5F03"/>
    <w:p w:rsidR="00E118BF" w:rsidRDefault="003C5236" w:rsidP="00FC5F03">
      <w:r>
        <w:t>3.</w:t>
      </w:r>
      <w:r w:rsidR="009436B7">
        <w:t>5</w:t>
      </w:r>
      <w:r>
        <w:tab/>
      </w:r>
      <w:r w:rsidR="00FC5F03" w:rsidRPr="0098196D">
        <w:rPr>
          <w:b/>
        </w:rPr>
        <w:t>Soakaways</w:t>
      </w:r>
    </w:p>
    <w:p w:rsidR="00E118BF" w:rsidRDefault="00E118BF" w:rsidP="00FC5F03"/>
    <w:p w:rsidR="00E118BF" w:rsidRDefault="00795BA2" w:rsidP="009C475C">
      <w:pPr>
        <w:ind w:left="709" w:hanging="709"/>
      </w:pPr>
      <w:r>
        <w:t>3.5.1</w:t>
      </w:r>
      <w:r>
        <w:tab/>
      </w:r>
      <w:r w:rsidR="009719C3">
        <w:t xml:space="preserve">As reported to Board at the last meeting, there are </w:t>
      </w:r>
      <w:r w:rsidR="00EC2D2F">
        <w:t xml:space="preserve">particular </w:t>
      </w:r>
      <w:r w:rsidR="009719C3">
        <w:t xml:space="preserve">risks associated with the provision of soakaway drainage on the site.  </w:t>
      </w:r>
      <w:r w:rsidR="00E118BF">
        <w:t>Soakaways were used in order to meet the LA’s planning requirement for drainage solutions which</w:t>
      </w:r>
      <w:r w:rsidR="00E118BF" w:rsidRPr="000D136B">
        <w:t xml:space="preserve"> </w:t>
      </w:r>
      <w:r w:rsidR="00E118BF">
        <w:t xml:space="preserve">reduce the risk of flooding, as well as meeting the requirements of Code For Sustainable Homes </w:t>
      </w:r>
      <w:r w:rsidR="00681ABE">
        <w:t>which is needed for G</w:t>
      </w:r>
      <w:r w:rsidR="00E118BF">
        <w:t xml:space="preserve">LA funding. Despite the RSK report advising that </w:t>
      </w:r>
      <w:r w:rsidR="00FE602F" w:rsidRPr="00FE602F">
        <w:rPr>
          <w:i/>
        </w:rPr>
        <w:t>“…the use of soakaways</w:t>
      </w:r>
      <w:r w:rsidR="00FE602F">
        <w:t xml:space="preserve"> sh</w:t>
      </w:r>
      <w:r w:rsidR="00E118BF" w:rsidRPr="00FE602F">
        <w:rPr>
          <w:i/>
        </w:rPr>
        <w:t>ould be avoided</w:t>
      </w:r>
      <w:r w:rsidR="00FE602F" w:rsidRPr="00FE602F">
        <w:rPr>
          <w:i/>
        </w:rPr>
        <w:t xml:space="preserve"> at the site”</w:t>
      </w:r>
      <w:r w:rsidR="00E118BF" w:rsidRPr="00FE602F">
        <w:rPr>
          <w:i/>
        </w:rPr>
        <w:t>,</w:t>
      </w:r>
      <w:r w:rsidR="00E118BF">
        <w:t xml:space="preserve"> the contractor and his drainage consultant </w:t>
      </w:r>
      <w:r w:rsidR="00681ABE">
        <w:t xml:space="preserve">have told us </w:t>
      </w:r>
      <w:r w:rsidR="00E118BF">
        <w:t xml:space="preserve">that RSK </w:t>
      </w:r>
      <w:r w:rsidR="00E118BF" w:rsidRPr="00E118BF">
        <w:rPr>
          <w:i/>
        </w:rPr>
        <w:t xml:space="preserve">were </w:t>
      </w:r>
      <w:r w:rsidR="00E118BF">
        <w:t>consulted and agreed to the use of deep-bore soakaways, however thi</w:t>
      </w:r>
      <w:r w:rsidR="00681ABE">
        <w:t>s has not been evidenced by either party.</w:t>
      </w:r>
      <w:r w:rsidR="00E118BF">
        <w:t xml:space="preserve">  </w:t>
      </w:r>
    </w:p>
    <w:p w:rsidR="00681ABE" w:rsidRDefault="00681ABE" w:rsidP="009C475C">
      <w:pPr>
        <w:ind w:left="709" w:hanging="709"/>
      </w:pPr>
    </w:p>
    <w:p w:rsidR="00681ABE" w:rsidRDefault="00681ABE" w:rsidP="009C475C">
      <w:pPr>
        <w:ind w:left="709" w:hanging="709"/>
      </w:pPr>
      <w:r>
        <w:t>3.5.3</w:t>
      </w:r>
      <w:r>
        <w:tab/>
        <w:t>We have carried out a review of all correspondence via site meeting minutes etc. and there was no follow up or concerns raised by the Employer’s Agent or our Project Manager, about the provision of soakaways.  Under the terms the contract which is a design and build contract; the Contractor is wholly responsible for all design solutions, and are effectively tasked with complying with the terms of the contract and ensuring compliance with building regulations, planning consent and securing sign-off from the LA Building Control and NHBC.  None of these consulted 3</w:t>
      </w:r>
      <w:r w:rsidRPr="00DB0D3C">
        <w:rPr>
          <w:vertAlign w:val="superscript"/>
        </w:rPr>
        <w:t>rd</w:t>
      </w:r>
      <w:r>
        <w:t xml:space="preserve"> parties raised any concern about the provision of soakaways.  A copy of the RSK report was definitely submitted to the LA as part of the planning condition sign-off process. </w:t>
      </w:r>
    </w:p>
    <w:p w:rsidR="00681ABE" w:rsidRDefault="00681ABE" w:rsidP="00681ABE"/>
    <w:p w:rsidR="00681ABE" w:rsidRDefault="00681ABE" w:rsidP="009C475C">
      <w:pPr>
        <w:ind w:left="709" w:hanging="709"/>
      </w:pPr>
      <w:r>
        <w:lastRenderedPageBreak/>
        <w:t>3.5.3</w:t>
      </w:r>
      <w:r>
        <w:tab/>
        <w:t>There clearly should have been more scrutiny of the content of this report by Hexagon staff, therefore, since this incident I have ensured that our New Business and Development staff review the site investigation reports and ensure all and any recommendations are confirmed by the contractor as being complied with as part of the design, and that this is followed through on-site.</w:t>
      </w:r>
    </w:p>
    <w:p w:rsidR="00681ABE" w:rsidRDefault="00681ABE" w:rsidP="009C475C">
      <w:pPr>
        <w:ind w:left="709" w:hanging="709"/>
      </w:pPr>
    </w:p>
    <w:p w:rsidR="00681ABE" w:rsidRDefault="00E118BF" w:rsidP="009C475C">
      <w:pPr>
        <w:ind w:left="709" w:hanging="709"/>
      </w:pPr>
      <w:r>
        <w:t>3.5.</w:t>
      </w:r>
      <w:r w:rsidR="00795BA2">
        <w:t>2</w:t>
      </w:r>
      <w:r>
        <w:tab/>
      </w:r>
      <w:r w:rsidR="00681ABE">
        <w:t xml:space="preserve">The independent expert commissioned by Devonshires is also reviewing the use of soakaways on the site in the context of the RSK report.  </w:t>
      </w:r>
    </w:p>
    <w:p w:rsidR="00681ABE" w:rsidRDefault="00681ABE" w:rsidP="009C475C">
      <w:pPr>
        <w:ind w:left="709" w:hanging="709"/>
      </w:pPr>
    </w:p>
    <w:p w:rsidR="00E118BF" w:rsidRDefault="00681ABE" w:rsidP="009C475C">
      <w:pPr>
        <w:ind w:left="709" w:hanging="709"/>
      </w:pPr>
      <w:r>
        <w:t>3.5.3</w:t>
      </w:r>
      <w:r>
        <w:tab/>
      </w:r>
      <w:r w:rsidR="003C5236">
        <w:t xml:space="preserve">We have employed </w:t>
      </w:r>
      <w:r w:rsidR="00E118BF">
        <w:t xml:space="preserve">a </w:t>
      </w:r>
      <w:r w:rsidR="00FC5F03">
        <w:t>drainage expert from PBA to review the soakaway provision and identify an alternative drainage solution</w:t>
      </w:r>
      <w:r w:rsidR="00E118BF">
        <w:t xml:space="preserve"> for the site</w:t>
      </w:r>
      <w:r w:rsidR="00FC5F03">
        <w:t xml:space="preserve">.  </w:t>
      </w:r>
      <w:r w:rsidR="00E118BF">
        <w:t>They are currently in discussions with Thames Water.</w:t>
      </w:r>
    </w:p>
    <w:p w:rsidR="00E118BF" w:rsidRDefault="00E118BF" w:rsidP="00E118BF"/>
    <w:p w:rsidR="003C5236" w:rsidRPr="009C475C" w:rsidRDefault="009436B7" w:rsidP="00FC5F03">
      <w:pPr>
        <w:rPr>
          <w:b/>
          <w:i/>
          <w:sz w:val="28"/>
        </w:rPr>
      </w:pPr>
      <w:r w:rsidRPr="009C475C">
        <w:rPr>
          <w:b/>
          <w:i/>
          <w:sz w:val="28"/>
        </w:rPr>
        <w:t>4</w:t>
      </w:r>
      <w:r w:rsidR="003C5236" w:rsidRPr="009C475C">
        <w:rPr>
          <w:b/>
          <w:i/>
          <w:sz w:val="28"/>
        </w:rPr>
        <w:t>.0</w:t>
      </w:r>
      <w:r w:rsidR="003C5236" w:rsidRPr="009C475C">
        <w:rPr>
          <w:b/>
          <w:i/>
          <w:sz w:val="28"/>
        </w:rPr>
        <w:tab/>
      </w:r>
      <w:r w:rsidR="00FC5F03" w:rsidRPr="009C475C">
        <w:rPr>
          <w:b/>
          <w:i/>
          <w:sz w:val="28"/>
        </w:rPr>
        <w:t xml:space="preserve">Communications </w:t>
      </w:r>
      <w:r w:rsidR="003C5236" w:rsidRPr="009C475C">
        <w:rPr>
          <w:b/>
          <w:i/>
          <w:sz w:val="28"/>
        </w:rPr>
        <w:t>&amp; PR</w:t>
      </w:r>
    </w:p>
    <w:p w:rsidR="003C5236" w:rsidRDefault="003C5236" w:rsidP="00FC5F03"/>
    <w:p w:rsidR="00FC5F03" w:rsidRDefault="009436B7" w:rsidP="009C475C">
      <w:pPr>
        <w:ind w:left="709" w:hanging="709"/>
      </w:pPr>
      <w:r>
        <w:t>4</w:t>
      </w:r>
      <w:r w:rsidR="003C5236">
        <w:t>.1</w:t>
      </w:r>
      <w:r w:rsidR="003C5236">
        <w:tab/>
      </w:r>
      <w:r w:rsidR="00FC5F03">
        <w:t>We have informed all of our key stakeholders of the situation – LA Chief executive and staff, local councillors</w:t>
      </w:r>
      <w:r w:rsidR="009719C3">
        <w:t xml:space="preserve">, HCA </w:t>
      </w:r>
      <w:r w:rsidR="00FC5F03">
        <w:t>and the GLA, and staff have also been briefed.</w:t>
      </w:r>
      <w:r w:rsidR="003C5236">
        <w:t xml:space="preserve"> </w:t>
      </w:r>
      <w:r w:rsidR="00724FC6">
        <w:t>A f</w:t>
      </w:r>
      <w:r w:rsidR="003C5236">
        <w:t>ollow up meeting with local councillor</w:t>
      </w:r>
      <w:r w:rsidR="00C112B5">
        <w:t>s</w:t>
      </w:r>
      <w:r w:rsidR="003C5236">
        <w:t xml:space="preserve"> Angela Conforth and </w:t>
      </w:r>
      <w:r w:rsidR="003C5236" w:rsidRPr="00C112B5">
        <w:t xml:space="preserve">Avril </w:t>
      </w:r>
      <w:r w:rsidR="00C112B5" w:rsidRPr="00C112B5">
        <w:t>Lekau</w:t>
      </w:r>
      <w:r w:rsidR="00724FC6">
        <w:t xml:space="preserve"> has taken place and further meetings with </w:t>
      </w:r>
      <w:r w:rsidR="003C5236">
        <w:t>the Head of Housing</w:t>
      </w:r>
      <w:r w:rsidR="00724FC6">
        <w:t>;</w:t>
      </w:r>
      <w:r w:rsidR="003C5236">
        <w:t xml:space="preserve"> John O’Malley </w:t>
      </w:r>
      <w:r w:rsidR="00724FC6">
        <w:t>as well as the Leader of the Council and the Council CEO are planned in the coming weeks.  Relationships with the Council remain positive and supportive of our approach.</w:t>
      </w:r>
    </w:p>
    <w:p w:rsidR="00FC5F03" w:rsidRDefault="00FC5F03" w:rsidP="009C475C">
      <w:pPr>
        <w:ind w:left="709" w:hanging="709"/>
      </w:pPr>
    </w:p>
    <w:p w:rsidR="00FC5F03" w:rsidRDefault="009436B7" w:rsidP="009C475C">
      <w:pPr>
        <w:ind w:left="709" w:hanging="709"/>
      </w:pPr>
      <w:r>
        <w:t>4</w:t>
      </w:r>
      <w:r w:rsidR="003C5236">
        <w:t>.2</w:t>
      </w:r>
      <w:r w:rsidR="00FC5F03">
        <w:tab/>
      </w:r>
      <w:r w:rsidR="003C5236">
        <w:rPr>
          <w:b/>
        </w:rPr>
        <w:t>‘</w:t>
      </w:r>
      <w:r w:rsidR="00FC5F03">
        <w:t>Social Communications</w:t>
      </w:r>
      <w:r w:rsidR="003C5236">
        <w:t>’</w:t>
      </w:r>
      <w:r w:rsidR="00FC5F03">
        <w:t xml:space="preserve"> (Ben Ruse) </w:t>
      </w:r>
      <w:r w:rsidR="009719C3">
        <w:t xml:space="preserve">is </w:t>
      </w:r>
      <w:r w:rsidR="00FC5F03">
        <w:t xml:space="preserve">the key point of contact for any press queries.  </w:t>
      </w:r>
      <w:r w:rsidR="009719C3">
        <w:t>There were two articles published (Newshopper and South London Press), to which a comment from</w:t>
      </w:r>
      <w:r w:rsidR="00724FC6">
        <w:t xml:space="preserve"> the CE </w:t>
      </w:r>
      <w:r w:rsidR="009719C3">
        <w:t xml:space="preserve">was provided.  The articles were not negative and reflected the actions being taken whilst drastic were in the best interests of residents. </w:t>
      </w:r>
      <w:r w:rsidR="00FC5F03">
        <w:t>The risk of negative PR arising from having to decant residents is captured on the risk map.</w:t>
      </w:r>
    </w:p>
    <w:p w:rsidR="009719C3" w:rsidRDefault="009719C3" w:rsidP="009C475C">
      <w:pPr>
        <w:ind w:left="709" w:hanging="709"/>
      </w:pPr>
    </w:p>
    <w:p w:rsidR="009719C3" w:rsidRDefault="009436B7" w:rsidP="009C475C">
      <w:pPr>
        <w:ind w:left="709" w:hanging="709"/>
      </w:pPr>
      <w:r>
        <w:t>4</w:t>
      </w:r>
      <w:r w:rsidR="003C5236">
        <w:t>.3</w:t>
      </w:r>
      <w:r w:rsidR="009719C3">
        <w:tab/>
      </w:r>
      <w:r w:rsidR="003C5236">
        <w:t xml:space="preserve">Local historian </w:t>
      </w:r>
      <w:r w:rsidR="009719C3">
        <w:t xml:space="preserve">Dominic Clinton </w:t>
      </w:r>
      <w:r w:rsidR="003C5236">
        <w:t xml:space="preserve">(who was very active in his reporting following the collapse in May) </w:t>
      </w:r>
      <w:r w:rsidR="009719C3">
        <w:t>has updated his website following news of the decant.  We responded as best we could to hi</w:t>
      </w:r>
      <w:r w:rsidR="00357287">
        <w:t xml:space="preserve">s request for information, but </w:t>
      </w:r>
      <w:r w:rsidR="009719C3">
        <w:t>he was not happy that we cannot share the full PBA report</w:t>
      </w:r>
      <w:r w:rsidR="00724FC6">
        <w:t xml:space="preserve"> with him</w:t>
      </w:r>
      <w:r w:rsidR="009719C3">
        <w:t xml:space="preserve"> (for legal reasons) and has reported this negatively on his site.</w:t>
      </w:r>
      <w:r w:rsidR="00724FC6">
        <w:t xml:space="preserve">  We will continue to engage with him and keep him informed.</w:t>
      </w:r>
    </w:p>
    <w:p w:rsidR="00FC5F03" w:rsidRDefault="00FC5F03" w:rsidP="00FC5F03">
      <w:pPr>
        <w:pStyle w:val="ListParagraph"/>
        <w:ind w:left="1440" w:hanging="360"/>
        <w:rPr>
          <w:rFonts w:ascii="Times New Roman" w:hAnsi="Times New Roman"/>
          <w:sz w:val="14"/>
          <w:szCs w:val="14"/>
        </w:rPr>
      </w:pPr>
    </w:p>
    <w:p w:rsidR="00EC2D2F" w:rsidRPr="009C475C" w:rsidRDefault="009436B7" w:rsidP="00FC5F03">
      <w:pPr>
        <w:rPr>
          <w:b/>
          <w:i/>
          <w:sz w:val="28"/>
        </w:rPr>
      </w:pPr>
      <w:r w:rsidRPr="009C475C">
        <w:rPr>
          <w:b/>
          <w:i/>
          <w:sz w:val="28"/>
        </w:rPr>
        <w:t>5</w:t>
      </w:r>
      <w:r w:rsidR="003C5236" w:rsidRPr="009C475C">
        <w:rPr>
          <w:b/>
          <w:i/>
          <w:sz w:val="28"/>
        </w:rPr>
        <w:t>.0</w:t>
      </w:r>
      <w:r w:rsidR="003C5236" w:rsidRPr="009C475C">
        <w:rPr>
          <w:b/>
          <w:i/>
          <w:sz w:val="28"/>
        </w:rPr>
        <w:tab/>
        <w:t>C</w:t>
      </w:r>
      <w:r w:rsidR="00FC5F03" w:rsidRPr="009C475C">
        <w:rPr>
          <w:b/>
          <w:i/>
          <w:sz w:val="28"/>
        </w:rPr>
        <w:t xml:space="preserve">osts </w:t>
      </w:r>
    </w:p>
    <w:p w:rsidR="00724FC6" w:rsidRDefault="00724FC6" w:rsidP="00FC5F03"/>
    <w:p w:rsidR="001A2E57" w:rsidRPr="00B66066" w:rsidRDefault="009436B7" w:rsidP="009C475C">
      <w:pPr>
        <w:ind w:left="709" w:hanging="709"/>
      </w:pPr>
      <w:r>
        <w:t>5</w:t>
      </w:r>
      <w:r w:rsidR="00EC2D2F">
        <w:t>.1</w:t>
      </w:r>
      <w:r w:rsidR="00EC2D2F">
        <w:tab/>
      </w:r>
      <w:r w:rsidR="00FC5F03">
        <w:t xml:space="preserve">Investigation and works spend to date </w:t>
      </w:r>
      <w:r w:rsidR="007745EB" w:rsidRPr="00B66066">
        <w:t xml:space="preserve">(As at </w:t>
      </w:r>
      <w:r w:rsidR="00B66066">
        <w:t>mid Nov)</w:t>
      </w:r>
      <w:r w:rsidR="00672046">
        <w:t xml:space="preserve"> </w:t>
      </w:r>
      <w:r w:rsidR="00FC5F03" w:rsidRPr="00B66066">
        <w:t>is circa £</w:t>
      </w:r>
      <w:r w:rsidR="005817C4" w:rsidRPr="00B66066">
        <w:t>6</w:t>
      </w:r>
      <w:r w:rsidR="00FC5F03" w:rsidRPr="00B66066">
        <w:t xml:space="preserve">00k (of which </w:t>
      </w:r>
      <w:r w:rsidR="00885617" w:rsidRPr="00B66066">
        <w:t>approx.</w:t>
      </w:r>
      <w:r w:rsidR="00FE602F">
        <w:t xml:space="preserve"> </w:t>
      </w:r>
      <w:r w:rsidR="005817C4" w:rsidRPr="00B66066">
        <w:t>£</w:t>
      </w:r>
      <w:r w:rsidR="00885617" w:rsidRPr="00B66066">
        <w:t>320</w:t>
      </w:r>
      <w:r w:rsidR="00FC5F03" w:rsidRPr="00B66066">
        <w:t>k</w:t>
      </w:r>
      <w:r w:rsidR="00885617" w:rsidRPr="00B66066">
        <w:t xml:space="preserve"> has been reimbursed by the </w:t>
      </w:r>
      <w:r w:rsidR="00332B2B" w:rsidRPr="00B66066">
        <w:t>insurers</w:t>
      </w:r>
      <w:r w:rsidR="00FC5F03" w:rsidRPr="00B66066">
        <w:t xml:space="preserve">.  </w:t>
      </w:r>
      <w:r w:rsidR="001A2E57">
        <w:t>No further reimbursement for investigations or works is expected.</w:t>
      </w:r>
    </w:p>
    <w:p w:rsidR="001A2E57" w:rsidRDefault="001A2E57" w:rsidP="009C475C">
      <w:pPr>
        <w:ind w:left="709" w:hanging="709"/>
      </w:pPr>
    </w:p>
    <w:p w:rsidR="00885617" w:rsidRDefault="00885617" w:rsidP="009C475C">
      <w:pPr>
        <w:ind w:left="709" w:hanging="709"/>
      </w:pPr>
      <w:r w:rsidRPr="00B66066">
        <w:t>5.2</w:t>
      </w:r>
      <w:r w:rsidRPr="00B66066">
        <w:tab/>
        <w:t xml:space="preserve">Decanting related costs incurred to date </w:t>
      </w:r>
      <w:r w:rsidR="00B66066" w:rsidRPr="00B66066">
        <w:t xml:space="preserve">are circa £50k, </w:t>
      </w:r>
      <w:r w:rsidR="00672046">
        <w:t xml:space="preserve">most </w:t>
      </w:r>
      <w:r w:rsidR="00B66066" w:rsidRPr="00B66066">
        <w:t>of which is presumed to be covered by insurance.</w:t>
      </w:r>
    </w:p>
    <w:p w:rsidR="009C475C" w:rsidRDefault="009C475C">
      <w:pPr>
        <w:spacing w:after="200" w:line="276" w:lineRule="auto"/>
      </w:pPr>
      <w:r>
        <w:br w:type="page"/>
      </w:r>
    </w:p>
    <w:p w:rsidR="001A2E57" w:rsidRDefault="001A2E57" w:rsidP="009C475C">
      <w:pPr>
        <w:ind w:left="709" w:hanging="709"/>
      </w:pPr>
    </w:p>
    <w:p w:rsidR="002250FF" w:rsidRDefault="00B66066" w:rsidP="009C475C">
      <w:pPr>
        <w:ind w:left="709" w:hanging="709"/>
      </w:pPr>
      <w:r w:rsidRPr="00B66066">
        <w:t>5.3</w:t>
      </w:r>
      <w:r w:rsidRPr="00B66066">
        <w:tab/>
      </w:r>
      <w:r w:rsidR="00FC5F03" w:rsidRPr="00B66066">
        <w:t xml:space="preserve">The cashflow has been revised to accommodate the likely costs involved </w:t>
      </w:r>
      <w:r w:rsidRPr="00B66066">
        <w:t xml:space="preserve">in the </w:t>
      </w:r>
      <w:r w:rsidR="00FE602F">
        <w:t xml:space="preserve">completing the project </w:t>
      </w:r>
      <w:r w:rsidR="00FE602F" w:rsidRPr="00B66066">
        <w:t xml:space="preserve">over the next 12-24 months </w:t>
      </w:r>
      <w:r w:rsidR="00FE602F">
        <w:t xml:space="preserve">i.e. </w:t>
      </w:r>
      <w:r w:rsidR="00A2365B">
        <w:t xml:space="preserve">additional staffing, </w:t>
      </w:r>
      <w:r w:rsidR="00332B2B" w:rsidRPr="00B66066">
        <w:t xml:space="preserve">decanting, </w:t>
      </w:r>
      <w:r w:rsidR="00FE602F">
        <w:t>i</w:t>
      </w:r>
      <w:r w:rsidR="00FC5F03" w:rsidRPr="00B66066">
        <w:t>nvestigations,</w:t>
      </w:r>
      <w:r w:rsidR="00332B2B" w:rsidRPr="00B66066">
        <w:t xml:space="preserve"> works, security, legal advice </w:t>
      </w:r>
      <w:r w:rsidR="00672046">
        <w:t xml:space="preserve">PR/Coms </w:t>
      </w:r>
      <w:r w:rsidR="00FE602F">
        <w:t>etc.).  Th</w:t>
      </w:r>
      <w:r w:rsidR="00D94194">
        <w:t xml:space="preserve">e cost is estimated at </w:t>
      </w:r>
      <w:r w:rsidR="00EC2D2F" w:rsidRPr="00B66066">
        <w:t>£</w:t>
      </w:r>
      <w:r w:rsidRPr="00B66066">
        <w:t>3.5m</w:t>
      </w:r>
      <w:r w:rsidR="00D94194">
        <w:t xml:space="preserve">.  </w:t>
      </w:r>
      <w:r w:rsidR="002250FF">
        <w:t>This estimate can be firmed</w:t>
      </w:r>
      <w:r w:rsidR="000B4572">
        <w:t xml:space="preserve"> up once the tender is returned (Feb / March 2017).</w:t>
      </w:r>
    </w:p>
    <w:p w:rsidR="002250FF" w:rsidRDefault="002250FF" w:rsidP="00FC5F03"/>
    <w:p w:rsidR="00FC5F03" w:rsidRDefault="000B4572" w:rsidP="009C475C">
      <w:pPr>
        <w:ind w:left="709" w:hanging="709"/>
      </w:pPr>
      <w:r>
        <w:t>5.4</w:t>
      </w:r>
      <w:r>
        <w:tab/>
      </w:r>
      <w:r w:rsidR="00D94194">
        <w:t>In addition</w:t>
      </w:r>
      <w:r w:rsidR="0022108D">
        <w:t>,</w:t>
      </w:r>
      <w:r w:rsidR="00D94194">
        <w:t xml:space="preserve"> we </w:t>
      </w:r>
      <w:r w:rsidR="002250FF">
        <w:t xml:space="preserve">have put forward a </w:t>
      </w:r>
      <w:r w:rsidR="00D94194">
        <w:t>propos</w:t>
      </w:r>
      <w:r w:rsidR="002250FF">
        <w:t xml:space="preserve">al </w:t>
      </w:r>
      <w:r w:rsidR="00A2365B">
        <w:t xml:space="preserve">to Board </w:t>
      </w:r>
      <w:r w:rsidR="00D94194">
        <w:t xml:space="preserve">to spend </w:t>
      </w:r>
      <w:r w:rsidR="00FE602F">
        <w:t>£5</w:t>
      </w:r>
      <w:r w:rsidR="0022108D">
        <w:t>.2</w:t>
      </w:r>
      <w:r w:rsidR="00FE602F">
        <w:t xml:space="preserve">m </w:t>
      </w:r>
      <w:r w:rsidR="00FE602F" w:rsidRPr="0022108D">
        <w:rPr>
          <w:i/>
        </w:rPr>
        <w:t>net</w:t>
      </w:r>
      <w:r w:rsidR="00FE602F">
        <w:t xml:space="preserve"> </w:t>
      </w:r>
      <w:r w:rsidR="0022108D">
        <w:t xml:space="preserve">in </w:t>
      </w:r>
      <w:r w:rsidR="00B66066" w:rsidRPr="00B66066">
        <w:t xml:space="preserve">purchasing 20 </w:t>
      </w:r>
      <w:r w:rsidR="00B66066">
        <w:t xml:space="preserve">grant funded </w:t>
      </w:r>
      <w:r w:rsidR="00B66066" w:rsidRPr="00B66066">
        <w:t>street properties</w:t>
      </w:r>
      <w:r w:rsidR="0022108D">
        <w:t xml:space="preserve"> (Please</w:t>
      </w:r>
      <w:r w:rsidR="00B66066" w:rsidRPr="00B66066">
        <w:t xml:space="preserve"> see other report on the agenda)</w:t>
      </w:r>
      <w:r>
        <w:t>.</w:t>
      </w:r>
    </w:p>
    <w:p w:rsidR="00FC5F03" w:rsidRDefault="00FC5F03" w:rsidP="009C475C">
      <w:pPr>
        <w:ind w:left="709" w:hanging="709"/>
      </w:pPr>
    </w:p>
    <w:p w:rsidR="00FC5F03" w:rsidRDefault="009436B7" w:rsidP="009C475C">
      <w:pPr>
        <w:ind w:left="709" w:hanging="709"/>
      </w:pPr>
      <w:r>
        <w:t>5</w:t>
      </w:r>
      <w:r w:rsidR="00C112B5">
        <w:t>.</w:t>
      </w:r>
      <w:r w:rsidR="000B4572">
        <w:t>5</w:t>
      </w:r>
      <w:r w:rsidR="003C5236">
        <w:tab/>
      </w:r>
      <w:r w:rsidR="00332B2B">
        <w:t xml:space="preserve">The F&amp;ITD </w:t>
      </w:r>
      <w:r w:rsidR="00FC5F03">
        <w:t xml:space="preserve">has established that a </w:t>
      </w:r>
      <w:r w:rsidR="00E557E0">
        <w:t>worst case</w:t>
      </w:r>
      <w:r w:rsidR="00FC5F03">
        <w:t xml:space="preserve"> scenario can be accommodated without breaking covenants. The worst case being </w:t>
      </w:r>
      <w:r w:rsidR="00FE602F">
        <w:t>the site is decanted, but investigations indicate that it is not viable to repair, leading to demolition and permanent rehousing for the residents.</w:t>
      </w:r>
      <w:r w:rsidR="002250FF">
        <w:t xml:space="preserve">  The Board have been previously advised that any net expenditure that exceeded £6.4m would be too </w:t>
      </w:r>
      <w:r w:rsidR="007928CD">
        <w:t>much for us to spend.</w:t>
      </w:r>
    </w:p>
    <w:p w:rsidR="007928CD" w:rsidRDefault="007928CD" w:rsidP="00C112B5"/>
    <w:p w:rsidR="00C112B5" w:rsidRPr="009C475C" w:rsidRDefault="009436B7" w:rsidP="00C112B5">
      <w:pPr>
        <w:rPr>
          <w:b/>
          <w:i/>
          <w:sz w:val="28"/>
        </w:rPr>
      </w:pPr>
      <w:r w:rsidRPr="009C475C">
        <w:rPr>
          <w:b/>
          <w:i/>
          <w:sz w:val="28"/>
        </w:rPr>
        <w:t>6</w:t>
      </w:r>
      <w:r w:rsidR="00C112B5" w:rsidRPr="009C475C">
        <w:rPr>
          <w:b/>
          <w:i/>
          <w:sz w:val="28"/>
        </w:rPr>
        <w:t>.0</w:t>
      </w:r>
      <w:r w:rsidR="00C112B5" w:rsidRPr="009C475C">
        <w:rPr>
          <w:b/>
          <w:i/>
          <w:sz w:val="28"/>
        </w:rPr>
        <w:tab/>
        <w:t>Legal Action (</w:t>
      </w:r>
      <w:r w:rsidR="007928CD" w:rsidRPr="009C475C">
        <w:rPr>
          <w:b/>
          <w:i/>
          <w:sz w:val="28"/>
        </w:rPr>
        <w:t xml:space="preserve">Cost </w:t>
      </w:r>
      <w:r w:rsidR="00C112B5" w:rsidRPr="009C475C">
        <w:rPr>
          <w:b/>
          <w:i/>
          <w:sz w:val="28"/>
        </w:rPr>
        <w:t>Recovery)</w:t>
      </w:r>
    </w:p>
    <w:p w:rsidR="00C112B5" w:rsidRDefault="00C112B5" w:rsidP="00C112B5"/>
    <w:p w:rsidR="00C114F6" w:rsidRDefault="009436B7" w:rsidP="009C475C">
      <w:pPr>
        <w:autoSpaceDE w:val="0"/>
        <w:autoSpaceDN w:val="0"/>
        <w:adjustRightInd w:val="0"/>
        <w:ind w:left="709" w:hanging="709"/>
      </w:pPr>
      <w:r>
        <w:t>6</w:t>
      </w:r>
      <w:r w:rsidR="00C112B5">
        <w:t>.1</w:t>
      </w:r>
      <w:r w:rsidR="00C112B5">
        <w:tab/>
        <w:t xml:space="preserve">Devonshires have jointly appointed (with the insurer’s solicitors) an independent Geotechnical expert </w:t>
      </w:r>
      <w:r w:rsidR="0098156A">
        <w:t>(Dr J</w:t>
      </w:r>
      <w:r w:rsidR="00314824">
        <w:t xml:space="preserve">erry Love) </w:t>
      </w:r>
      <w:r w:rsidR="00C112B5">
        <w:t xml:space="preserve">who will assess extent of liability with Skillcrown and / or RSK.  </w:t>
      </w:r>
      <w:r w:rsidR="0098156A">
        <w:t xml:space="preserve">Dr Love is a Senior Partner with GCG </w:t>
      </w:r>
      <w:r w:rsidR="00C114F6">
        <w:t xml:space="preserve">(Geotechnical Consulting Group).  His areas of expertise are </w:t>
      </w:r>
      <w:r w:rsidR="00C114F6" w:rsidRPr="00C114F6">
        <w:t>Ground investigation, ground improvement, deep excavations, piling, retaining walls,</w:t>
      </w:r>
      <w:r w:rsidR="00C114F6">
        <w:t xml:space="preserve"> </w:t>
      </w:r>
      <w:r w:rsidR="00C114F6" w:rsidRPr="00C114F6">
        <w:t>earthworks, foundations, underpinning, drainage, subsidence, grouting, slope stability,</w:t>
      </w:r>
      <w:r w:rsidR="00C114F6">
        <w:t xml:space="preserve"> </w:t>
      </w:r>
      <w:r w:rsidR="00C114F6" w:rsidRPr="00C114F6">
        <w:t>embankments over soft soil, pipelines, reinforced soil, soil nailing, horizontal directional</w:t>
      </w:r>
      <w:r w:rsidR="00C114F6">
        <w:t xml:space="preserve"> </w:t>
      </w:r>
      <w:r w:rsidR="00C114F6" w:rsidRPr="00C114F6">
        <w:t>drilling, reservoirs, pavements, tree root damage.</w:t>
      </w:r>
      <w:r w:rsidR="00C114F6">
        <w:t xml:space="preserve"> </w:t>
      </w:r>
    </w:p>
    <w:p w:rsidR="00571CE4" w:rsidRDefault="00571CE4" w:rsidP="009C475C">
      <w:pPr>
        <w:ind w:left="709" w:hanging="709"/>
      </w:pPr>
    </w:p>
    <w:p w:rsidR="00972394" w:rsidRDefault="00972394" w:rsidP="009C475C">
      <w:pPr>
        <w:ind w:left="709" w:hanging="709"/>
      </w:pPr>
      <w:r>
        <w:t>6.2</w:t>
      </w:r>
      <w:r>
        <w:tab/>
        <w:t xml:space="preserve">Initial </w:t>
      </w:r>
      <w:r w:rsidRPr="00972394">
        <w:rPr>
          <w:i/>
        </w:rPr>
        <w:t xml:space="preserve">verbal </w:t>
      </w:r>
      <w:r>
        <w:t>feedback from Dr Love indicates that he thinks there is a case to answer  with regard to the extent of investigations commissioned by RSK.  We will know what action to take once he has reported back on his findings.  This is expected by 2</w:t>
      </w:r>
      <w:r w:rsidRPr="00972394">
        <w:rPr>
          <w:vertAlign w:val="superscript"/>
        </w:rPr>
        <w:t>nd</w:t>
      </w:r>
      <w:r>
        <w:t xml:space="preserve"> December.</w:t>
      </w:r>
    </w:p>
    <w:p w:rsidR="00972394" w:rsidRDefault="00972394" w:rsidP="009C475C">
      <w:pPr>
        <w:ind w:left="709" w:hanging="709"/>
      </w:pPr>
    </w:p>
    <w:p w:rsidR="00C112B5" w:rsidRDefault="009436B7" w:rsidP="009C475C">
      <w:pPr>
        <w:ind w:left="709" w:hanging="709"/>
      </w:pPr>
      <w:r>
        <w:t>6</w:t>
      </w:r>
      <w:r w:rsidR="00972394">
        <w:t>.3</w:t>
      </w:r>
      <w:r w:rsidR="00C112B5">
        <w:tab/>
        <w:t xml:space="preserve">We have established that Skillcrown’s Professional Indemnity insurance on this project (which should be maintained) was at £10m.  </w:t>
      </w:r>
    </w:p>
    <w:p w:rsidR="00C112B5" w:rsidRDefault="00C112B5" w:rsidP="009C475C">
      <w:pPr>
        <w:ind w:left="709" w:hanging="709"/>
      </w:pPr>
    </w:p>
    <w:p w:rsidR="00C112B5" w:rsidRDefault="009436B7" w:rsidP="009C475C">
      <w:pPr>
        <w:ind w:left="709" w:hanging="709"/>
      </w:pPr>
      <w:r>
        <w:t>6</w:t>
      </w:r>
      <w:r w:rsidR="00C112B5">
        <w:t>.</w:t>
      </w:r>
      <w:r w:rsidR="00972394">
        <w:t>4</w:t>
      </w:r>
      <w:r w:rsidR="00C112B5">
        <w:tab/>
        <w:t>RSK’s indemnity limit as part of their appointment by Skillcrown was £1m, however, Devonshires have advised us that as Hexagon were not party to the RSK appointment the £1m limit does not apply to any action we may pursue</w:t>
      </w:r>
      <w:r w:rsidR="00C114F6">
        <w:t xml:space="preserve"> against them</w:t>
      </w:r>
      <w:r w:rsidR="00C112B5">
        <w:t>.</w:t>
      </w:r>
    </w:p>
    <w:p w:rsidR="00FC5F03" w:rsidRPr="00BE757B" w:rsidRDefault="00FC5F03" w:rsidP="009C475C">
      <w:pPr>
        <w:ind w:left="709" w:hanging="709"/>
      </w:pPr>
    </w:p>
    <w:p w:rsidR="003C5236" w:rsidRPr="009C475C" w:rsidRDefault="009436B7" w:rsidP="00456CD0">
      <w:pPr>
        <w:rPr>
          <w:b/>
          <w:i/>
          <w:sz w:val="28"/>
          <w:szCs w:val="28"/>
        </w:rPr>
      </w:pPr>
      <w:r w:rsidRPr="009C475C">
        <w:rPr>
          <w:b/>
          <w:i/>
          <w:sz w:val="28"/>
          <w:szCs w:val="28"/>
        </w:rPr>
        <w:t>7</w:t>
      </w:r>
      <w:r w:rsidR="00F84A3E" w:rsidRPr="009C475C">
        <w:rPr>
          <w:b/>
          <w:i/>
          <w:sz w:val="28"/>
          <w:szCs w:val="28"/>
        </w:rPr>
        <w:t>.</w:t>
      </w:r>
      <w:r w:rsidR="003C5236" w:rsidRPr="009C475C">
        <w:rPr>
          <w:b/>
          <w:i/>
          <w:sz w:val="28"/>
          <w:szCs w:val="28"/>
        </w:rPr>
        <w:t>0</w:t>
      </w:r>
      <w:r w:rsidR="00983099" w:rsidRPr="009C475C">
        <w:rPr>
          <w:b/>
          <w:i/>
          <w:sz w:val="28"/>
          <w:szCs w:val="28"/>
        </w:rPr>
        <w:tab/>
      </w:r>
      <w:r w:rsidR="003C5236" w:rsidRPr="009C475C">
        <w:rPr>
          <w:b/>
          <w:i/>
          <w:sz w:val="28"/>
          <w:szCs w:val="28"/>
        </w:rPr>
        <w:t>Risks</w:t>
      </w:r>
    </w:p>
    <w:p w:rsidR="003C5236" w:rsidRDefault="003C5236" w:rsidP="00456CD0"/>
    <w:p w:rsidR="00983099" w:rsidRDefault="009436B7" w:rsidP="009C475C">
      <w:pPr>
        <w:ind w:left="709" w:hanging="709"/>
      </w:pPr>
      <w:r>
        <w:t>7</w:t>
      </w:r>
      <w:r w:rsidR="00EC2D2F">
        <w:t>.</w:t>
      </w:r>
      <w:r w:rsidR="00332B2B">
        <w:t>1</w:t>
      </w:r>
      <w:r w:rsidR="00EC2D2F">
        <w:tab/>
      </w:r>
      <w:r w:rsidR="00487D72">
        <w:t>Some of t</w:t>
      </w:r>
      <w:r w:rsidR="00983099">
        <w:t>he risk</w:t>
      </w:r>
      <w:r w:rsidR="00EC2D2F">
        <w:t>s</w:t>
      </w:r>
      <w:r w:rsidR="00983099">
        <w:t xml:space="preserve"> associated with this event are now the highest scoring on our risk map</w:t>
      </w:r>
      <w:r w:rsidR="00487D72">
        <w:t xml:space="preserve"> and have been reported to the latest Audit and Risk Committee meeting.</w:t>
      </w:r>
    </w:p>
    <w:p w:rsidR="00487D72" w:rsidRDefault="00487D72">
      <w:pPr>
        <w:spacing w:after="200" w:line="276" w:lineRule="auto"/>
      </w:pPr>
      <w:r>
        <w:br w:type="page"/>
      </w:r>
    </w:p>
    <w:p w:rsidR="00487D72" w:rsidRDefault="00487D72" w:rsidP="00456CD0">
      <w:pPr>
        <w:sectPr w:rsidR="00487D72" w:rsidSect="00D65F60">
          <w:footerReference w:type="default" r:id="rId9"/>
          <w:pgSz w:w="11906" w:h="16838"/>
          <w:pgMar w:top="1440" w:right="1440" w:bottom="1440" w:left="1440" w:header="708" w:footer="708" w:gutter="0"/>
          <w:cols w:space="708"/>
          <w:docGrid w:linePitch="360"/>
        </w:sectPr>
      </w:pPr>
    </w:p>
    <w:p w:rsidR="00487D72" w:rsidRDefault="00332B2B" w:rsidP="00456CD0">
      <w:r>
        <w:lastRenderedPageBreak/>
        <w:t>8.2</w:t>
      </w:r>
      <w:r>
        <w:tab/>
      </w:r>
      <w:r w:rsidR="00747B37">
        <w:t>Latest Risk assessments (from Risk Maps) are set out below:-</w:t>
      </w:r>
    </w:p>
    <w:p w:rsidR="00747B37" w:rsidRPr="00BE757B" w:rsidRDefault="00747B37" w:rsidP="00456CD0"/>
    <w:tbl>
      <w:tblPr>
        <w:tblW w:w="1573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531"/>
        <w:gridCol w:w="805"/>
        <w:gridCol w:w="1395"/>
        <w:gridCol w:w="1250"/>
        <w:gridCol w:w="795"/>
        <w:gridCol w:w="1684"/>
        <w:gridCol w:w="1039"/>
        <w:gridCol w:w="804"/>
        <w:gridCol w:w="1754"/>
        <w:gridCol w:w="1417"/>
        <w:gridCol w:w="1133"/>
      </w:tblGrid>
      <w:tr w:rsidR="00747B37" w:rsidRPr="00487D72" w:rsidTr="009C475C">
        <w:trPr>
          <w:trHeight w:val="1132"/>
        </w:trPr>
        <w:tc>
          <w:tcPr>
            <w:tcW w:w="2127" w:type="dxa"/>
            <w:shd w:val="clear" w:color="auto" w:fill="auto"/>
          </w:tcPr>
          <w:p w:rsidR="00747B37" w:rsidRDefault="00747B37" w:rsidP="00747B37">
            <w:pPr>
              <w:rPr>
                <w:rFonts w:cs="Arial"/>
                <w:b/>
                <w:bCs/>
                <w:sz w:val="20"/>
              </w:rPr>
            </w:pPr>
            <w:r>
              <w:rPr>
                <w:rFonts w:cs="Arial"/>
                <w:b/>
                <w:bCs/>
                <w:sz w:val="20"/>
              </w:rPr>
              <w:t>Risk identified</w:t>
            </w:r>
          </w:p>
        </w:tc>
        <w:tc>
          <w:tcPr>
            <w:tcW w:w="1531" w:type="dxa"/>
            <w:shd w:val="clear" w:color="auto" w:fill="auto"/>
          </w:tcPr>
          <w:p w:rsidR="00747B37" w:rsidRDefault="00747B37" w:rsidP="00747B37">
            <w:pPr>
              <w:rPr>
                <w:rFonts w:cs="Arial"/>
                <w:b/>
                <w:bCs/>
                <w:sz w:val="20"/>
              </w:rPr>
            </w:pPr>
            <w:r>
              <w:rPr>
                <w:rFonts w:cs="Arial"/>
                <w:b/>
                <w:bCs/>
                <w:sz w:val="20"/>
              </w:rPr>
              <w:t>Reference</w:t>
            </w:r>
          </w:p>
        </w:tc>
        <w:tc>
          <w:tcPr>
            <w:tcW w:w="805" w:type="dxa"/>
            <w:shd w:val="clear" w:color="auto" w:fill="auto"/>
            <w:noWrap/>
          </w:tcPr>
          <w:p w:rsidR="00747B37" w:rsidRDefault="00747B37" w:rsidP="00747B37">
            <w:pPr>
              <w:rPr>
                <w:rFonts w:cs="Arial"/>
                <w:b/>
                <w:bCs/>
                <w:sz w:val="20"/>
              </w:rPr>
            </w:pPr>
            <w:r>
              <w:rPr>
                <w:rFonts w:cs="Arial"/>
                <w:b/>
                <w:bCs/>
                <w:sz w:val="20"/>
              </w:rPr>
              <w:t>Risk owner</w:t>
            </w:r>
          </w:p>
        </w:tc>
        <w:tc>
          <w:tcPr>
            <w:tcW w:w="1395" w:type="dxa"/>
            <w:shd w:val="clear" w:color="auto" w:fill="auto"/>
            <w:noWrap/>
          </w:tcPr>
          <w:p w:rsidR="00747B37" w:rsidRDefault="00747B37" w:rsidP="00747B37">
            <w:pPr>
              <w:rPr>
                <w:rFonts w:cs="Arial"/>
                <w:b/>
                <w:bCs/>
                <w:sz w:val="20"/>
              </w:rPr>
            </w:pPr>
            <w:r>
              <w:rPr>
                <w:rFonts w:cs="Arial"/>
                <w:b/>
                <w:bCs/>
                <w:sz w:val="20"/>
              </w:rPr>
              <w:t>Significance</w:t>
            </w:r>
          </w:p>
        </w:tc>
        <w:tc>
          <w:tcPr>
            <w:tcW w:w="1250" w:type="dxa"/>
            <w:shd w:val="clear" w:color="auto" w:fill="auto"/>
            <w:noWrap/>
          </w:tcPr>
          <w:p w:rsidR="00747B37" w:rsidRDefault="00747B37" w:rsidP="00747B37">
            <w:pPr>
              <w:rPr>
                <w:rFonts w:cs="Arial"/>
                <w:b/>
                <w:bCs/>
                <w:sz w:val="20"/>
              </w:rPr>
            </w:pPr>
            <w:r>
              <w:rPr>
                <w:rFonts w:cs="Arial"/>
                <w:b/>
                <w:bCs/>
                <w:sz w:val="20"/>
              </w:rPr>
              <w:t>Probability</w:t>
            </w:r>
          </w:p>
        </w:tc>
        <w:tc>
          <w:tcPr>
            <w:tcW w:w="795" w:type="dxa"/>
            <w:shd w:val="clear" w:color="000000" w:fill="EDEDED"/>
            <w:noWrap/>
          </w:tcPr>
          <w:p w:rsidR="00747B37" w:rsidRDefault="00747B37" w:rsidP="00747B37">
            <w:pPr>
              <w:rPr>
                <w:rFonts w:cs="Arial"/>
                <w:b/>
                <w:bCs/>
                <w:sz w:val="20"/>
              </w:rPr>
            </w:pPr>
            <w:r>
              <w:rPr>
                <w:rFonts w:cs="Arial"/>
                <w:b/>
                <w:bCs/>
                <w:sz w:val="20"/>
              </w:rPr>
              <w:t>Gross risk</w:t>
            </w:r>
          </w:p>
        </w:tc>
        <w:tc>
          <w:tcPr>
            <w:tcW w:w="1684" w:type="dxa"/>
            <w:shd w:val="clear" w:color="auto" w:fill="auto"/>
          </w:tcPr>
          <w:p w:rsidR="00747B37" w:rsidRDefault="00747B37" w:rsidP="00747B37">
            <w:pPr>
              <w:rPr>
                <w:rFonts w:cs="Arial"/>
                <w:b/>
                <w:bCs/>
                <w:sz w:val="20"/>
              </w:rPr>
            </w:pPr>
            <w:r>
              <w:rPr>
                <w:rFonts w:cs="Arial"/>
                <w:b/>
                <w:bCs/>
                <w:sz w:val="20"/>
              </w:rPr>
              <w:t>Risk management strategies in place</w:t>
            </w:r>
          </w:p>
        </w:tc>
        <w:tc>
          <w:tcPr>
            <w:tcW w:w="1039" w:type="dxa"/>
            <w:shd w:val="clear" w:color="auto" w:fill="auto"/>
            <w:noWrap/>
          </w:tcPr>
          <w:p w:rsidR="00747B37" w:rsidRDefault="00747B37" w:rsidP="00747B37">
            <w:pPr>
              <w:rPr>
                <w:rFonts w:cs="Arial"/>
                <w:b/>
                <w:bCs/>
                <w:sz w:val="20"/>
              </w:rPr>
            </w:pPr>
            <w:r>
              <w:rPr>
                <w:rFonts w:cs="Arial"/>
                <w:b/>
                <w:bCs/>
                <w:sz w:val="20"/>
              </w:rPr>
              <w:t xml:space="preserve">Strength </w:t>
            </w:r>
          </w:p>
        </w:tc>
        <w:tc>
          <w:tcPr>
            <w:tcW w:w="804" w:type="dxa"/>
            <w:shd w:val="clear" w:color="000000" w:fill="CCFFFF"/>
            <w:noWrap/>
          </w:tcPr>
          <w:p w:rsidR="00747B37" w:rsidRDefault="00747B37" w:rsidP="00747B37">
            <w:pPr>
              <w:rPr>
                <w:rFonts w:cs="Arial"/>
                <w:b/>
                <w:bCs/>
                <w:sz w:val="20"/>
              </w:rPr>
            </w:pPr>
            <w:r>
              <w:rPr>
                <w:rFonts w:cs="Arial"/>
                <w:b/>
                <w:bCs/>
                <w:sz w:val="20"/>
              </w:rPr>
              <w:t>Net risk</w:t>
            </w:r>
          </w:p>
        </w:tc>
        <w:tc>
          <w:tcPr>
            <w:tcW w:w="1754" w:type="dxa"/>
            <w:shd w:val="clear" w:color="auto" w:fill="auto"/>
          </w:tcPr>
          <w:p w:rsidR="00747B37" w:rsidRDefault="00747B37" w:rsidP="00747B37">
            <w:pPr>
              <w:rPr>
                <w:rFonts w:cs="Arial"/>
                <w:b/>
                <w:bCs/>
                <w:sz w:val="20"/>
              </w:rPr>
            </w:pPr>
            <w:r>
              <w:rPr>
                <w:rFonts w:cs="Arial"/>
                <w:b/>
                <w:bCs/>
                <w:sz w:val="20"/>
              </w:rPr>
              <w:t>Further action required</w:t>
            </w:r>
          </w:p>
        </w:tc>
        <w:tc>
          <w:tcPr>
            <w:tcW w:w="1417" w:type="dxa"/>
            <w:shd w:val="clear" w:color="auto" w:fill="auto"/>
            <w:noWrap/>
          </w:tcPr>
          <w:p w:rsidR="00747B37" w:rsidRDefault="00747B37" w:rsidP="00747B37">
            <w:pPr>
              <w:rPr>
                <w:rFonts w:cs="Arial"/>
                <w:b/>
                <w:bCs/>
                <w:sz w:val="20"/>
              </w:rPr>
            </w:pPr>
            <w:r>
              <w:rPr>
                <w:rFonts w:cs="Arial"/>
                <w:b/>
                <w:bCs/>
                <w:sz w:val="20"/>
              </w:rPr>
              <w:t>Post responsible</w:t>
            </w:r>
          </w:p>
        </w:tc>
        <w:tc>
          <w:tcPr>
            <w:tcW w:w="1133" w:type="dxa"/>
            <w:shd w:val="clear" w:color="auto" w:fill="auto"/>
            <w:noWrap/>
          </w:tcPr>
          <w:p w:rsidR="00747B37" w:rsidRDefault="00747B37" w:rsidP="00747B37">
            <w:pPr>
              <w:rPr>
                <w:rFonts w:cs="Arial"/>
                <w:b/>
                <w:bCs/>
                <w:sz w:val="20"/>
              </w:rPr>
            </w:pPr>
            <w:r>
              <w:rPr>
                <w:rFonts w:cs="Arial"/>
                <w:b/>
                <w:bCs/>
                <w:sz w:val="20"/>
              </w:rPr>
              <w:t>Due date</w:t>
            </w:r>
          </w:p>
        </w:tc>
      </w:tr>
      <w:tr w:rsidR="00747B37" w:rsidRPr="00487D72" w:rsidTr="009C475C">
        <w:trPr>
          <w:trHeight w:val="3090"/>
        </w:trPr>
        <w:tc>
          <w:tcPr>
            <w:tcW w:w="2127" w:type="dxa"/>
            <w:shd w:val="clear" w:color="auto" w:fill="auto"/>
            <w:hideMark/>
          </w:tcPr>
          <w:p w:rsidR="00487D72" w:rsidRPr="00487D72" w:rsidRDefault="00487D72" w:rsidP="00747B37">
            <w:pPr>
              <w:rPr>
                <w:rFonts w:cs="Arial"/>
                <w:sz w:val="20"/>
                <w:lang w:eastAsia="en-GB"/>
              </w:rPr>
            </w:pPr>
            <w:r w:rsidRPr="00487D72">
              <w:rPr>
                <w:rFonts w:cs="Arial"/>
                <w:sz w:val="20"/>
                <w:lang w:eastAsia="en-GB"/>
              </w:rPr>
              <w:t>Brickfield Cottages - Significant investigative and remedial works required which render site impaired</w:t>
            </w:r>
          </w:p>
        </w:tc>
        <w:tc>
          <w:tcPr>
            <w:tcW w:w="1531" w:type="dxa"/>
            <w:shd w:val="clear" w:color="auto" w:fill="auto"/>
            <w:hideMark/>
          </w:tcPr>
          <w:p w:rsidR="00487D72" w:rsidRPr="00487D72" w:rsidRDefault="00487D72" w:rsidP="00747B37">
            <w:pPr>
              <w:rPr>
                <w:rFonts w:cs="Arial"/>
                <w:sz w:val="20"/>
                <w:lang w:eastAsia="en-GB"/>
              </w:rPr>
            </w:pPr>
            <w:r w:rsidRPr="00487D72">
              <w:rPr>
                <w:rFonts w:cs="Arial"/>
                <w:sz w:val="20"/>
                <w:lang w:eastAsia="en-GB"/>
              </w:rPr>
              <w:t>Devrisk3</w:t>
            </w:r>
          </w:p>
        </w:tc>
        <w:tc>
          <w:tcPr>
            <w:tcW w:w="805" w:type="dxa"/>
            <w:shd w:val="clear" w:color="auto" w:fill="auto"/>
            <w:noWrap/>
            <w:hideMark/>
          </w:tcPr>
          <w:p w:rsidR="00487D72" w:rsidRPr="00487D72" w:rsidRDefault="00487D72" w:rsidP="00747B37">
            <w:pPr>
              <w:rPr>
                <w:rFonts w:cs="Arial"/>
                <w:sz w:val="20"/>
                <w:lang w:eastAsia="en-GB"/>
              </w:rPr>
            </w:pPr>
            <w:r w:rsidRPr="00487D72">
              <w:rPr>
                <w:rFonts w:cs="Arial"/>
                <w:sz w:val="20"/>
                <w:lang w:eastAsia="en-GB"/>
              </w:rPr>
              <w:t>DRD</w:t>
            </w:r>
          </w:p>
        </w:tc>
        <w:tc>
          <w:tcPr>
            <w:tcW w:w="1395" w:type="dxa"/>
            <w:shd w:val="clear" w:color="auto" w:fill="auto"/>
            <w:noWrap/>
            <w:hideMark/>
          </w:tcPr>
          <w:p w:rsidR="00487D72" w:rsidRPr="00487D72" w:rsidRDefault="00487D72" w:rsidP="00747B37">
            <w:pPr>
              <w:rPr>
                <w:rFonts w:cs="Arial"/>
                <w:sz w:val="20"/>
                <w:lang w:eastAsia="en-GB"/>
              </w:rPr>
            </w:pPr>
            <w:r w:rsidRPr="00487D72">
              <w:rPr>
                <w:rFonts w:cs="Arial"/>
                <w:sz w:val="20"/>
                <w:lang w:eastAsia="en-GB"/>
              </w:rPr>
              <w:t>7</w:t>
            </w:r>
          </w:p>
        </w:tc>
        <w:tc>
          <w:tcPr>
            <w:tcW w:w="1250" w:type="dxa"/>
            <w:shd w:val="clear" w:color="auto" w:fill="auto"/>
            <w:noWrap/>
            <w:hideMark/>
          </w:tcPr>
          <w:p w:rsidR="00487D72" w:rsidRPr="00487D72" w:rsidRDefault="00487D72" w:rsidP="00747B37">
            <w:pPr>
              <w:rPr>
                <w:rFonts w:cs="Arial"/>
                <w:sz w:val="20"/>
                <w:lang w:eastAsia="en-GB"/>
              </w:rPr>
            </w:pPr>
            <w:r w:rsidRPr="00487D72">
              <w:rPr>
                <w:rFonts w:cs="Arial"/>
                <w:sz w:val="20"/>
                <w:lang w:eastAsia="en-GB"/>
              </w:rPr>
              <w:t>5</w:t>
            </w:r>
          </w:p>
        </w:tc>
        <w:tc>
          <w:tcPr>
            <w:tcW w:w="795" w:type="dxa"/>
            <w:shd w:val="clear" w:color="000000" w:fill="EDEDED"/>
            <w:noWrap/>
            <w:hideMark/>
          </w:tcPr>
          <w:p w:rsidR="00487D72" w:rsidRPr="00487D72" w:rsidRDefault="00487D72" w:rsidP="00747B37">
            <w:pPr>
              <w:rPr>
                <w:rFonts w:cs="Arial"/>
                <w:sz w:val="20"/>
                <w:lang w:eastAsia="en-GB"/>
              </w:rPr>
            </w:pPr>
            <w:r w:rsidRPr="00487D72">
              <w:rPr>
                <w:rFonts w:cs="Arial"/>
                <w:sz w:val="20"/>
                <w:lang w:eastAsia="en-GB"/>
              </w:rPr>
              <w:t>35</w:t>
            </w:r>
          </w:p>
        </w:tc>
        <w:tc>
          <w:tcPr>
            <w:tcW w:w="1684" w:type="dxa"/>
            <w:shd w:val="clear" w:color="auto" w:fill="auto"/>
            <w:hideMark/>
          </w:tcPr>
          <w:p w:rsidR="00487D72" w:rsidRPr="00487D72" w:rsidRDefault="00487D72" w:rsidP="00747B37">
            <w:pPr>
              <w:rPr>
                <w:rFonts w:cs="Arial"/>
                <w:sz w:val="20"/>
                <w:lang w:eastAsia="en-GB"/>
              </w:rPr>
            </w:pPr>
            <w:r w:rsidRPr="00487D72">
              <w:rPr>
                <w:rFonts w:cs="Arial"/>
                <w:sz w:val="20"/>
                <w:lang w:eastAsia="en-GB"/>
              </w:rPr>
              <w:t>Insurers have confirmed cover for some of works.  PBA engaged as experts. Investigations and remedial works underway. Devonshires assessing potential recovery position - RSK / Skillcrown</w:t>
            </w:r>
            <w:r w:rsidRPr="00487D72">
              <w:rPr>
                <w:rFonts w:cs="Arial"/>
                <w:sz w:val="20"/>
                <w:lang w:eastAsia="en-GB"/>
              </w:rPr>
              <w:br/>
              <w:t xml:space="preserve"> Financial assessment carried out re: Point at which no longer viable. </w:t>
            </w:r>
          </w:p>
        </w:tc>
        <w:tc>
          <w:tcPr>
            <w:tcW w:w="1039" w:type="dxa"/>
            <w:shd w:val="clear" w:color="auto" w:fill="auto"/>
            <w:noWrap/>
            <w:hideMark/>
          </w:tcPr>
          <w:p w:rsidR="00487D72" w:rsidRPr="00487D72" w:rsidRDefault="00487D72" w:rsidP="00747B37">
            <w:pPr>
              <w:rPr>
                <w:rFonts w:cs="Arial"/>
                <w:sz w:val="20"/>
                <w:lang w:eastAsia="en-GB"/>
              </w:rPr>
            </w:pPr>
            <w:r w:rsidRPr="00487D72">
              <w:rPr>
                <w:rFonts w:cs="Arial"/>
                <w:sz w:val="20"/>
                <w:lang w:eastAsia="en-GB"/>
              </w:rPr>
              <w:t>Weak</w:t>
            </w:r>
          </w:p>
        </w:tc>
        <w:tc>
          <w:tcPr>
            <w:tcW w:w="804" w:type="dxa"/>
            <w:shd w:val="clear" w:color="000000" w:fill="CCFFFF"/>
            <w:noWrap/>
            <w:hideMark/>
          </w:tcPr>
          <w:p w:rsidR="00487D72" w:rsidRPr="00487D72" w:rsidRDefault="00487D72" w:rsidP="00747B37">
            <w:pPr>
              <w:rPr>
                <w:rFonts w:cs="Arial"/>
                <w:sz w:val="20"/>
                <w:lang w:eastAsia="en-GB"/>
              </w:rPr>
            </w:pPr>
            <w:r w:rsidRPr="00487D72">
              <w:rPr>
                <w:rFonts w:cs="Arial"/>
                <w:sz w:val="20"/>
                <w:lang w:eastAsia="en-GB"/>
              </w:rPr>
              <w:t>28</w:t>
            </w:r>
          </w:p>
        </w:tc>
        <w:tc>
          <w:tcPr>
            <w:tcW w:w="1754" w:type="dxa"/>
            <w:shd w:val="clear" w:color="auto" w:fill="auto"/>
            <w:hideMark/>
          </w:tcPr>
          <w:p w:rsidR="00487D72" w:rsidRPr="00487D72" w:rsidRDefault="00487D72" w:rsidP="00747B37">
            <w:pPr>
              <w:rPr>
                <w:rFonts w:cs="Arial"/>
                <w:sz w:val="20"/>
                <w:lang w:eastAsia="en-GB"/>
              </w:rPr>
            </w:pPr>
            <w:r w:rsidRPr="00487D72">
              <w:rPr>
                <w:rFonts w:cs="Arial"/>
                <w:sz w:val="20"/>
                <w:lang w:eastAsia="en-GB"/>
              </w:rPr>
              <w:t>Pursue recovery assessment from third parties</w:t>
            </w:r>
          </w:p>
        </w:tc>
        <w:tc>
          <w:tcPr>
            <w:tcW w:w="1417" w:type="dxa"/>
            <w:shd w:val="clear" w:color="auto" w:fill="auto"/>
            <w:noWrap/>
            <w:hideMark/>
          </w:tcPr>
          <w:p w:rsidR="00487D72" w:rsidRPr="00487D72" w:rsidRDefault="00487D72" w:rsidP="00747B37">
            <w:pPr>
              <w:rPr>
                <w:rFonts w:cs="Arial"/>
                <w:sz w:val="20"/>
                <w:lang w:eastAsia="en-GB"/>
              </w:rPr>
            </w:pPr>
            <w:r w:rsidRPr="00487D72">
              <w:rPr>
                <w:rFonts w:cs="Arial"/>
                <w:sz w:val="20"/>
                <w:lang w:eastAsia="en-GB"/>
              </w:rPr>
              <w:t>DRD</w:t>
            </w:r>
          </w:p>
        </w:tc>
        <w:tc>
          <w:tcPr>
            <w:tcW w:w="1133" w:type="dxa"/>
            <w:shd w:val="clear" w:color="auto" w:fill="auto"/>
            <w:noWrap/>
            <w:hideMark/>
          </w:tcPr>
          <w:p w:rsidR="00487D72" w:rsidRPr="00487D72" w:rsidRDefault="00487D72" w:rsidP="00747B37">
            <w:pPr>
              <w:rPr>
                <w:rFonts w:cs="Arial"/>
                <w:sz w:val="20"/>
                <w:lang w:eastAsia="en-GB"/>
              </w:rPr>
            </w:pPr>
            <w:r w:rsidRPr="00487D72">
              <w:rPr>
                <w:rFonts w:cs="Arial"/>
                <w:sz w:val="20"/>
                <w:lang w:eastAsia="en-GB"/>
              </w:rPr>
              <w:t>ongoing</w:t>
            </w:r>
          </w:p>
        </w:tc>
      </w:tr>
      <w:tr w:rsidR="00747B37" w:rsidRPr="00487D72" w:rsidTr="009C475C">
        <w:trPr>
          <w:trHeight w:val="3090"/>
        </w:trPr>
        <w:tc>
          <w:tcPr>
            <w:tcW w:w="2127" w:type="dxa"/>
            <w:shd w:val="clear" w:color="auto" w:fill="auto"/>
            <w:hideMark/>
          </w:tcPr>
          <w:p w:rsidR="00487D72" w:rsidRPr="00487D72" w:rsidRDefault="00487D72" w:rsidP="00747B37">
            <w:pPr>
              <w:rPr>
                <w:rFonts w:cs="Arial"/>
                <w:sz w:val="20"/>
                <w:lang w:eastAsia="en-GB"/>
              </w:rPr>
            </w:pPr>
            <w:r w:rsidRPr="00487D72">
              <w:rPr>
                <w:rFonts w:cs="Arial"/>
                <w:sz w:val="20"/>
                <w:lang w:eastAsia="en-GB"/>
              </w:rPr>
              <w:lastRenderedPageBreak/>
              <w:t>Brickfield Cottages - Bad PR as a result of ground collapse</w:t>
            </w:r>
          </w:p>
        </w:tc>
        <w:tc>
          <w:tcPr>
            <w:tcW w:w="1531" w:type="dxa"/>
            <w:shd w:val="clear" w:color="auto" w:fill="auto"/>
            <w:hideMark/>
          </w:tcPr>
          <w:p w:rsidR="00487D72" w:rsidRPr="00487D72" w:rsidRDefault="00487D72" w:rsidP="00747B37">
            <w:pPr>
              <w:rPr>
                <w:rFonts w:cs="Arial"/>
                <w:sz w:val="20"/>
                <w:lang w:eastAsia="en-GB"/>
              </w:rPr>
            </w:pPr>
            <w:r w:rsidRPr="00487D72">
              <w:rPr>
                <w:rFonts w:cs="Arial"/>
                <w:sz w:val="20"/>
                <w:lang w:eastAsia="en-GB"/>
              </w:rPr>
              <w:t>Devrisk4</w:t>
            </w:r>
          </w:p>
        </w:tc>
        <w:tc>
          <w:tcPr>
            <w:tcW w:w="805" w:type="dxa"/>
            <w:shd w:val="clear" w:color="auto" w:fill="auto"/>
            <w:noWrap/>
            <w:hideMark/>
          </w:tcPr>
          <w:p w:rsidR="00487D72" w:rsidRPr="00487D72" w:rsidRDefault="00487D72" w:rsidP="00747B37">
            <w:pPr>
              <w:rPr>
                <w:rFonts w:cs="Arial"/>
                <w:sz w:val="20"/>
                <w:lang w:eastAsia="en-GB"/>
              </w:rPr>
            </w:pPr>
            <w:r w:rsidRPr="00487D72">
              <w:rPr>
                <w:rFonts w:cs="Arial"/>
                <w:sz w:val="20"/>
                <w:lang w:eastAsia="en-GB"/>
              </w:rPr>
              <w:t>DRD</w:t>
            </w:r>
          </w:p>
        </w:tc>
        <w:tc>
          <w:tcPr>
            <w:tcW w:w="1395" w:type="dxa"/>
            <w:shd w:val="clear" w:color="auto" w:fill="auto"/>
            <w:noWrap/>
            <w:hideMark/>
          </w:tcPr>
          <w:p w:rsidR="00487D72" w:rsidRPr="00487D72" w:rsidRDefault="00487D72" w:rsidP="00747B37">
            <w:pPr>
              <w:rPr>
                <w:rFonts w:cs="Arial"/>
                <w:sz w:val="20"/>
                <w:lang w:eastAsia="en-GB"/>
              </w:rPr>
            </w:pPr>
            <w:r w:rsidRPr="00487D72">
              <w:rPr>
                <w:rFonts w:cs="Arial"/>
                <w:sz w:val="20"/>
                <w:lang w:eastAsia="en-GB"/>
              </w:rPr>
              <w:t>5</w:t>
            </w:r>
          </w:p>
        </w:tc>
        <w:tc>
          <w:tcPr>
            <w:tcW w:w="1250" w:type="dxa"/>
            <w:shd w:val="clear" w:color="auto" w:fill="auto"/>
            <w:noWrap/>
            <w:hideMark/>
          </w:tcPr>
          <w:p w:rsidR="00487D72" w:rsidRPr="00487D72" w:rsidRDefault="00487D72" w:rsidP="00747B37">
            <w:pPr>
              <w:rPr>
                <w:rFonts w:cs="Arial"/>
                <w:sz w:val="20"/>
                <w:lang w:eastAsia="en-GB"/>
              </w:rPr>
            </w:pPr>
            <w:r w:rsidRPr="00487D72">
              <w:rPr>
                <w:rFonts w:cs="Arial"/>
                <w:sz w:val="20"/>
                <w:lang w:eastAsia="en-GB"/>
              </w:rPr>
              <w:t>7</w:t>
            </w:r>
          </w:p>
        </w:tc>
        <w:tc>
          <w:tcPr>
            <w:tcW w:w="795" w:type="dxa"/>
            <w:shd w:val="clear" w:color="000000" w:fill="EDEDED"/>
            <w:noWrap/>
            <w:hideMark/>
          </w:tcPr>
          <w:p w:rsidR="00487D72" w:rsidRPr="00487D72" w:rsidRDefault="00487D72" w:rsidP="00747B37">
            <w:pPr>
              <w:rPr>
                <w:rFonts w:cs="Arial"/>
                <w:sz w:val="20"/>
                <w:lang w:eastAsia="en-GB"/>
              </w:rPr>
            </w:pPr>
            <w:r w:rsidRPr="00487D72">
              <w:rPr>
                <w:rFonts w:cs="Arial"/>
                <w:sz w:val="20"/>
                <w:lang w:eastAsia="en-GB"/>
              </w:rPr>
              <w:t>35</w:t>
            </w:r>
          </w:p>
        </w:tc>
        <w:tc>
          <w:tcPr>
            <w:tcW w:w="1684" w:type="dxa"/>
            <w:shd w:val="clear" w:color="auto" w:fill="auto"/>
            <w:hideMark/>
          </w:tcPr>
          <w:p w:rsidR="00487D72" w:rsidRDefault="00487D72" w:rsidP="00747B37">
            <w:pPr>
              <w:rPr>
                <w:rFonts w:cs="Arial"/>
                <w:sz w:val="20"/>
                <w:lang w:eastAsia="en-GB"/>
              </w:rPr>
            </w:pPr>
            <w:bookmarkStart w:id="1" w:name="OLE_LINK1"/>
            <w:bookmarkStart w:id="2" w:name="OLE_LINK2"/>
            <w:r w:rsidRPr="00487D72">
              <w:rPr>
                <w:rFonts w:cs="Arial"/>
                <w:sz w:val="20"/>
                <w:lang w:eastAsia="en-GB"/>
              </w:rPr>
              <w:t>Social communications appointed.</w:t>
            </w:r>
            <w:r w:rsidRPr="00487D72">
              <w:rPr>
                <w:rFonts w:cs="Arial"/>
                <w:sz w:val="20"/>
                <w:lang w:eastAsia="en-GB"/>
              </w:rPr>
              <w:br/>
              <w:t>Meeting with Dr Per.</w:t>
            </w:r>
            <w:r w:rsidRPr="00487D72">
              <w:rPr>
                <w:rFonts w:cs="Arial"/>
                <w:sz w:val="20"/>
                <w:lang w:eastAsia="en-GB"/>
              </w:rPr>
              <w:br/>
              <w:t>Updates issued to residents.</w:t>
            </w:r>
            <w:r w:rsidRPr="00487D72">
              <w:rPr>
                <w:rFonts w:cs="Arial"/>
                <w:sz w:val="20"/>
                <w:lang w:eastAsia="en-GB"/>
              </w:rPr>
              <w:br/>
              <w:t>Project Team established.</w:t>
            </w:r>
          </w:p>
          <w:p w:rsidR="00747B37" w:rsidRDefault="00747B37" w:rsidP="00747B37">
            <w:pPr>
              <w:rPr>
                <w:rFonts w:cs="Arial"/>
                <w:sz w:val="20"/>
                <w:lang w:eastAsia="en-GB"/>
              </w:rPr>
            </w:pPr>
            <w:r>
              <w:rPr>
                <w:rFonts w:cs="Arial"/>
                <w:sz w:val="20"/>
                <w:lang w:eastAsia="en-GB"/>
              </w:rPr>
              <w:t>Residents notified and updated via face to face interviews.  Decant of 35, 37,38,40 in hand.</w:t>
            </w:r>
          </w:p>
          <w:p w:rsidR="00747B37" w:rsidRDefault="00747B37" w:rsidP="00747B37">
            <w:pPr>
              <w:rPr>
                <w:rFonts w:cs="Arial"/>
                <w:sz w:val="20"/>
                <w:lang w:eastAsia="en-GB"/>
              </w:rPr>
            </w:pPr>
            <w:r>
              <w:rPr>
                <w:rFonts w:cs="Arial"/>
                <w:sz w:val="20"/>
                <w:lang w:eastAsia="en-GB"/>
              </w:rPr>
              <w:t>Press – Newshopper / SLP articles commented.</w:t>
            </w:r>
          </w:p>
          <w:p w:rsidR="00747B37" w:rsidRPr="00487D72" w:rsidRDefault="00747B37" w:rsidP="00747B37">
            <w:pPr>
              <w:rPr>
                <w:rFonts w:cs="Arial"/>
                <w:sz w:val="20"/>
                <w:lang w:eastAsia="en-GB"/>
              </w:rPr>
            </w:pPr>
            <w:r>
              <w:rPr>
                <w:rFonts w:cs="Arial"/>
                <w:sz w:val="20"/>
                <w:lang w:eastAsia="en-GB"/>
              </w:rPr>
              <w:t>Dominic Clinton enquiry responded to.</w:t>
            </w:r>
            <w:bookmarkEnd w:id="1"/>
            <w:bookmarkEnd w:id="2"/>
          </w:p>
        </w:tc>
        <w:tc>
          <w:tcPr>
            <w:tcW w:w="1039" w:type="dxa"/>
            <w:shd w:val="clear" w:color="auto" w:fill="auto"/>
            <w:noWrap/>
            <w:hideMark/>
          </w:tcPr>
          <w:p w:rsidR="00487D72" w:rsidRPr="00487D72" w:rsidRDefault="00487D72" w:rsidP="00747B37">
            <w:pPr>
              <w:rPr>
                <w:rFonts w:cs="Arial"/>
                <w:sz w:val="20"/>
                <w:lang w:eastAsia="en-GB"/>
              </w:rPr>
            </w:pPr>
            <w:r w:rsidRPr="00487D72">
              <w:rPr>
                <w:rFonts w:cs="Arial"/>
                <w:sz w:val="20"/>
                <w:lang w:eastAsia="en-GB"/>
              </w:rPr>
              <w:t>Medium</w:t>
            </w:r>
          </w:p>
        </w:tc>
        <w:tc>
          <w:tcPr>
            <w:tcW w:w="804" w:type="dxa"/>
            <w:shd w:val="clear" w:color="000000" w:fill="CCFFFF"/>
            <w:noWrap/>
            <w:hideMark/>
          </w:tcPr>
          <w:p w:rsidR="00487D72" w:rsidRPr="00487D72" w:rsidRDefault="00487D72" w:rsidP="00747B37">
            <w:pPr>
              <w:rPr>
                <w:rFonts w:cs="Arial"/>
                <w:sz w:val="20"/>
                <w:lang w:eastAsia="en-GB"/>
              </w:rPr>
            </w:pPr>
            <w:r w:rsidRPr="00487D72">
              <w:rPr>
                <w:rFonts w:cs="Arial"/>
                <w:sz w:val="20"/>
                <w:lang w:eastAsia="en-GB"/>
              </w:rPr>
              <w:t>18</w:t>
            </w:r>
          </w:p>
        </w:tc>
        <w:tc>
          <w:tcPr>
            <w:tcW w:w="1754" w:type="dxa"/>
            <w:shd w:val="clear" w:color="auto" w:fill="auto"/>
            <w:hideMark/>
          </w:tcPr>
          <w:p w:rsidR="00487D72" w:rsidRPr="00487D72" w:rsidRDefault="00487D72" w:rsidP="00747B37">
            <w:pPr>
              <w:rPr>
                <w:rFonts w:cs="Arial"/>
                <w:sz w:val="20"/>
                <w:lang w:eastAsia="en-GB"/>
              </w:rPr>
            </w:pPr>
          </w:p>
        </w:tc>
        <w:tc>
          <w:tcPr>
            <w:tcW w:w="1417" w:type="dxa"/>
            <w:shd w:val="clear" w:color="auto" w:fill="auto"/>
            <w:noWrap/>
            <w:hideMark/>
          </w:tcPr>
          <w:p w:rsidR="00487D72" w:rsidRPr="00487D72" w:rsidRDefault="00487D72" w:rsidP="00747B37">
            <w:pPr>
              <w:rPr>
                <w:rFonts w:cs="Arial"/>
                <w:sz w:val="20"/>
                <w:lang w:eastAsia="en-GB"/>
              </w:rPr>
            </w:pPr>
          </w:p>
        </w:tc>
        <w:tc>
          <w:tcPr>
            <w:tcW w:w="1133" w:type="dxa"/>
            <w:shd w:val="clear" w:color="auto" w:fill="auto"/>
            <w:noWrap/>
            <w:hideMark/>
          </w:tcPr>
          <w:p w:rsidR="00487D72" w:rsidRPr="00487D72" w:rsidRDefault="00487D72" w:rsidP="00747B37">
            <w:pPr>
              <w:rPr>
                <w:rFonts w:cs="Arial"/>
                <w:sz w:val="20"/>
                <w:lang w:eastAsia="en-GB"/>
              </w:rPr>
            </w:pPr>
          </w:p>
        </w:tc>
      </w:tr>
      <w:tr w:rsidR="00747B37" w:rsidRPr="00487D72" w:rsidTr="009C475C">
        <w:trPr>
          <w:trHeight w:val="3090"/>
        </w:trPr>
        <w:tc>
          <w:tcPr>
            <w:tcW w:w="2127" w:type="dxa"/>
            <w:shd w:val="clear" w:color="auto" w:fill="auto"/>
            <w:hideMark/>
          </w:tcPr>
          <w:p w:rsidR="00487D72" w:rsidRPr="00487D72" w:rsidRDefault="00487D72" w:rsidP="00747B37">
            <w:pPr>
              <w:rPr>
                <w:rFonts w:cs="Arial"/>
                <w:sz w:val="20"/>
                <w:lang w:eastAsia="en-GB"/>
              </w:rPr>
            </w:pPr>
            <w:r w:rsidRPr="00487D72">
              <w:rPr>
                <w:rFonts w:cs="Arial"/>
                <w:sz w:val="20"/>
                <w:lang w:eastAsia="en-GB"/>
              </w:rPr>
              <w:lastRenderedPageBreak/>
              <w:t xml:space="preserve">Brickfield Cottages - decant risks - unable to procure sufficient temporary accommodation in timely manner to rehouse residents </w:t>
            </w:r>
          </w:p>
        </w:tc>
        <w:tc>
          <w:tcPr>
            <w:tcW w:w="1531" w:type="dxa"/>
            <w:shd w:val="clear" w:color="auto" w:fill="auto"/>
            <w:hideMark/>
          </w:tcPr>
          <w:p w:rsidR="00487D72" w:rsidRPr="00487D72" w:rsidRDefault="00487D72" w:rsidP="00747B37">
            <w:pPr>
              <w:rPr>
                <w:rFonts w:cs="Arial"/>
                <w:sz w:val="20"/>
                <w:lang w:eastAsia="en-GB"/>
              </w:rPr>
            </w:pPr>
            <w:r w:rsidRPr="00487D72">
              <w:rPr>
                <w:rFonts w:cs="Arial"/>
                <w:sz w:val="20"/>
                <w:lang w:eastAsia="en-GB"/>
              </w:rPr>
              <w:t>HSMrisk23</w:t>
            </w:r>
          </w:p>
        </w:tc>
        <w:tc>
          <w:tcPr>
            <w:tcW w:w="805" w:type="dxa"/>
            <w:shd w:val="clear" w:color="auto" w:fill="auto"/>
            <w:noWrap/>
            <w:hideMark/>
          </w:tcPr>
          <w:p w:rsidR="00487D72" w:rsidRPr="00487D72" w:rsidRDefault="00487D72" w:rsidP="00747B37">
            <w:pPr>
              <w:rPr>
                <w:rFonts w:cs="Arial"/>
                <w:sz w:val="20"/>
                <w:lang w:eastAsia="en-GB"/>
              </w:rPr>
            </w:pPr>
            <w:r w:rsidRPr="00487D72">
              <w:rPr>
                <w:rFonts w:cs="Arial"/>
                <w:sz w:val="20"/>
                <w:lang w:eastAsia="en-GB"/>
              </w:rPr>
              <w:t>HSM</w:t>
            </w:r>
          </w:p>
        </w:tc>
        <w:tc>
          <w:tcPr>
            <w:tcW w:w="1395" w:type="dxa"/>
            <w:shd w:val="clear" w:color="auto" w:fill="auto"/>
            <w:noWrap/>
            <w:hideMark/>
          </w:tcPr>
          <w:p w:rsidR="00487D72" w:rsidRPr="00487D72" w:rsidRDefault="00487D72" w:rsidP="00747B37">
            <w:pPr>
              <w:rPr>
                <w:rFonts w:cs="Arial"/>
                <w:sz w:val="20"/>
                <w:lang w:eastAsia="en-GB"/>
              </w:rPr>
            </w:pPr>
            <w:r w:rsidRPr="00487D72">
              <w:rPr>
                <w:rFonts w:cs="Arial"/>
                <w:sz w:val="20"/>
                <w:lang w:eastAsia="en-GB"/>
              </w:rPr>
              <w:t>7</w:t>
            </w:r>
          </w:p>
        </w:tc>
        <w:tc>
          <w:tcPr>
            <w:tcW w:w="1250" w:type="dxa"/>
            <w:shd w:val="clear" w:color="auto" w:fill="auto"/>
            <w:noWrap/>
            <w:hideMark/>
          </w:tcPr>
          <w:p w:rsidR="00487D72" w:rsidRPr="00487D72" w:rsidRDefault="00487D72" w:rsidP="00747B37">
            <w:pPr>
              <w:rPr>
                <w:rFonts w:cs="Arial"/>
                <w:sz w:val="20"/>
                <w:lang w:eastAsia="en-GB"/>
              </w:rPr>
            </w:pPr>
            <w:r w:rsidRPr="00487D72">
              <w:rPr>
                <w:rFonts w:cs="Arial"/>
                <w:sz w:val="20"/>
                <w:lang w:eastAsia="en-GB"/>
              </w:rPr>
              <w:t>5</w:t>
            </w:r>
          </w:p>
        </w:tc>
        <w:tc>
          <w:tcPr>
            <w:tcW w:w="795" w:type="dxa"/>
            <w:shd w:val="clear" w:color="000000" w:fill="EDEDED"/>
            <w:noWrap/>
            <w:hideMark/>
          </w:tcPr>
          <w:p w:rsidR="00487D72" w:rsidRPr="00487D72" w:rsidRDefault="00487D72" w:rsidP="00747B37">
            <w:pPr>
              <w:rPr>
                <w:rFonts w:cs="Arial"/>
                <w:sz w:val="20"/>
                <w:lang w:eastAsia="en-GB"/>
              </w:rPr>
            </w:pPr>
            <w:r w:rsidRPr="00487D72">
              <w:rPr>
                <w:rFonts w:cs="Arial"/>
                <w:sz w:val="20"/>
                <w:lang w:eastAsia="en-GB"/>
              </w:rPr>
              <w:t>35</w:t>
            </w:r>
          </w:p>
        </w:tc>
        <w:tc>
          <w:tcPr>
            <w:tcW w:w="1684" w:type="dxa"/>
            <w:shd w:val="clear" w:color="auto" w:fill="auto"/>
            <w:hideMark/>
          </w:tcPr>
          <w:p w:rsidR="00487D72" w:rsidRPr="00487D72" w:rsidRDefault="00487D72" w:rsidP="00747B37">
            <w:pPr>
              <w:rPr>
                <w:rFonts w:cs="Arial"/>
                <w:sz w:val="20"/>
                <w:lang w:eastAsia="en-GB"/>
              </w:rPr>
            </w:pPr>
            <w:r w:rsidRPr="00487D72">
              <w:rPr>
                <w:rFonts w:cs="Arial"/>
                <w:sz w:val="20"/>
                <w:lang w:eastAsia="en-GB"/>
              </w:rPr>
              <w:t xml:space="preserve">Hexagon lettings to other applicants suspended, local housing associations being approached for offers of temp accommodation, initial approach to estate agents to explore company lets, dedicated rehousing team set up to establish needs and match offers </w:t>
            </w:r>
          </w:p>
        </w:tc>
        <w:tc>
          <w:tcPr>
            <w:tcW w:w="1039" w:type="dxa"/>
            <w:shd w:val="clear" w:color="auto" w:fill="auto"/>
            <w:noWrap/>
            <w:hideMark/>
          </w:tcPr>
          <w:p w:rsidR="00487D72" w:rsidRPr="00487D72" w:rsidRDefault="00487D72" w:rsidP="00747B37">
            <w:pPr>
              <w:rPr>
                <w:rFonts w:cs="Arial"/>
                <w:sz w:val="20"/>
                <w:lang w:eastAsia="en-GB"/>
              </w:rPr>
            </w:pPr>
            <w:r w:rsidRPr="00487D72">
              <w:rPr>
                <w:rFonts w:cs="Arial"/>
                <w:sz w:val="20"/>
                <w:lang w:eastAsia="en-GB"/>
              </w:rPr>
              <w:t>Medium</w:t>
            </w:r>
          </w:p>
        </w:tc>
        <w:tc>
          <w:tcPr>
            <w:tcW w:w="804" w:type="dxa"/>
            <w:shd w:val="clear" w:color="000000" w:fill="CCFFFF"/>
            <w:noWrap/>
            <w:hideMark/>
          </w:tcPr>
          <w:p w:rsidR="00487D72" w:rsidRPr="00487D72" w:rsidRDefault="00487D72" w:rsidP="00747B37">
            <w:pPr>
              <w:rPr>
                <w:rFonts w:cs="Arial"/>
                <w:sz w:val="20"/>
                <w:lang w:eastAsia="en-GB"/>
              </w:rPr>
            </w:pPr>
            <w:r w:rsidRPr="00487D72">
              <w:rPr>
                <w:rFonts w:cs="Arial"/>
                <w:sz w:val="20"/>
                <w:lang w:eastAsia="en-GB"/>
              </w:rPr>
              <w:t>18</w:t>
            </w:r>
          </w:p>
        </w:tc>
        <w:tc>
          <w:tcPr>
            <w:tcW w:w="1754" w:type="dxa"/>
            <w:shd w:val="clear" w:color="auto" w:fill="auto"/>
            <w:hideMark/>
          </w:tcPr>
          <w:p w:rsidR="00487D72" w:rsidRPr="00487D72" w:rsidRDefault="00487D72" w:rsidP="00747B37">
            <w:pPr>
              <w:rPr>
                <w:rFonts w:cs="Arial"/>
                <w:sz w:val="20"/>
                <w:lang w:eastAsia="en-GB"/>
              </w:rPr>
            </w:pPr>
            <w:r w:rsidRPr="00487D72">
              <w:rPr>
                <w:rFonts w:cs="Arial"/>
                <w:sz w:val="20"/>
                <w:lang w:eastAsia="en-GB"/>
              </w:rPr>
              <w:t xml:space="preserve">More work on local associations' offers. New Business to commence purchasing (or renting) local homes for decanting . </w:t>
            </w:r>
          </w:p>
        </w:tc>
        <w:tc>
          <w:tcPr>
            <w:tcW w:w="1417" w:type="dxa"/>
            <w:shd w:val="clear" w:color="auto" w:fill="auto"/>
            <w:noWrap/>
            <w:hideMark/>
          </w:tcPr>
          <w:p w:rsidR="00487D72" w:rsidRPr="00487D72" w:rsidRDefault="00487D72" w:rsidP="00747B37">
            <w:pPr>
              <w:rPr>
                <w:rFonts w:cs="Arial"/>
                <w:sz w:val="20"/>
                <w:lang w:eastAsia="en-GB"/>
              </w:rPr>
            </w:pPr>
            <w:r w:rsidRPr="00487D72">
              <w:rPr>
                <w:rFonts w:cs="Arial"/>
                <w:sz w:val="20"/>
                <w:lang w:eastAsia="en-GB"/>
              </w:rPr>
              <w:t>0</w:t>
            </w:r>
          </w:p>
        </w:tc>
        <w:tc>
          <w:tcPr>
            <w:tcW w:w="1133" w:type="dxa"/>
            <w:shd w:val="clear" w:color="auto" w:fill="auto"/>
            <w:noWrap/>
            <w:hideMark/>
          </w:tcPr>
          <w:p w:rsidR="00487D72" w:rsidRPr="00487D72" w:rsidRDefault="00487D72" w:rsidP="00747B37">
            <w:pPr>
              <w:rPr>
                <w:rFonts w:cs="Arial"/>
                <w:sz w:val="20"/>
                <w:lang w:eastAsia="en-GB"/>
              </w:rPr>
            </w:pPr>
            <w:r w:rsidRPr="00487D72">
              <w:rPr>
                <w:rFonts w:cs="Arial"/>
                <w:sz w:val="20"/>
                <w:lang w:eastAsia="en-GB"/>
              </w:rPr>
              <w:t xml:space="preserve">Till decant achieved </w:t>
            </w:r>
          </w:p>
        </w:tc>
      </w:tr>
      <w:tr w:rsidR="00747B37" w:rsidRPr="00487D72" w:rsidTr="009C475C">
        <w:trPr>
          <w:trHeight w:val="1125"/>
        </w:trPr>
        <w:tc>
          <w:tcPr>
            <w:tcW w:w="2127" w:type="dxa"/>
            <w:shd w:val="clear" w:color="auto" w:fill="auto"/>
            <w:hideMark/>
          </w:tcPr>
          <w:p w:rsidR="00487D72" w:rsidRPr="00487D72" w:rsidRDefault="00487D72" w:rsidP="00747B37">
            <w:pPr>
              <w:rPr>
                <w:rFonts w:cs="Arial"/>
                <w:sz w:val="20"/>
                <w:lang w:eastAsia="en-GB"/>
              </w:rPr>
            </w:pPr>
            <w:r w:rsidRPr="00487D72">
              <w:rPr>
                <w:rFonts w:cs="Arial"/>
                <w:sz w:val="20"/>
                <w:lang w:eastAsia="en-GB"/>
              </w:rPr>
              <w:t xml:space="preserve">Brickfield Cottages - decant risks - residents refuse to move  leading to delays </w:t>
            </w:r>
          </w:p>
        </w:tc>
        <w:tc>
          <w:tcPr>
            <w:tcW w:w="1531" w:type="dxa"/>
            <w:shd w:val="clear" w:color="auto" w:fill="auto"/>
            <w:hideMark/>
          </w:tcPr>
          <w:p w:rsidR="00487D72" w:rsidRPr="00487D72" w:rsidRDefault="00487D72" w:rsidP="00747B37">
            <w:pPr>
              <w:rPr>
                <w:rFonts w:cs="Arial"/>
                <w:sz w:val="20"/>
                <w:lang w:eastAsia="en-GB"/>
              </w:rPr>
            </w:pPr>
            <w:r w:rsidRPr="00487D72">
              <w:rPr>
                <w:rFonts w:cs="Arial"/>
                <w:sz w:val="20"/>
                <w:lang w:eastAsia="en-GB"/>
              </w:rPr>
              <w:t>HSMrisk24</w:t>
            </w:r>
          </w:p>
        </w:tc>
        <w:tc>
          <w:tcPr>
            <w:tcW w:w="805" w:type="dxa"/>
            <w:shd w:val="clear" w:color="auto" w:fill="auto"/>
            <w:noWrap/>
            <w:hideMark/>
          </w:tcPr>
          <w:p w:rsidR="00487D72" w:rsidRPr="00487D72" w:rsidRDefault="00487D72" w:rsidP="00747B37">
            <w:pPr>
              <w:rPr>
                <w:rFonts w:cs="Arial"/>
                <w:sz w:val="20"/>
                <w:lang w:eastAsia="en-GB"/>
              </w:rPr>
            </w:pPr>
            <w:r w:rsidRPr="00487D72">
              <w:rPr>
                <w:rFonts w:cs="Arial"/>
                <w:sz w:val="20"/>
                <w:lang w:eastAsia="en-GB"/>
              </w:rPr>
              <w:t>HSM</w:t>
            </w:r>
          </w:p>
        </w:tc>
        <w:tc>
          <w:tcPr>
            <w:tcW w:w="1395" w:type="dxa"/>
            <w:shd w:val="clear" w:color="auto" w:fill="auto"/>
            <w:noWrap/>
            <w:hideMark/>
          </w:tcPr>
          <w:p w:rsidR="00487D72" w:rsidRPr="00487D72" w:rsidRDefault="00487D72" w:rsidP="00747B37">
            <w:pPr>
              <w:rPr>
                <w:rFonts w:cs="Arial"/>
                <w:sz w:val="20"/>
                <w:lang w:eastAsia="en-GB"/>
              </w:rPr>
            </w:pPr>
            <w:r w:rsidRPr="00487D72">
              <w:rPr>
                <w:rFonts w:cs="Arial"/>
                <w:sz w:val="20"/>
                <w:lang w:eastAsia="en-GB"/>
              </w:rPr>
              <w:t>7</w:t>
            </w:r>
          </w:p>
        </w:tc>
        <w:tc>
          <w:tcPr>
            <w:tcW w:w="1250" w:type="dxa"/>
            <w:shd w:val="clear" w:color="auto" w:fill="auto"/>
            <w:noWrap/>
            <w:hideMark/>
          </w:tcPr>
          <w:p w:rsidR="00487D72" w:rsidRPr="00487D72" w:rsidRDefault="00487D72" w:rsidP="00747B37">
            <w:pPr>
              <w:rPr>
                <w:rFonts w:cs="Arial"/>
                <w:sz w:val="20"/>
                <w:lang w:eastAsia="en-GB"/>
              </w:rPr>
            </w:pPr>
            <w:r w:rsidRPr="00487D72">
              <w:rPr>
                <w:rFonts w:cs="Arial"/>
                <w:sz w:val="20"/>
                <w:lang w:eastAsia="en-GB"/>
              </w:rPr>
              <w:t>7</w:t>
            </w:r>
          </w:p>
        </w:tc>
        <w:tc>
          <w:tcPr>
            <w:tcW w:w="795" w:type="dxa"/>
            <w:shd w:val="clear" w:color="000000" w:fill="EDEDED"/>
            <w:noWrap/>
            <w:hideMark/>
          </w:tcPr>
          <w:p w:rsidR="00487D72" w:rsidRPr="00487D72" w:rsidRDefault="00487D72" w:rsidP="00747B37">
            <w:pPr>
              <w:rPr>
                <w:rFonts w:cs="Arial"/>
                <w:sz w:val="20"/>
                <w:lang w:eastAsia="en-GB"/>
              </w:rPr>
            </w:pPr>
            <w:r w:rsidRPr="00487D72">
              <w:rPr>
                <w:rFonts w:cs="Arial"/>
                <w:sz w:val="20"/>
                <w:lang w:eastAsia="en-GB"/>
              </w:rPr>
              <w:t>49</w:t>
            </w:r>
          </w:p>
        </w:tc>
        <w:tc>
          <w:tcPr>
            <w:tcW w:w="1684" w:type="dxa"/>
            <w:shd w:val="clear" w:color="auto" w:fill="auto"/>
            <w:hideMark/>
          </w:tcPr>
          <w:p w:rsidR="00487D72" w:rsidRPr="00487D72" w:rsidRDefault="00487D72" w:rsidP="00747B37">
            <w:pPr>
              <w:rPr>
                <w:rFonts w:cs="Arial"/>
                <w:sz w:val="20"/>
                <w:lang w:eastAsia="en-GB"/>
              </w:rPr>
            </w:pPr>
            <w:r w:rsidRPr="00487D72">
              <w:rPr>
                <w:rFonts w:cs="Arial"/>
                <w:sz w:val="20"/>
                <w:lang w:eastAsia="en-GB"/>
              </w:rPr>
              <w:t xml:space="preserve">Individual needs and preferences to be respected wherever possible. Agreed  enhanced decorations specification for our own lets. Flexibility agreed on what extras we will pay for to encourage movement. Legal  advice </w:t>
            </w:r>
            <w:r w:rsidRPr="00487D72">
              <w:rPr>
                <w:rFonts w:cs="Arial"/>
                <w:sz w:val="20"/>
                <w:lang w:eastAsia="en-GB"/>
              </w:rPr>
              <w:lastRenderedPageBreak/>
              <w:t xml:space="preserve">obtained on enforcement action if required. </w:t>
            </w:r>
          </w:p>
        </w:tc>
        <w:tc>
          <w:tcPr>
            <w:tcW w:w="1039" w:type="dxa"/>
            <w:shd w:val="clear" w:color="auto" w:fill="auto"/>
            <w:noWrap/>
            <w:hideMark/>
          </w:tcPr>
          <w:p w:rsidR="00487D72" w:rsidRPr="00487D72" w:rsidRDefault="00487D72" w:rsidP="00747B37">
            <w:pPr>
              <w:rPr>
                <w:rFonts w:cs="Arial"/>
                <w:sz w:val="20"/>
                <w:lang w:eastAsia="en-GB"/>
              </w:rPr>
            </w:pPr>
            <w:r w:rsidRPr="00487D72">
              <w:rPr>
                <w:rFonts w:cs="Arial"/>
                <w:sz w:val="20"/>
                <w:lang w:eastAsia="en-GB"/>
              </w:rPr>
              <w:lastRenderedPageBreak/>
              <w:t>Weak</w:t>
            </w:r>
          </w:p>
        </w:tc>
        <w:tc>
          <w:tcPr>
            <w:tcW w:w="804" w:type="dxa"/>
            <w:shd w:val="clear" w:color="000000" w:fill="CCFFFF"/>
            <w:noWrap/>
            <w:hideMark/>
          </w:tcPr>
          <w:p w:rsidR="00487D72" w:rsidRPr="00487D72" w:rsidRDefault="00487D72" w:rsidP="00747B37">
            <w:pPr>
              <w:rPr>
                <w:rFonts w:cs="Arial"/>
                <w:sz w:val="20"/>
                <w:lang w:eastAsia="en-GB"/>
              </w:rPr>
            </w:pPr>
            <w:r w:rsidRPr="00487D72">
              <w:rPr>
                <w:rFonts w:cs="Arial"/>
                <w:sz w:val="20"/>
                <w:lang w:eastAsia="en-GB"/>
              </w:rPr>
              <w:t>39</w:t>
            </w:r>
          </w:p>
        </w:tc>
        <w:tc>
          <w:tcPr>
            <w:tcW w:w="1754" w:type="dxa"/>
            <w:shd w:val="clear" w:color="auto" w:fill="auto"/>
            <w:hideMark/>
          </w:tcPr>
          <w:p w:rsidR="00487D72" w:rsidRPr="00487D72" w:rsidRDefault="00487D72" w:rsidP="00747B37">
            <w:pPr>
              <w:rPr>
                <w:rFonts w:cs="Arial"/>
                <w:sz w:val="20"/>
                <w:lang w:eastAsia="en-GB"/>
              </w:rPr>
            </w:pPr>
            <w:r w:rsidRPr="00487D72">
              <w:rPr>
                <w:rFonts w:cs="Arial"/>
                <w:sz w:val="20"/>
                <w:lang w:eastAsia="en-GB"/>
              </w:rPr>
              <w:t xml:space="preserve">Specification of HA offered homes to be considered with HA landlords. Standard of private sector rented or purchased homes to meet our specification. </w:t>
            </w:r>
          </w:p>
        </w:tc>
        <w:tc>
          <w:tcPr>
            <w:tcW w:w="1417" w:type="dxa"/>
            <w:shd w:val="clear" w:color="auto" w:fill="auto"/>
            <w:noWrap/>
            <w:hideMark/>
          </w:tcPr>
          <w:p w:rsidR="00487D72" w:rsidRPr="00487D72" w:rsidRDefault="00487D72" w:rsidP="00747B37">
            <w:pPr>
              <w:rPr>
                <w:rFonts w:cs="Arial"/>
                <w:sz w:val="20"/>
                <w:lang w:eastAsia="en-GB"/>
              </w:rPr>
            </w:pPr>
            <w:r w:rsidRPr="00487D72">
              <w:rPr>
                <w:rFonts w:cs="Arial"/>
                <w:sz w:val="20"/>
                <w:lang w:eastAsia="en-GB"/>
              </w:rPr>
              <w:t>0</w:t>
            </w:r>
          </w:p>
        </w:tc>
        <w:tc>
          <w:tcPr>
            <w:tcW w:w="1133" w:type="dxa"/>
            <w:shd w:val="clear" w:color="auto" w:fill="auto"/>
            <w:noWrap/>
            <w:hideMark/>
          </w:tcPr>
          <w:p w:rsidR="00487D72" w:rsidRPr="00487D72" w:rsidRDefault="00487D72" w:rsidP="00747B37">
            <w:pPr>
              <w:rPr>
                <w:rFonts w:cs="Arial"/>
                <w:sz w:val="20"/>
                <w:lang w:eastAsia="en-GB"/>
              </w:rPr>
            </w:pPr>
            <w:r w:rsidRPr="00487D72">
              <w:rPr>
                <w:rFonts w:cs="Arial"/>
                <w:sz w:val="20"/>
                <w:lang w:eastAsia="en-GB"/>
              </w:rPr>
              <w:t xml:space="preserve">Till decant achieved </w:t>
            </w:r>
          </w:p>
        </w:tc>
      </w:tr>
    </w:tbl>
    <w:p w:rsidR="00332B2B" w:rsidRPr="00BE757B" w:rsidRDefault="00332B2B" w:rsidP="00456CD0"/>
    <w:sectPr w:rsidR="00332B2B" w:rsidRPr="00BE757B" w:rsidSect="00487D7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B2F" w:rsidRDefault="00F52B2F" w:rsidP="0045168A">
      <w:r>
        <w:separator/>
      </w:r>
    </w:p>
  </w:endnote>
  <w:endnote w:type="continuationSeparator" w:id="0">
    <w:p w:rsidR="00F52B2F" w:rsidRDefault="00F52B2F" w:rsidP="004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224792"/>
      <w:docPartObj>
        <w:docPartGallery w:val="Page Numbers (Bottom of Page)"/>
        <w:docPartUnique/>
      </w:docPartObj>
    </w:sdtPr>
    <w:sdtEndPr>
      <w:rPr>
        <w:noProof/>
      </w:rPr>
    </w:sdtEndPr>
    <w:sdtContent>
      <w:p w:rsidR="00984537" w:rsidRDefault="00984537" w:rsidP="00AD0B6B">
        <w:pPr>
          <w:pStyle w:val="Footer"/>
        </w:pPr>
      </w:p>
      <w:p w:rsidR="00984537" w:rsidRDefault="00984537" w:rsidP="00AD0B6B">
        <w:pPr>
          <w:pStyle w:val="Footer"/>
          <w:jc w:val="right"/>
        </w:pPr>
        <w:r>
          <w:fldChar w:fldCharType="begin"/>
        </w:r>
        <w:r>
          <w:instrText xml:space="preserve"> PAGE   \* MERGEFORMAT </w:instrText>
        </w:r>
        <w:r>
          <w:fldChar w:fldCharType="separate"/>
        </w:r>
        <w:r w:rsidR="009250A0">
          <w:rPr>
            <w:noProof/>
          </w:rPr>
          <w:t>2</w:t>
        </w:r>
        <w:r>
          <w:rPr>
            <w:noProof/>
          </w:rPr>
          <w:fldChar w:fldCharType="end"/>
        </w:r>
      </w:p>
    </w:sdtContent>
  </w:sdt>
  <w:p w:rsidR="00984537" w:rsidRPr="00AD0B6B" w:rsidRDefault="00984537" w:rsidP="00AD0B6B">
    <w:pPr>
      <w:pStyle w:val="Footer"/>
      <w:pBdr>
        <w:bottom w:val="single" w:sz="12" w:space="1" w:color="auto"/>
      </w:pBdr>
      <w:rPr>
        <w:sz w:val="16"/>
        <w:szCs w:val="16"/>
      </w:rPr>
    </w:pPr>
    <w:r>
      <w:rPr>
        <w:sz w:val="16"/>
        <w:szCs w:val="16"/>
      </w:rPr>
      <w:t xml:space="preserve">Brickfield Cottages - </w:t>
    </w:r>
    <w:r w:rsidRPr="00AD0B6B">
      <w:rPr>
        <w:sz w:val="16"/>
        <w:szCs w:val="16"/>
      </w:rPr>
      <w:t xml:space="preserve">Report </w:t>
    </w:r>
    <w:r>
      <w:rPr>
        <w:sz w:val="16"/>
        <w:szCs w:val="16"/>
      </w:rPr>
      <w:t xml:space="preserve"> </w:t>
    </w:r>
    <w:r w:rsidRPr="00AD0B6B">
      <w:rPr>
        <w:sz w:val="16"/>
        <w:szCs w:val="16"/>
      </w:rPr>
      <w:t>to Board</w:t>
    </w:r>
  </w:p>
  <w:p w:rsidR="00984537" w:rsidRDefault="00984537" w:rsidP="00AD0B6B">
    <w:pPr>
      <w:pStyle w:val="Footer"/>
      <w:pBdr>
        <w:bottom w:val="single" w:sz="12" w:space="1" w:color="auto"/>
      </w:pBdr>
      <w:rPr>
        <w:sz w:val="16"/>
        <w:szCs w:val="16"/>
      </w:rPr>
    </w:pPr>
    <w:r>
      <w:rPr>
        <w:sz w:val="16"/>
        <w:szCs w:val="16"/>
      </w:rPr>
      <w:t>2</w:t>
    </w:r>
    <w:r w:rsidR="00EC2D2F">
      <w:rPr>
        <w:sz w:val="16"/>
        <w:szCs w:val="16"/>
      </w:rPr>
      <w:t>9</w:t>
    </w:r>
    <w:r w:rsidRPr="00AD0B6B">
      <w:rPr>
        <w:sz w:val="16"/>
        <w:szCs w:val="16"/>
        <w:vertAlign w:val="superscript"/>
      </w:rPr>
      <w:t>th</w:t>
    </w:r>
    <w:r w:rsidRPr="00AD0B6B">
      <w:rPr>
        <w:sz w:val="16"/>
        <w:szCs w:val="16"/>
      </w:rPr>
      <w:t xml:space="preserve"> </w:t>
    </w:r>
    <w:r w:rsidR="00EC2D2F">
      <w:rPr>
        <w:sz w:val="16"/>
        <w:szCs w:val="16"/>
      </w:rPr>
      <w:t>Nove</w:t>
    </w:r>
    <w:r>
      <w:rPr>
        <w:sz w:val="16"/>
        <w:szCs w:val="16"/>
      </w:rPr>
      <w:t xml:space="preserve">mber </w:t>
    </w:r>
    <w:r w:rsidRPr="00AD0B6B">
      <w:rPr>
        <w:sz w:val="16"/>
        <w:szCs w:val="16"/>
      </w:rPr>
      <w:t>2016</w:t>
    </w:r>
  </w:p>
  <w:p w:rsidR="00984537" w:rsidRPr="00AD0B6B" w:rsidRDefault="00984537" w:rsidP="00AD0B6B">
    <w:pPr>
      <w:pStyle w:val="Footer"/>
      <w:pBdr>
        <w:bottom w:val="single" w:sz="12" w:space="1" w:color="auto"/>
      </w:pBd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B2F" w:rsidRDefault="00F52B2F" w:rsidP="0045168A">
      <w:r>
        <w:separator/>
      </w:r>
    </w:p>
  </w:footnote>
  <w:footnote w:type="continuationSeparator" w:id="0">
    <w:p w:rsidR="00F52B2F" w:rsidRDefault="00F52B2F" w:rsidP="00451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538D1"/>
    <w:multiLevelType w:val="hybridMultilevel"/>
    <w:tmpl w:val="AF40C83E"/>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25F4254"/>
    <w:multiLevelType w:val="hybridMultilevel"/>
    <w:tmpl w:val="91FCEEE8"/>
    <w:lvl w:ilvl="0" w:tplc="08090013">
      <w:start w:val="1"/>
      <w:numFmt w:val="upp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B7134"/>
    <w:multiLevelType w:val="hybridMultilevel"/>
    <w:tmpl w:val="58369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C44228"/>
    <w:multiLevelType w:val="hybridMultilevel"/>
    <w:tmpl w:val="5058BB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86F2C23"/>
    <w:multiLevelType w:val="hybridMultilevel"/>
    <w:tmpl w:val="C680C6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530048"/>
    <w:multiLevelType w:val="hybridMultilevel"/>
    <w:tmpl w:val="E5E2A4D0"/>
    <w:lvl w:ilvl="0" w:tplc="08090013">
      <w:start w:val="1"/>
      <w:numFmt w:val="upp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393084"/>
    <w:multiLevelType w:val="hybridMultilevel"/>
    <w:tmpl w:val="0EA0830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3955EA4"/>
    <w:multiLevelType w:val="hybridMultilevel"/>
    <w:tmpl w:val="04D604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EE57E2F"/>
    <w:multiLevelType w:val="hybridMultilevel"/>
    <w:tmpl w:val="2E3298A8"/>
    <w:lvl w:ilvl="0" w:tplc="08090013">
      <w:start w:val="1"/>
      <w:numFmt w:val="upperRoman"/>
      <w:lvlText w:val="%1."/>
      <w:lvlJc w:val="righ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4"/>
  </w:num>
  <w:num w:numId="6">
    <w:abstractNumId w:val="5"/>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22"/>
    <w:rsid w:val="0002639E"/>
    <w:rsid w:val="000271BB"/>
    <w:rsid w:val="00036126"/>
    <w:rsid w:val="00047DD0"/>
    <w:rsid w:val="00080D4C"/>
    <w:rsid w:val="000B4572"/>
    <w:rsid w:val="000C48ED"/>
    <w:rsid w:val="000D136B"/>
    <w:rsid w:val="000F7432"/>
    <w:rsid w:val="001057E0"/>
    <w:rsid w:val="001278AF"/>
    <w:rsid w:val="0014093E"/>
    <w:rsid w:val="001545BA"/>
    <w:rsid w:val="00170F8F"/>
    <w:rsid w:val="00186AAC"/>
    <w:rsid w:val="001A2E57"/>
    <w:rsid w:val="001F1D9A"/>
    <w:rsid w:val="001F47AC"/>
    <w:rsid w:val="002046A1"/>
    <w:rsid w:val="0022108D"/>
    <w:rsid w:val="002215D9"/>
    <w:rsid w:val="00224237"/>
    <w:rsid w:val="002250FF"/>
    <w:rsid w:val="00227FDB"/>
    <w:rsid w:val="00255918"/>
    <w:rsid w:val="002B2B0F"/>
    <w:rsid w:val="002B7391"/>
    <w:rsid w:val="00301D99"/>
    <w:rsid w:val="00314824"/>
    <w:rsid w:val="0032192E"/>
    <w:rsid w:val="00332B2B"/>
    <w:rsid w:val="00341BC5"/>
    <w:rsid w:val="00347C65"/>
    <w:rsid w:val="00357287"/>
    <w:rsid w:val="003A5192"/>
    <w:rsid w:val="003C5236"/>
    <w:rsid w:val="003E5F07"/>
    <w:rsid w:val="004052D2"/>
    <w:rsid w:val="00427D24"/>
    <w:rsid w:val="0045168A"/>
    <w:rsid w:val="00456CD0"/>
    <w:rsid w:val="00480AA2"/>
    <w:rsid w:val="00487D72"/>
    <w:rsid w:val="004A057C"/>
    <w:rsid w:val="004A171E"/>
    <w:rsid w:val="004C4050"/>
    <w:rsid w:val="004C5FCE"/>
    <w:rsid w:val="004E742D"/>
    <w:rsid w:val="005468BB"/>
    <w:rsid w:val="00571CE4"/>
    <w:rsid w:val="005805F2"/>
    <w:rsid w:val="005817C4"/>
    <w:rsid w:val="005C4289"/>
    <w:rsid w:val="005D4C6F"/>
    <w:rsid w:val="0060659C"/>
    <w:rsid w:val="00630C0A"/>
    <w:rsid w:val="006463D1"/>
    <w:rsid w:val="00672046"/>
    <w:rsid w:val="00681ABE"/>
    <w:rsid w:val="00681CB4"/>
    <w:rsid w:val="006A3122"/>
    <w:rsid w:val="006B334F"/>
    <w:rsid w:val="006C54CD"/>
    <w:rsid w:val="006D5CBC"/>
    <w:rsid w:val="006F0D45"/>
    <w:rsid w:val="00724FC6"/>
    <w:rsid w:val="00726921"/>
    <w:rsid w:val="00746C25"/>
    <w:rsid w:val="00747B37"/>
    <w:rsid w:val="00767605"/>
    <w:rsid w:val="007745EB"/>
    <w:rsid w:val="007928CD"/>
    <w:rsid w:val="00795BA2"/>
    <w:rsid w:val="007A36FF"/>
    <w:rsid w:val="007A4981"/>
    <w:rsid w:val="0082220C"/>
    <w:rsid w:val="008516DB"/>
    <w:rsid w:val="008614BE"/>
    <w:rsid w:val="00882DB1"/>
    <w:rsid w:val="00885617"/>
    <w:rsid w:val="008E0559"/>
    <w:rsid w:val="008F07D0"/>
    <w:rsid w:val="00914EFE"/>
    <w:rsid w:val="009250A0"/>
    <w:rsid w:val="0094368E"/>
    <w:rsid w:val="009436B7"/>
    <w:rsid w:val="009719C3"/>
    <w:rsid w:val="00972394"/>
    <w:rsid w:val="0098156A"/>
    <w:rsid w:val="00983099"/>
    <w:rsid w:val="00984537"/>
    <w:rsid w:val="009A415F"/>
    <w:rsid w:val="009C475C"/>
    <w:rsid w:val="009C587F"/>
    <w:rsid w:val="009E1751"/>
    <w:rsid w:val="00A2365B"/>
    <w:rsid w:val="00A42129"/>
    <w:rsid w:val="00A64F05"/>
    <w:rsid w:val="00A75519"/>
    <w:rsid w:val="00A901AE"/>
    <w:rsid w:val="00AB684C"/>
    <w:rsid w:val="00AC46EF"/>
    <w:rsid w:val="00AD0B6B"/>
    <w:rsid w:val="00B00831"/>
    <w:rsid w:val="00B230AB"/>
    <w:rsid w:val="00B32B84"/>
    <w:rsid w:val="00B629B4"/>
    <w:rsid w:val="00B66066"/>
    <w:rsid w:val="00B90D93"/>
    <w:rsid w:val="00B91FB8"/>
    <w:rsid w:val="00B979FA"/>
    <w:rsid w:val="00BD13FE"/>
    <w:rsid w:val="00BE47CC"/>
    <w:rsid w:val="00BE757B"/>
    <w:rsid w:val="00C0078D"/>
    <w:rsid w:val="00C0563B"/>
    <w:rsid w:val="00C06A48"/>
    <w:rsid w:val="00C112B5"/>
    <w:rsid w:val="00C114F6"/>
    <w:rsid w:val="00C36B0E"/>
    <w:rsid w:val="00C52F8C"/>
    <w:rsid w:val="00C5640A"/>
    <w:rsid w:val="00C9559B"/>
    <w:rsid w:val="00CA2A8D"/>
    <w:rsid w:val="00CD56E7"/>
    <w:rsid w:val="00CD791F"/>
    <w:rsid w:val="00CE4C2F"/>
    <w:rsid w:val="00D332D3"/>
    <w:rsid w:val="00D51BAC"/>
    <w:rsid w:val="00D65F60"/>
    <w:rsid w:val="00D732DC"/>
    <w:rsid w:val="00D7571C"/>
    <w:rsid w:val="00D825DD"/>
    <w:rsid w:val="00D82CA5"/>
    <w:rsid w:val="00D94194"/>
    <w:rsid w:val="00DC6FF6"/>
    <w:rsid w:val="00DE736D"/>
    <w:rsid w:val="00E0659F"/>
    <w:rsid w:val="00E118BF"/>
    <w:rsid w:val="00E360F3"/>
    <w:rsid w:val="00E37097"/>
    <w:rsid w:val="00E557E0"/>
    <w:rsid w:val="00E77D59"/>
    <w:rsid w:val="00E82DAB"/>
    <w:rsid w:val="00E8784D"/>
    <w:rsid w:val="00EA406B"/>
    <w:rsid w:val="00EC05DF"/>
    <w:rsid w:val="00EC2D2F"/>
    <w:rsid w:val="00EE553A"/>
    <w:rsid w:val="00F23AE7"/>
    <w:rsid w:val="00F240E2"/>
    <w:rsid w:val="00F26F97"/>
    <w:rsid w:val="00F51EBE"/>
    <w:rsid w:val="00F52B2F"/>
    <w:rsid w:val="00F65251"/>
    <w:rsid w:val="00F7079B"/>
    <w:rsid w:val="00F84A3E"/>
    <w:rsid w:val="00F92376"/>
    <w:rsid w:val="00F95D12"/>
    <w:rsid w:val="00FB085E"/>
    <w:rsid w:val="00FB7839"/>
    <w:rsid w:val="00FC5941"/>
    <w:rsid w:val="00FC5F03"/>
    <w:rsid w:val="00FE602F"/>
    <w:rsid w:val="00FF7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12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5C4289"/>
    <w:pPr>
      <w:keepNext/>
      <w:outlineLvl w:val="0"/>
    </w:pPr>
    <w:rPr>
      <w:b/>
      <w:sz w:val="40"/>
    </w:rPr>
  </w:style>
  <w:style w:type="paragraph" w:styleId="Heading4">
    <w:name w:val="heading 4"/>
    <w:basedOn w:val="Normal"/>
    <w:next w:val="Normal"/>
    <w:link w:val="Heading4Char"/>
    <w:qFormat/>
    <w:rsid w:val="005C4289"/>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3122"/>
    <w:pPr>
      <w:tabs>
        <w:tab w:val="center" w:pos="4320"/>
        <w:tab w:val="right" w:pos="8640"/>
      </w:tabs>
    </w:pPr>
  </w:style>
  <w:style w:type="character" w:customStyle="1" w:styleId="FooterChar">
    <w:name w:val="Footer Char"/>
    <w:basedOn w:val="DefaultParagraphFont"/>
    <w:link w:val="Footer"/>
    <w:uiPriority w:val="99"/>
    <w:rsid w:val="006A3122"/>
    <w:rPr>
      <w:rFonts w:ascii="Arial" w:eastAsia="Times New Roman" w:hAnsi="Arial" w:cs="Times New Roman"/>
      <w:sz w:val="24"/>
      <w:szCs w:val="20"/>
    </w:rPr>
  </w:style>
  <w:style w:type="character" w:styleId="PageNumber">
    <w:name w:val="page number"/>
    <w:basedOn w:val="DefaultParagraphFont"/>
    <w:rsid w:val="006A3122"/>
  </w:style>
  <w:style w:type="paragraph" w:styleId="Header">
    <w:name w:val="header"/>
    <w:basedOn w:val="Normal"/>
    <w:link w:val="HeaderChar"/>
    <w:uiPriority w:val="99"/>
    <w:unhideWhenUsed/>
    <w:rsid w:val="0045168A"/>
    <w:pPr>
      <w:tabs>
        <w:tab w:val="center" w:pos="4513"/>
        <w:tab w:val="right" w:pos="9026"/>
      </w:tabs>
    </w:pPr>
  </w:style>
  <w:style w:type="character" w:customStyle="1" w:styleId="HeaderChar">
    <w:name w:val="Header Char"/>
    <w:basedOn w:val="DefaultParagraphFont"/>
    <w:link w:val="Header"/>
    <w:uiPriority w:val="99"/>
    <w:rsid w:val="0045168A"/>
    <w:rPr>
      <w:rFonts w:ascii="Arial" w:eastAsia="Times New Roman" w:hAnsi="Arial" w:cs="Times New Roman"/>
      <w:sz w:val="24"/>
      <w:szCs w:val="20"/>
    </w:rPr>
  </w:style>
  <w:style w:type="character" w:customStyle="1" w:styleId="Heading1Char">
    <w:name w:val="Heading 1 Char"/>
    <w:basedOn w:val="DefaultParagraphFont"/>
    <w:link w:val="Heading1"/>
    <w:rsid w:val="005C4289"/>
    <w:rPr>
      <w:rFonts w:ascii="Arial" w:eastAsia="Times New Roman" w:hAnsi="Arial" w:cs="Times New Roman"/>
      <w:b/>
      <w:sz w:val="40"/>
      <w:szCs w:val="20"/>
    </w:rPr>
  </w:style>
  <w:style w:type="character" w:customStyle="1" w:styleId="Heading4Char">
    <w:name w:val="Heading 4 Char"/>
    <w:basedOn w:val="DefaultParagraphFont"/>
    <w:link w:val="Heading4"/>
    <w:rsid w:val="005C4289"/>
    <w:rPr>
      <w:rFonts w:ascii="Arial" w:eastAsia="Times New Roman" w:hAnsi="Arial" w:cs="Times New Roman"/>
      <w:b/>
      <w:sz w:val="28"/>
      <w:szCs w:val="20"/>
    </w:rPr>
  </w:style>
  <w:style w:type="paragraph" w:styleId="NormalWeb">
    <w:name w:val="Normal (Web)"/>
    <w:basedOn w:val="Normal"/>
    <w:uiPriority w:val="99"/>
    <w:semiHidden/>
    <w:unhideWhenUsed/>
    <w:rsid w:val="00080D4C"/>
    <w:pPr>
      <w:spacing w:before="100" w:beforeAutospacing="1" w:after="100" w:afterAutospacing="1"/>
    </w:pPr>
    <w:rPr>
      <w:rFonts w:ascii="Times New Roman" w:eastAsiaTheme="minorHAnsi" w:hAnsi="Times New Roman"/>
      <w:szCs w:val="24"/>
      <w:lang w:eastAsia="en-GB"/>
    </w:rPr>
  </w:style>
  <w:style w:type="character" w:styleId="Hyperlink">
    <w:name w:val="Hyperlink"/>
    <w:basedOn w:val="DefaultParagraphFont"/>
    <w:uiPriority w:val="99"/>
    <w:semiHidden/>
    <w:unhideWhenUsed/>
    <w:rsid w:val="00080D4C"/>
    <w:rPr>
      <w:color w:val="0000FF"/>
      <w:u w:val="single"/>
    </w:rPr>
  </w:style>
  <w:style w:type="paragraph" w:customStyle="1" w:styleId="Default">
    <w:name w:val="Default"/>
    <w:rsid w:val="008F07D0"/>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427D24"/>
    <w:rPr>
      <w:sz w:val="20"/>
    </w:rPr>
  </w:style>
  <w:style w:type="character" w:customStyle="1" w:styleId="FootnoteTextChar">
    <w:name w:val="Footnote Text Char"/>
    <w:basedOn w:val="DefaultParagraphFont"/>
    <w:link w:val="FootnoteText"/>
    <w:uiPriority w:val="99"/>
    <w:semiHidden/>
    <w:rsid w:val="00427D24"/>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427D24"/>
    <w:rPr>
      <w:vertAlign w:val="superscript"/>
    </w:rPr>
  </w:style>
  <w:style w:type="paragraph" w:styleId="ListParagraph">
    <w:name w:val="List Paragraph"/>
    <w:basedOn w:val="Normal"/>
    <w:uiPriority w:val="34"/>
    <w:qFormat/>
    <w:rsid w:val="002B2B0F"/>
    <w:pPr>
      <w:ind w:left="720"/>
      <w:contextualSpacing/>
    </w:pPr>
  </w:style>
  <w:style w:type="paragraph" w:styleId="BalloonText">
    <w:name w:val="Balloon Text"/>
    <w:basedOn w:val="Normal"/>
    <w:link w:val="BalloonTextChar"/>
    <w:uiPriority w:val="99"/>
    <w:semiHidden/>
    <w:unhideWhenUsed/>
    <w:rsid w:val="00F65251"/>
    <w:rPr>
      <w:rFonts w:ascii="Tahoma" w:hAnsi="Tahoma" w:cs="Tahoma"/>
      <w:sz w:val="16"/>
      <w:szCs w:val="16"/>
    </w:rPr>
  </w:style>
  <w:style w:type="character" w:customStyle="1" w:styleId="BalloonTextChar">
    <w:name w:val="Balloon Text Char"/>
    <w:basedOn w:val="DefaultParagraphFont"/>
    <w:link w:val="BalloonText"/>
    <w:uiPriority w:val="99"/>
    <w:semiHidden/>
    <w:rsid w:val="00F652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12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5C4289"/>
    <w:pPr>
      <w:keepNext/>
      <w:outlineLvl w:val="0"/>
    </w:pPr>
    <w:rPr>
      <w:b/>
      <w:sz w:val="40"/>
    </w:rPr>
  </w:style>
  <w:style w:type="paragraph" w:styleId="Heading4">
    <w:name w:val="heading 4"/>
    <w:basedOn w:val="Normal"/>
    <w:next w:val="Normal"/>
    <w:link w:val="Heading4Char"/>
    <w:qFormat/>
    <w:rsid w:val="005C4289"/>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3122"/>
    <w:pPr>
      <w:tabs>
        <w:tab w:val="center" w:pos="4320"/>
        <w:tab w:val="right" w:pos="8640"/>
      </w:tabs>
    </w:pPr>
  </w:style>
  <w:style w:type="character" w:customStyle="1" w:styleId="FooterChar">
    <w:name w:val="Footer Char"/>
    <w:basedOn w:val="DefaultParagraphFont"/>
    <w:link w:val="Footer"/>
    <w:uiPriority w:val="99"/>
    <w:rsid w:val="006A3122"/>
    <w:rPr>
      <w:rFonts w:ascii="Arial" w:eastAsia="Times New Roman" w:hAnsi="Arial" w:cs="Times New Roman"/>
      <w:sz w:val="24"/>
      <w:szCs w:val="20"/>
    </w:rPr>
  </w:style>
  <w:style w:type="character" w:styleId="PageNumber">
    <w:name w:val="page number"/>
    <w:basedOn w:val="DefaultParagraphFont"/>
    <w:rsid w:val="006A3122"/>
  </w:style>
  <w:style w:type="paragraph" w:styleId="Header">
    <w:name w:val="header"/>
    <w:basedOn w:val="Normal"/>
    <w:link w:val="HeaderChar"/>
    <w:uiPriority w:val="99"/>
    <w:unhideWhenUsed/>
    <w:rsid w:val="0045168A"/>
    <w:pPr>
      <w:tabs>
        <w:tab w:val="center" w:pos="4513"/>
        <w:tab w:val="right" w:pos="9026"/>
      </w:tabs>
    </w:pPr>
  </w:style>
  <w:style w:type="character" w:customStyle="1" w:styleId="HeaderChar">
    <w:name w:val="Header Char"/>
    <w:basedOn w:val="DefaultParagraphFont"/>
    <w:link w:val="Header"/>
    <w:uiPriority w:val="99"/>
    <w:rsid w:val="0045168A"/>
    <w:rPr>
      <w:rFonts w:ascii="Arial" w:eastAsia="Times New Roman" w:hAnsi="Arial" w:cs="Times New Roman"/>
      <w:sz w:val="24"/>
      <w:szCs w:val="20"/>
    </w:rPr>
  </w:style>
  <w:style w:type="character" w:customStyle="1" w:styleId="Heading1Char">
    <w:name w:val="Heading 1 Char"/>
    <w:basedOn w:val="DefaultParagraphFont"/>
    <w:link w:val="Heading1"/>
    <w:rsid w:val="005C4289"/>
    <w:rPr>
      <w:rFonts w:ascii="Arial" w:eastAsia="Times New Roman" w:hAnsi="Arial" w:cs="Times New Roman"/>
      <w:b/>
      <w:sz w:val="40"/>
      <w:szCs w:val="20"/>
    </w:rPr>
  </w:style>
  <w:style w:type="character" w:customStyle="1" w:styleId="Heading4Char">
    <w:name w:val="Heading 4 Char"/>
    <w:basedOn w:val="DefaultParagraphFont"/>
    <w:link w:val="Heading4"/>
    <w:rsid w:val="005C4289"/>
    <w:rPr>
      <w:rFonts w:ascii="Arial" w:eastAsia="Times New Roman" w:hAnsi="Arial" w:cs="Times New Roman"/>
      <w:b/>
      <w:sz w:val="28"/>
      <w:szCs w:val="20"/>
    </w:rPr>
  </w:style>
  <w:style w:type="paragraph" w:styleId="NormalWeb">
    <w:name w:val="Normal (Web)"/>
    <w:basedOn w:val="Normal"/>
    <w:uiPriority w:val="99"/>
    <w:semiHidden/>
    <w:unhideWhenUsed/>
    <w:rsid w:val="00080D4C"/>
    <w:pPr>
      <w:spacing w:before="100" w:beforeAutospacing="1" w:after="100" w:afterAutospacing="1"/>
    </w:pPr>
    <w:rPr>
      <w:rFonts w:ascii="Times New Roman" w:eastAsiaTheme="minorHAnsi" w:hAnsi="Times New Roman"/>
      <w:szCs w:val="24"/>
      <w:lang w:eastAsia="en-GB"/>
    </w:rPr>
  </w:style>
  <w:style w:type="character" w:styleId="Hyperlink">
    <w:name w:val="Hyperlink"/>
    <w:basedOn w:val="DefaultParagraphFont"/>
    <w:uiPriority w:val="99"/>
    <w:semiHidden/>
    <w:unhideWhenUsed/>
    <w:rsid w:val="00080D4C"/>
    <w:rPr>
      <w:color w:val="0000FF"/>
      <w:u w:val="single"/>
    </w:rPr>
  </w:style>
  <w:style w:type="paragraph" w:customStyle="1" w:styleId="Default">
    <w:name w:val="Default"/>
    <w:rsid w:val="008F07D0"/>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427D24"/>
    <w:rPr>
      <w:sz w:val="20"/>
    </w:rPr>
  </w:style>
  <w:style w:type="character" w:customStyle="1" w:styleId="FootnoteTextChar">
    <w:name w:val="Footnote Text Char"/>
    <w:basedOn w:val="DefaultParagraphFont"/>
    <w:link w:val="FootnoteText"/>
    <w:uiPriority w:val="99"/>
    <w:semiHidden/>
    <w:rsid w:val="00427D24"/>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427D24"/>
    <w:rPr>
      <w:vertAlign w:val="superscript"/>
    </w:rPr>
  </w:style>
  <w:style w:type="paragraph" w:styleId="ListParagraph">
    <w:name w:val="List Paragraph"/>
    <w:basedOn w:val="Normal"/>
    <w:uiPriority w:val="34"/>
    <w:qFormat/>
    <w:rsid w:val="002B2B0F"/>
    <w:pPr>
      <w:ind w:left="720"/>
      <w:contextualSpacing/>
    </w:pPr>
  </w:style>
  <w:style w:type="paragraph" w:styleId="BalloonText">
    <w:name w:val="Balloon Text"/>
    <w:basedOn w:val="Normal"/>
    <w:link w:val="BalloonTextChar"/>
    <w:uiPriority w:val="99"/>
    <w:semiHidden/>
    <w:unhideWhenUsed/>
    <w:rsid w:val="00F65251"/>
    <w:rPr>
      <w:rFonts w:ascii="Tahoma" w:hAnsi="Tahoma" w:cs="Tahoma"/>
      <w:sz w:val="16"/>
      <w:szCs w:val="16"/>
    </w:rPr>
  </w:style>
  <w:style w:type="character" w:customStyle="1" w:styleId="BalloonTextChar">
    <w:name w:val="Balloon Text Char"/>
    <w:basedOn w:val="DefaultParagraphFont"/>
    <w:link w:val="BalloonText"/>
    <w:uiPriority w:val="99"/>
    <w:semiHidden/>
    <w:rsid w:val="00F652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885">
      <w:bodyDiv w:val="1"/>
      <w:marLeft w:val="0"/>
      <w:marRight w:val="0"/>
      <w:marTop w:val="0"/>
      <w:marBottom w:val="0"/>
      <w:divBdr>
        <w:top w:val="none" w:sz="0" w:space="0" w:color="auto"/>
        <w:left w:val="none" w:sz="0" w:space="0" w:color="auto"/>
        <w:bottom w:val="none" w:sz="0" w:space="0" w:color="auto"/>
        <w:right w:val="none" w:sz="0" w:space="0" w:color="auto"/>
      </w:divBdr>
    </w:div>
    <w:div w:id="470904641">
      <w:bodyDiv w:val="1"/>
      <w:marLeft w:val="0"/>
      <w:marRight w:val="0"/>
      <w:marTop w:val="0"/>
      <w:marBottom w:val="0"/>
      <w:divBdr>
        <w:top w:val="none" w:sz="0" w:space="0" w:color="auto"/>
        <w:left w:val="none" w:sz="0" w:space="0" w:color="auto"/>
        <w:bottom w:val="none" w:sz="0" w:space="0" w:color="auto"/>
        <w:right w:val="none" w:sz="0" w:space="0" w:color="auto"/>
      </w:divBdr>
    </w:div>
    <w:div w:id="725227105">
      <w:bodyDiv w:val="1"/>
      <w:marLeft w:val="0"/>
      <w:marRight w:val="0"/>
      <w:marTop w:val="0"/>
      <w:marBottom w:val="0"/>
      <w:divBdr>
        <w:top w:val="none" w:sz="0" w:space="0" w:color="auto"/>
        <w:left w:val="none" w:sz="0" w:space="0" w:color="auto"/>
        <w:bottom w:val="none" w:sz="0" w:space="0" w:color="auto"/>
        <w:right w:val="none" w:sz="0" w:space="0" w:color="auto"/>
      </w:divBdr>
    </w:div>
    <w:div w:id="754744179">
      <w:bodyDiv w:val="1"/>
      <w:marLeft w:val="0"/>
      <w:marRight w:val="0"/>
      <w:marTop w:val="0"/>
      <w:marBottom w:val="0"/>
      <w:divBdr>
        <w:top w:val="none" w:sz="0" w:space="0" w:color="auto"/>
        <w:left w:val="none" w:sz="0" w:space="0" w:color="auto"/>
        <w:bottom w:val="none" w:sz="0" w:space="0" w:color="auto"/>
        <w:right w:val="none" w:sz="0" w:space="0" w:color="auto"/>
      </w:divBdr>
    </w:div>
    <w:div w:id="898591779">
      <w:bodyDiv w:val="1"/>
      <w:marLeft w:val="0"/>
      <w:marRight w:val="0"/>
      <w:marTop w:val="0"/>
      <w:marBottom w:val="0"/>
      <w:divBdr>
        <w:top w:val="none" w:sz="0" w:space="0" w:color="auto"/>
        <w:left w:val="none" w:sz="0" w:space="0" w:color="auto"/>
        <w:bottom w:val="none" w:sz="0" w:space="0" w:color="auto"/>
        <w:right w:val="none" w:sz="0" w:space="0" w:color="auto"/>
      </w:divBdr>
    </w:div>
    <w:div w:id="1024592886">
      <w:bodyDiv w:val="1"/>
      <w:marLeft w:val="0"/>
      <w:marRight w:val="0"/>
      <w:marTop w:val="0"/>
      <w:marBottom w:val="0"/>
      <w:divBdr>
        <w:top w:val="none" w:sz="0" w:space="0" w:color="auto"/>
        <w:left w:val="none" w:sz="0" w:space="0" w:color="auto"/>
        <w:bottom w:val="none" w:sz="0" w:space="0" w:color="auto"/>
        <w:right w:val="none" w:sz="0" w:space="0" w:color="auto"/>
      </w:divBdr>
    </w:div>
    <w:div w:id="1157380539">
      <w:bodyDiv w:val="1"/>
      <w:marLeft w:val="0"/>
      <w:marRight w:val="0"/>
      <w:marTop w:val="0"/>
      <w:marBottom w:val="0"/>
      <w:divBdr>
        <w:top w:val="none" w:sz="0" w:space="0" w:color="auto"/>
        <w:left w:val="none" w:sz="0" w:space="0" w:color="auto"/>
        <w:bottom w:val="none" w:sz="0" w:space="0" w:color="auto"/>
        <w:right w:val="none" w:sz="0" w:space="0" w:color="auto"/>
      </w:divBdr>
    </w:div>
    <w:div w:id="1359546889">
      <w:bodyDiv w:val="1"/>
      <w:marLeft w:val="0"/>
      <w:marRight w:val="0"/>
      <w:marTop w:val="0"/>
      <w:marBottom w:val="0"/>
      <w:divBdr>
        <w:top w:val="none" w:sz="0" w:space="0" w:color="auto"/>
        <w:left w:val="none" w:sz="0" w:space="0" w:color="auto"/>
        <w:bottom w:val="none" w:sz="0" w:space="0" w:color="auto"/>
        <w:right w:val="none" w:sz="0" w:space="0" w:color="auto"/>
      </w:divBdr>
    </w:div>
    <w:div w:id="1376195768">
      <w:bodyDiv w:val="1"/>
      <w:marLeft w:val="0"/>
      <w:marRight w:val="0"/>
      <w:marTop w:val="0"/>
      <w:marBottom w:val="0"/>
      <w:divBdr>
        <w:top w:val="none" w:sz="0" w:space="0" w:color="auto"/>
        <w:left w:val="none" w:sz="0" w:space="0" w:color="auto"/>
        <w:bottom w:val="none" w:sz="0" w:space="0" w:color="auto"/>
        <w:right w:val="none" w:sz="0" w:space="0" w:color="auto"/>
      </w:divBdr>
    </w:div>
    <w:div w:id="1417938785">
      <w:bodyDiv w:val="1"/>
      <w:marLeft w:val="0"/>
      <w:marRight w:val="0"/>
      <w:marTop w:val="0"/>
      <w:marBottom w:val="0"/>
      <w:divBdr>
        <w:top w:val="none" w:sz="0" w:space="0" w:color="auto"/>
        <w:left w:val="none" w:sz="0" w:space="0" w:color="auto"/>
        <w:bottom w:val="none" w:sz="0" w:space="0" w:color="auto"/>
        <w:right w:val="none" w:sz="0" w:space="0" w:color="auto"/>
      </w:divBdr>
    </w:div>
    <w:div w:id="1790661055">
      <w:bodyDiv w:val="1"/>
      <w:marLeft w:val="0"/>
      <w:marRight w:val="0"/>
      <w:marTop w:val="0"/>
      <w:marBottom w:val="0"/>
      <w:divBdr>
        <w:top w:val="none" w:sz="0" w:space="0" w:color="auto"/>
        <w:left w:val="none" w:sz="0" w:space="0" w:color="auto"/>
        <w:bottom w:val="none" w:sz="0" w:space="0" w:color="auto"/>
        <w:right w:val="none" w:sz="0" w:space="0" w:color="auto"/>
      </w:divBdr>
    </w:div>
    <w:div w:id="185710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77356-9055-4A38-A854-904515D4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Heath</dc:creator>
  <cp:lastModifiedBy>Valerie Sharpe</cp:lastModifiedBy>
  <cp:revision>2</cp:revision>
  <cp:lastPrinted>2016-11-22T15:22:00Z</cp:lastPrinted>
  <dcterms:created xsi:type="dcterms:W3CDTF">2016-12-02T12:15:00Z</dcterms:created>
  <dcterms:modified xsi:type="dcterms:W3CDTF">2016-12-02T12:15:00Z</dcterms:modified>
</cp:coreProperties>
</file>