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224CE" w:rsidRPr="00801CB7" w:rsidRDefault="00954BB0" w:rsidP="007D423B">
      <w:pPr>
        <w:ind w:left="900" w:right="476"/>
        <w:jc w:val="right"/>
        <w:rPr>
          <w:rFonts w:ascii="Arial" w:hAnsi="Arial" w:cs="Arial"/>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568325</wp:posOffset>
                </wp:positionH>
                <wp:positionV relativeFrom="paragraph">
                  <wp:posOffset>-172085</wp:posOffset>
                </wp:positionV>
                <wp:extent cx="3333750" cy="1287780"/>
                <wp:effectExtent l="0" t="0" r="19050" b="266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287780"/>
                        </a:xfrm>
                        <a:prstGeom prst="rect">
                          <a:avLst/>
                        </a:prstGeom>
                        <a:solidFill>
                          <a:srgbClr val="FFFFFF"/>
                        </a:solidFill>
                        <a:ln w="9525">
                          <a:solidFill>
                            <a:srgbClr val="C0C0C0"/>
                          </a:solidFill>
                          <a:miter lim="800000"/>
                          <a:headEnd/>
                          <a:tailEnd/>
                        </a:ln>
                      </wps:spPr>
                      <wps:txbx>
                        <w:txbxContent>
                          <w:p w:rsidR="004345F1" w:rsidRDefault="004345F1" w:rsidP="004345F1">
                            <w:pPr>
                              <w:pStyle w:val="Heading1"/>
                              <w:rPr>
                                <w:rFonts w:ascii="Arial" w:hAnsi="Arial" w:cs="Arial"/>
                              </w:rPr>
                            </w:pPr>
                            <w:r>
                              <w:rPr>
                                <w:rFonts w:ascii="Arial" w:hAnsi="Arial" w:cs="Arial"/>
                              </w:rPr>
                              <w:t>Heather Lockwood</w:t>
                            </w:r>
                          </w:p>
                          <w:p w:rsidR="004345F1" w:rsidRDefault="004345F1" w:rsidP="004345F1">
                            <w:pPr>
                              <w:rPr>
                                <w:rFonts w:ascii="Arial" w:hAnsi="Arial" w:cs="Arial"/>
                                <w:sz w:val="24"/>
                                <w:lang w:val="en-AU"/>
                              </w:rPr>
                            </w:pPr>
                            <w:r>
                              <w:rPr>
                                <w:rFonts w:ascii="Arial" w:hAnsi="Arial" w:cs="Arial"/>
                                <w:sz w:val="24"/>
                                <w:lang w:val="en-AU"/>
                              </w:rPr>
                              <w:t>Regulation Manager</w:t>
                            </w:r>
                          </w:p>
                          <w:p w:rsidR="004345F1" w:rsidRDefault="004345F1" w:rsidP="004345F1">
                            <w:pPr>
                              <w:rPr>
                                <w:rFonts w:ascii="Arial" w:hAnsi="Arial" w:cs="Arial"/>
                                <w:sz w:val="24"/>
                                <w:lang w:val="en-AU"/>
                              </w:rPr>
                            </w:pPr>
                            <w:r>
                              <w:rPr>
                                <w:rFonts w:ascii="Arial" w:hAnsi="Arial" w:cs="Arial"/>
                                <w:sz w:val="24"/>
                                <w:lang w:val="en-AU"/>
                              </w:rPr>
                              <w:t>Homes and Communities Agency (HCA)</w:t>
                            </w:r>
                          </w:p>
                          <w:p w:rsidR="004345F1" w:rsidRDefault="004345F1" w:rsidP="004345F1">
                            <w:pPr>
                              <w:ind w:right="459"/>
                              <w:rPr>
                                <w:rFonts w:ascii="Arial" w:hAnsi="Arial" w:cs="Arial"/>
                                <w:sz w:val="24"/>
                                <w:szCs w:val="24"/>
                              </w:rPr>
                            </w:pPr>
                          </w:p>
                          <w:p w:rsidR="004345F1" w:rsidRPr="00612E30" w:rsidRDefault="004345F1" w:rsidP="004345F1">
                            <w:pPr>
                              <w:ind w:right="459"/>
                              <w:rPr>
                                <w:rFonts w:ascii="Arial" w:hAnsi="Arial" w:cs="Arial"/>
                                <w:sz w:val="24"/>
                                <w:szCs w:val="24"/>
                              </w:rPr>
                            </w:pPr>
                            <w:r>
                              <w:rPr>
                                <w:rFonts w:ascii="Arial" w:hAnsi="Arial" w:cs="Arial"/>
                                <w:sz w:val="24"/>
                                <w:szCs w:val="24"/>
                              </w:rPr>
                              <w:t>Email:</w:t>
                            </w:r>
                            <w:r w:rsidR="00230B33">
                              <w:rPr>
                                <w:rFonts w:ascii="Arial" w:hAnsi="Arial" w:cs="Arial"/>
                                <w:sz w:val="24"/>
                                <w:szCs w:val="24"/>
                              </w:rPr>
                              <w:t>Heather.Lockwood@hca.gsi.gov.uk</w:t>
                            </w:r>
                          </w:p>
                          <w:p w:rsidR="00801CB7" w:rsidRPr="007D423B" w:rsidRDefault="00801CB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4.75pt;margin-top:-13.55pt;width:262.5pt;height:10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" strokecolor="silver">
                <v:textbox>
                  <w:txbxContent>
                    <w:p w:rsidR="004345F1" w:rsidRDefault="004345F1" w:rsidP="004345F1">
                      <w:pPr>
                        <w:pStyle w:val="Heading1"/>
                        <w:rPr>
                          <w:rFonts w:ascii="Arial" w:hAnsi="Arial" w:cs="Arial"/>
                        </w:rPr>
                      </w:pPr>
                      <w:r>
                        <w:rPr>
                          <w:rFonts w:ascii="Arial" w:hAnsi="Arial" w:cs="Arial"/>
                        </w:rPr>
                        <w:t>Heather Lockwood</w:t>
                      </w:r>
                    </w:p>
                    <w:p w:rsidR="004345F1" w:rsidRDefault="004345F1" w:rsidP="004345F1">
                      <w:pPr>
                        <w:rPr>
                          <w:rFonts w:ascii="Arial" w:hAnsi="Arial" w:cs="Arial"/>
                          <w:sz w:val="24"/>
                          <w:lang w:val="en-AU"/>
                        </w:rPr>
                      </w:pPr>
                      <w:r>
                        <w:rPr>
                          <w:rFonts w:ascii="Arial" w:hAnsi="Arial" w:cs="Arial"/>
                          <w:sz w:val="24"/>
                          <w:lang w:val="en-AU"/>
                        </w:rPr>
                        <w:t>Regulation Manager</w:t>
                      </w:r>
                    </w:p>
                    <w:p w:rsidR="004345F1" w:rsidRDefault="004345F1" w:rsidP="004345F1">
                      <w:pPr>
                        <w:rPr>
                          <w:rFonts w:ascii="Arial" w:hAnsi="Arial" w:cs="Arial"/>
                          <w:sz w:val="24"/>
                          <w:lang w:val="en-AU"/>
                        </w:rPr>
                      </w:pPr>
                      <w:r>
                        <w:rPr>
                          <w:rFonts w:ascii="Arial" w:hAnsi="Arial" w:cs="Arial"/>
                          <w:sz w:val="24"/>
                          <w:lang w:val="en-AU"/>
                        </w:rPr>
                        <w:t>Homes and Communities Agency (HCA)</w:t>
                      </w:r>
                    </w:p>
                    <w:p w:rsidR="004345F1" w:rsidRDefault="004345F1" w:rsidP="004345F1">
                      <w:pPr>
                        <w:ind w:right="459"/>
                        <w:rPr>
                          <w:rFonts w:ascii="Arial" w:hAnsi="Arial" w:cs="Arial"/>
                          <w:sz w:val="24"/>
                          <w:szCs w:val="24"/>
                        </w:rPr>
                      </w:pPr>
                    </w:p>
                    <w:p w:rsidR="004345F1" w:rsidRPr="00612E30" w:rsidRDefault="004345F1" w:rsidP="004345F1">
                      <w:pPr>
                        <w:ind w:right="459"/>
                        <w:rPr>
                          <w:rFonts w:ascii="Arial" w:hAnsi="Arial" w:cs="Arial"/>
                          <w:sz w:val="24"/>
                          <w:szCs w:val="24"/>
                        </w:rPr>
                      </w:pPr>
                      <w:r>
                        <w:rPr>
                          <w:rFonts w:ascii="Arial" w:hAnsi="Arial" w:cs="Arial"/>
                          <w:sz w:val="24"/>
                          <w:szCs w:val="24"/>
                        </w:rPr>
                        <w:t>E</w:t>
                      </w:r>
                      <w:r>
                        <w:rPr>
                          <w:rFonts w:ascii="Arial" w:hAnsi="Arial" w:cs="Arial"/>
                          <w:sz w:val="24"/>
                          <w:szCs w:val="24"/>
                        </w:rPr>
                        <w:t>mail:</w:t>
                      </w:r>
                      <w:r w:rsidR="00230B33">
                        <w:rPr>
                          <w:rFonts w:ascii="Arial" w:hAnsi="Arial" w:cs="Arial"/>
                          <w:sz w:val="24"/>
                          <w:szCs w:val="24"/>
                        </w:rPr>
                        <w:t>Heather.Lockwood@hca.gsi.gov.uk</w:t>
                      </w:r>
                    </w:p>
                    <w:p w:rsidR="00801CB7" w:rsidRPr="007D423B" w:rsidRDefault="00801CB7">
                      <w:pPr>
                        <w:rPr>
                          <w:rFonts w:ascii="Arial" w:hAnsi="Arial" w:cs="Arial"/>
                        </w:rPr>
                      </w:pPr>
                    </w:p>
                  </w:txbxContent>
                </v:textbox>
              </v:shape>
            </w:pict>
          </mc:Fallback>
        </mc:AlternateContent>
      </w:r>
      <w:r w:rsidR="00801CB7">
        <w:tab/>
      </w:r>
      <w:r w:rsidR="00801CB7">
        <w:tab/>
      </w:r>
      <w:r w:rsidR="00801CB7">
        <w:tab/>
      </w:r>
      <w:r w:rsidR="00801CB7">
        <w:tab/>
      </w:r>
      <w:r w:rsidR="00801CB7">
        <w:tab/>
      </w:r>
      <w:r w:rsidR="00801CB7">
        <w:tab/>
      </w:r>
      <w:r w:rsidR="00801CB7">
        <w:tab/>
      </w:r>
      <w:r w:rsidR="00801CB7" w:rsidRPr="00801CB7">
        <w:rPr>
          <w:rFonts w:ascii="Arial" w:hAnsi="Arial" w:cs="Arial"/>
        </w:rPr>
        <w:t>Tel:</w:t>
      </w:r>
      <w:r w:rsidR="00801CB7">
        <w:rPr>
          <w:rFonts w:ascii="Arial" w:hAnsi="Arial" w:cs="Arial"/>
        </w:rPr>
        <w:t xml:space="preserve"> </w:t>
      </w:r>
      <w:r w:rsidR="004345F1">
        <w:rPr>
          <w:rFonts w:ascii="Arial" w:hAnsi="Arial" w:cs="Arial"/>
        </w:rPr>
        <w:t>020 8768 7904</w:t>
      </w:r>
    </w:p>
    <w:p w:rsidR="00801CB7" w:rsidRPr="00801CB7" w:rsidRDefault="00801CB7" w:rsidP="007D423B">
      <w:pPr>
        <w:ind w:left="900" w:right="476"/>
        <w:jc w:val="right"/>
        <w:rPr>
          <w:rFonts w:ascii="Arial" w:hAnsi="Arial" w:cs="Arial"/>
        </w:rPr>
      </w:pPr>
      <w:r w:rsidRPr="00801CB7">
        <w:rPr>
          <w:rFonts w:ascii="Arial" w:hAnsi="Arial" w:cs="Arial"/>
        </w:rPr>
        <w:tab/>
      </w:r>
      <w:r w:rsidRPr="00801CB7">
        <w:rPr>
          <w:rFonts w:ascii="Arial" w:hAnsi="Arial" w:cs="Arial"/>
        </w:rPr>
        <w:tab/>
      </w:r>
      <w:r w:rsidRPr="00801CB7">
        <w:rPr>
          <w:rFonts w:ascii="Arial" w:hAnsi="Arial" w:cs="Arial"/>
        </w:rPr>
        <w:tab/>
      </w:r>
      <w:r w:rsidRPr="00801CB7">
        <w:rPr>
          <w:rFonts w:ascii="Arial" w:hAnsi="Arial" w:cs="Arial"/>
        </w:rPr>
        <w:tab/>
      </w:r>
      <w:r w:rsidRPr="00801CB7">
        <w:rPr>
          <w:rFonts w:ascii="Arial" w:hAnsi="Arial" w:cs="Arial"/>
        </w:rPr>
        <w:tab/>
      </w:r>
      <w:r w:rsidRPr="00801CB7">
        <w:rPr>
          <w:rFonts w:ascii="Arial" w:hAnsi="Arial" w:cs="Arial"/>
        </w:rPr>
        <w:tab/>
      </w:r>
      <w:r w:rsidRPr="00801CB7">
        <w:rPr>
          <w:rFonts w:ascii="Arial" w:hAnsi="Arial" w:cs="Arial"/>
        </w:rPr>
        <w:tab/>
        <w:t>Fax:</w:t>
      </w:r>
      <w:r w:rsidR="004345F1">
        <w:rPr>
          <w:rFonts w:ascii="Arial" w:hAnsi="Arial" w:cs="Arial"/>
        </w:rPr>
        <w:t xml:space="preserve"> 020 8659 9706</w:t>
      </w:r>
    </w:p>
    <w:p w:rsidR="00801CB7" w:rsidRPr="00801CB7" w:rsidRDefault="00801CB7" w:rsidP="007D423B">
      <w:pPr>
        <w:ind w:left="900" w:right="476"/>
        <w:jc w:val="right"/>
        <w:rPr>
          <w:rFonts w:ascii="Arial" w:hAnsi="Arial" w:cs="Arial"/>
        </w:rPr>
      </w:pPr>
      <w:r w:rsidRPr="00801CB7">
        <w:rPr>
          <w:rFonts w:ascii="Arial" w:hAnsi="Arial" w:cs="Arial"/>
        </w:rPr>
        <w:tab/>
      </w:r>
      <w:r w:rsidRPr="00801CB7">
        <w:rPr>
          <w:rFonts w:ascii="Arial" w:hAnsi="Arial" w:cs="Arial"/>
        </w:rPr>
        <w:tab/>
      </w:r>
      <w:r w:rsidRPr="00801CB7">
        <w:rPr>
          <w:rFonts w:ascii="Arial" w:hAnsi="Arial" w:cs="Arial"/>
        </w:rPr>
        <w:tab/>
      </w:r>
      <w:r w:rsidRPr="00801CB7">
        <w:rPr>
          <w:rFonts w:ascii="Arial" w:hAnsi="Arial" w:cs="Arial"/>
        </w:rPr>
        <w:tab/>
      </w:r>
      <w:r w:rsidRPr="00801CB7">
        <w:rPr>
          <w:rFonts w:ascii="Arial" w:hAnsi="Arial" w:cs="Arial"/>
        </w:rPr>
        <w:tab/>
      </w:r>
      <w:r w:rsidRPr="00801CB7">
        <w:rPr>
          <w:rFonts w:ascii="Arial" w:hAnsi="Arial" w:cs="Arial"/>
        </w:rPr>
        <w:tab/>
      </w:r>
      <w:r w:rsidRPr="00801CB7">
        <w:rPr>
          <w:rFonts w:ascii="Arial" w:hAnsi="Arial" w:cs="Arial"/>
        </w:rPr>
        <w:tab/>
        <w:t>Email:</w:t>
      </w:r>
      <w:r w:rsidR="004345F1">
        <w:rPr>
          <w:rFonts w:ascii="Arial" w:hAnsi="Arial" w:cs="Arial"/>
        </w:rPr>
        <w:t xml:space="preserve"> chair@hexagon.org.uk</w:t>
      </w:r>
    </w:p>
    <w:p w:rsidR="00801CB7" w:rsidRPr="00801CB7" w:rsidRDefault="00801CB7" w:rsidP="007D423B">
      <w:pPr>
        <w:ind w:left="900" w:right="476"/>
        <w:jc w:val="right"/>
        <w:rPr>
          <w:rFonts w:ascii="Arial" w:hAnsi="Arial" w:cs="Arial"/>
        </w:rPr>
      </w:pPr>
    </w:p>
    <w:p w:rsidR="00801CB7" w:rsidRPr="00801CB7" w:rsidRDefault="00801CB7" w:rsidP="007D423B">
      <w:pPr>
        <w:ind w:left="900" w:right="476"/>
        <w:jc w:val="right"/>
        <w:rPr>
          <w:rFonts w:ascii="Arial" w:hAnsi="Arial" w:cs="Arial"/>
        </w:rPr>
      </w:pPr>
      <w:r w:rsidRPr="00801CB7">
        <w:rPr>
          <w:rFonts w:ascii="Arial" w:hAnsi="Arial" w:cs="Arial"/>
        </w:rPr>
        <w:tab/>
      </w:r>
      <w:r w:rsidRPr="00801CB7">
        <w:rPr>
          <w:rFonts w:ascii="Arial" w:hAnsi="Arial" w:cs="Arial"/>
        </w:rPr>
        <w:tab/>
      </w:r>
      <w:r w:rsidRPr="00801CB7">
        <w:rPr>
          <w:rFonts w:ascii="Arial" w:hAnsi="Arial" w:cs="Arial"/>
        </w:rPr>
        <w:tab/>
      </w:r>
      <w:r w:rsidRPr="00801CB7">
        <w:rPr>
          <w:rFonts w:ascii="Arial" w:hAnsi="Arial" w:cs="Arial"/>
        </w:rPr>
        <w:tab/>
      </w:r>
      <w:r w:rsidRPr="00801CB7">
        <w:rPr>
          <w:rFonts w:ascii="Arial" w:hAnsi="Arial" w:cs="Arial"/>
        </w:rPr>
        <w:tab/>
      </w:r>
      <w:r w:rsidRPr="00801CB7">
        <w:rPr>
          <w:rFonts w:ascii="Arial" w:hAnsi="Arial" w:cs="Arial"/>
        </w:rPr>
        <w:tab/>
      </w:r>
      <w:r w:rsidRPr="00801CB7">
        <w:rPr>
          <w:rFonts w:ascii="Arial" w:hAnsi="Arial" w:cs="Arial"/>
        </w:rPr>
        <w:tab/>
        <w:t>Date:</w:t>
      </w:r>
      <w:r w:rsidR="004345F1">
        <w:rPr>
          <w:rFonts w:ascii="Arial" w:hAnsi="Arial" w:cs="Arial"/>
        </w:rPr>
        <w:t xml:space="preserve"> 2</w:t>
      </w:r>
      <w:r w:rsidR="004345F1" w:rsidRPr="004345F1">
        <w:rPr>
          <w:rFonts w:ascii="Arial" w:hAnsi="Arial" w:cs="Arial"/>
          <w:vertAlign w:val="superscript"/>
        </w:rPr>
        <w:t>nd</w:t>
      </w:r>
      <w:r w:rsidR="004345F1">
        <w:rPr>
          <w:rFonts w:ascii="Arial" w:hAnsi="Arial" w:cs="Arial"/>
        </w:rPr>
        <w:t xml:space="preserve"> August 2016</w:t>
      </w:r>
    </w:p>
    <w:p w:rsidR="00801CB7" w:rsidRDefault="00801CB7" w:rsidP="00801CB7">
      <w:pPr>
        <w:ind w:left="900"/>
      </w:pPr>
    </w:p>
    <w:p w:rsidR="00801CB7" w:rsidRDefault="00801CB7" w:rsidP="00801CB7">
      <w:pPr>
        <w:ind w:left="900"/>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23"/>
      </w:tblGrid>
      <w:tr w:rsidR="00DA696C" w:rsidTr="00B06757">
        <w:trPr>
          <w:trHeight w:val="7149"/>
        </w:trPr>
        <w:tc>
          <w:tcPr>
            <w:tcW w:w="9923" w:type="dxa"/>
          </w:tcPr>
          <w:p w:rsidR="004345F1" w:rsidRDefault="004345F1" w:rsidP="004345F1">
            <w:pPr>
              <w:rPr>
                <w:rFonts w:ascii="Arial" w:hAnsi="Arial" w:cs="Arial"/>
              </w:rPr>
            </w:pPr>
          </w:p>
          <w:p w:rsidR="004345F1" w:rsidRDefault="004345F1" w:rsidP="004345F1">
            <w:pPr>
              <w:rPr>
                <w:rFonts w:ascii="Arial" w:hAnsi="Arial" w:cs="Arial"/>
                <w:sz w:val="24"/>
                <w:szCs w:val="24"/>
              </w:rPr>
            </w:pPr>
            <w:r w:rsidRPr="00C635FF">
              <w:rPr>
                <w:rFonts w:ascii="Arial" w:hAnsi="Arial" w:cs="Arial"/>
                <w:sz w:val="24"/>
                <w:szCs w:val="24"/>
              </w:rPr>
              <w:t xml:space="preserve">Dear </w:t>
            </w:r>
            <w:r>
              <w:rPr>
                <w:rFonts w:ascii="Arial" w:hAnsi="Arial" w:cs="Arial"/>
                <w:sz w:val="24"/>
                <w:szCs w:val="24"/>
              </w:rPr>
              <w:t>Heather</w:t>
            </w:r>
          </w:p>
          <w:p w:rsidR="004345F1" w:rsidRDefault="004345F1" w:rsidP="004345F1">
            <w:pPr>
              <w:rPr>
                <w:rFonts w:ascii="Arial" w:hAnsi="Arial" w:cs="Arial"/>
                <w:sz w:val="24"/>
                <w:szCs w:val="24"/>
              </w:rPr>
            </w:pPr>
          </w:p>
          <w:p w:rsidR="004345F1" w:rsidRDefault="004345F1" w:rsidP="004345F1">
            <w:pPr>
              <w:rPr>
                <w:rFonts w:ascii="Arial" w:hAnsi="Arial" w:cs="Arial"/>
                <w:b/>
                <w:sz w:val="24"/>
                <w:szCs w:val="24"/>
              </w:rPr>
            </w:pPr>
            <w:r w:rsidRPr="003B5ED7">
              <w:rPr>
                <w:rFonts w:ascii="Arial" w:hAnsi="Arial" w:cs="Arial"/>
                <w:b/>
                <w:sz w:val="24"/>
                <w:szCs w:val="24"/>
              </w:rPr>
              <w:t xml:space="preserve">Re: </w:t>
            </w:r>
            <w:r>
              <w:rPr>
                <w:rFonts w:ascii="Arial" w:hAnsi="Arial" w:cs="Arial"/>
                <w:b/>
                <w:sz w:val="24"/>
                <w:szCs w:val="24"/>
              </w:rPr>
              <w:t>Compliance with the Rent Standard</w:t>
            </w:r>
          </w:p>
          <w:p w:rsidR="004345F1" w:rsidRDefault="004345F1" w:rsidP="004345F1">
            <w:pPr>
              <w:rPr>
                <w:rFonts w:ascii="Arial" w:hAnsi="Arial" w:cs="Arial"/>
                <w:b/>
                <w:sz w:val="24"/>
                <w:szCs w:val="24"/>
              </w:rPr>
            </w:pPr>
          </w:p>
          <w:p w:rsidR="004345F1" w:rsidRPr="003B2709" w:rsidRDefault="004345F1" w:rsidP="004345F1">
            <w:pPr>
              <w:rPr>
                <w:rFonts w:ascii="Arial" w:hAnsi="Arial" w:cs="Arial"/>
                <w:sz w:val="24"/>
                <w:szCs w:val="24"/>
                <w:u w:val="single"/>
              </w:rPr>
            </w:pPr>
            <w:r w:rsidRPr="003B2709">
              <w:rPr>
                <w:rFonts w:ascii="Arial" w:hAnsi="Arial" w:cs="Arial"/>
                <w:sz w:val="24"/>
                <w:szCs w:val="24"/>
                <w:u w:val="single"/>
              </w:rPr>
              <w:t xml:space="preserve">Introduction </w:t>
            </w:r>
          </w:p>
          <w:p w:rsidR="004345F1" w:rsidRDefault="004345F1" w:rsidP="004345F1">
            <w:pPr>
              <w:rPr>
                <w:rFonts w:ascii="Arial" w:hAnsi="Arial" w:cs="Arial"/>
                <w:sz w:val="24"/>
                <w:szCs w:val="24"/>
              </w:rPr>
            </w:pPr>
          </w:p>
          <w:p w:rsidR="004345F1" w:rsidRDefault="004345F1" w:rsidP="004345F1">
            <w:pPr>
              <w:rPr>
                <w:rFonts w:ascii="Arial" w:hAnsi="Arial" w:cs="Arial"/>
                <w:sz w:val="24"/>
                <w:szCs w:val="24"/>
              </w:rPr>
            </w:pPr>
            <w:r>
              <w:rPr>
                <w:rFonts w:ascii="Arial" w:hAnsi="Arial" w:cs="Arial"/>
                <w:sz w:val="24"/>
                <w:szCs w:val="24"/>
              </w:rPr>
              <w:t>I am writing to you as Chair of the Hexagon Board to bring to your attention a rent compliance issue and the actions which the Board has taken to ensure that the situation has been rectified and that further assurance has been put in place to ensure that it will not occur again. You will note from this letter that full repayments to Hexagon residents have been made and that the Board have put in place audit arrangements and additional system controls to ensure future compliance.</w:t>
            </w:r>
          </w:p>
          <w:p w:rsidR="004345F1" w:rsidRDefault="004345F1" w:rsidP="004345F1">
            <w:pPr>
              <w:rPr>
                <w:rFonts w:ascii="Arial" w:hAnsi="Arial" w:cs="Arial"/>
                <w:sz w:val="24"/>
                <w:szCs w:val="24"/>
                <w:u w:val="single"/>
              </w:rPr>
            </w:pPr>
          </w:p>
          <w:p w:rsidR="004345F1" w:rsidRPr="003B2709" w:rsidRDefault="004345F1" w:rsidP="004345F1">
            <w:pPr>
              <w:rPr>
                <w:rFonts w:ascii="Arial" w:hAnsi="Arial" w:cs="Arial"/>
                <w:sz w:val="24"/>
                <w:szCs w:val="24"/>
                <w:u w:val="single"/>
              </w:rPr>
            </w:pPr>
            <w:r w:rsidRPr="003B2709">
              <w:rPr>
                <w:rFonts w:ascii="Arial" w:hAnsi="Arial" w:cs="Arial"/>
                <w:sz w:val="24"/>
                <w:szCs w:val="24"/>
                <w:u w:val="single"/>
              </w:rPr>
              <w:t>Supported Housing Rents – direct managed</w:t>
            </w:r>
          </w:p>
          <w:p w:rsidR="004345F1" w:rsidRDefault="004345F1" w:rsidP="004345F1">
            <w:pPr>
              <w:rPr>
                <w:rFonts w:ascii="Arial" w:hAnsi="Arial" w:cs="Arial"/>
                <w:sz w:val="24"/>
                <w:szCs w:val="24"/>
              </w:rPr>
            </w:pPr>
            <w:r>
              <w:rPr>
                <w:rFonts w:ascii="Arial" w:hAnsi="Arial" w:cs="Arial"/>
                <w:sz w:val="24"/>
                <w:szCs w:val="24"/>
              </w:rPr>
              <w:t xml:space="preserve">Earlier this year, the HCA queried with our Finance Director the level of rents in one borough relating to a small number of supported housing bed spaces. In response to that query, our officers undertook a detailed investigation into the rents queried. As this initial trawl identified some rents that exceeded the maximum allowable rent under the rent standard, this then led to </w:t>
            </w:r>
            <w:r w:rsidR="00230B33">
              <w:rPr>
                <w:rFonts w:ascii="Arial" w:hAnsi="Arial" w:cs="Arial"/>
                <w:sz w:val="24"/>
                <w:szCs w:val="24"/>
              </w:rPr>
              <w:t>a much more detailed officer</w:t>
            </w:r>
            <w:r>
              <w:rPr>
                <w:rFonts w:ascii="Arial" w:hAnsi="Arial" w:cs="Arial"/>
                <w:sz w:val="24"/>
                <w:szCs w:val="24"/>
              </w:rPr>
              <w:t xml:space="preserve">s investigation into ALL of our rents in our directly managed supported housing. This officer’s investigation concluded that we had a total </w:t>
            </w:r>
            <w:r w:rsidR="00230B33">
              <w:rPr>
                <w:rFonts w:ascii="Arial" w:hAnsi="Arial" w:cs="Arial"/>
                <w:sz w:val="24"/>
                <w:szCs w:val="24"/>
              </w:rPr>
              <w:t xml:space="preserve">of </w:t>
            </w:r>
            <w:r>
              <w:rPr>
                <w:rFonts w:ascii="Arial" w:hAnsi="Arial" w:cs="Arial"/>
                <w:sz w:val="24"/>
                <w:szCs w:val="24"/>
              </w:rPr>
              <w:t xml:space="preserve">32 homes which Hexagon manages direct, with rents that exceeded the maximum rent allowed under the rent standard.  </w:t>
            </w:r>
          </w:p>
          <w:p w:rsidR="004345F1" w:rsidRDefault="004345F1" w:rsidP="004345F1">
            <w:pPr>
              <w:rPr>
                <w:rFonts w:ascii="Arial" w:hAnsi="Arial" w:cs="Arial"/>
                <w:sz w:val="24"/>
                <w:szCs w:val="24"/>
              </w:rPr>
            </w:pPr>
          </w:p>
          <w:p w:rsidR="004345F1" w:rsidRDefault="004345F1" w:rsidP="004345F1">
            <w:pPr>
              <w:rPr>
                <w:rFonts w:ascii="Arial" w:hAnsi="Arial" w:cs="Arial"/>
                <w:sz w:val="24"/>
                <w:szCs w:val="24"/>
              </w:rPr>
            </w:pPr>
            <w:r>
              <w:rPr>
                <w:rFonts w:ascii="Arial" w:hAnsi="Arial" w:cs="Arial"/>
                <w:sz w:val="24"/>
                <w:szCs w:val="24"/>
              </w:rPr>
              <w:t xml:space="preserve">What the investigation established was that there was no particular pattern to the rent errors. For these 32 homes, there were 5 separate and distinct reasons why the rent was incorrect. These are outlined in some detail in </w:t>
            </w:r>
            <w:r w:rsidRPr="00101C81">
              <w:rPr>
                <w:rFonts w:ascii="Arial" w:hAnsi="Arial" w:cs="Arial"/>
                <w:b/>
                <w:sz w:val="24"/>
                <w:szCs w:val="24"/>
              </w:rPr>
              <w:t xml:space="preserve">Appendix </w:t>
            </w:r>
            <w:r>
              <w:rPr>
                <w:rFonts w:ascii="Arial" w:hAnsi="Arial" w:cs="Arial"/>
                <w:b/>
                <w:sz w:val="24"/>
                <w:szCs w:val="24"/>
              </w:rPr>
              <w:t>A,</w:t>
            </w:r>
            <w:r>
              <w:rPr>
                <w:rFonts w:ascii="Arial" w:hAnsi="Arial" w:cs="Arial"/>
                <w:sz w:val="24"/>
                <w:szCs w:val="24"/>
              </w:rPr>
              <w:t xml:space="preserve"> but the key point is that each of these arose from human error rather than having incorrect procedures in place. </w:t>
            </w:r>
          </w:p>
          <w:p w:rsidR="004345F1" w:rsidRDefault="004345F1" w:rsidP="004345F1">
            <w:pPr>
              <w:rPr>
                <w:rFonts w:ascii="Arial" w:hAnsi="Arial" w:cs="Arial"/>
                <w:u w:val="single"/>
              </w:rPr>
            </w:pPr>
          </w:p>
          <w:p w:rsidR="004345F1" w:rsidRDefault="004345F1" w:rsidP="004345F1">
            <w:pPr>
              <w:jc w:val="right"/>
              <w:rPr>
                <w:rFonts w:ascii="Arial" w:hAnsi="Arial" w:cs="Arial"/>
                <w:b/>
                <w:i/>
                <w:sz w:val="22"/>
                <w:szCs w:val="24"/>
              </w:rPr>
            </w:pPr>
            <w:r w:rsidRPr="00EF62B6">
              <w:rPr>
                <w:rFonts w:ascii="Arial" w:hAnsi="Arial" w:cs="Arial"/>
                <w:b/>
                <w:i/>
                <w:sz w:val="22"/>
                <w:szCs w:val="24"/>
              </w:rPr>
              <w:t>Cont’d/……2</w:t>
            </w:r>
          </w:p>
          <w:p w:rsidR="004345F1" w:rsidRDefault="004345F1" w:rsidP="004345F1">
            <w:pPr>
              <w:jc w:val="right"/>
              <w:rPr>
                <w:rFonts w:ascii="Arial" w:hAnsi="Arial" w:cs="Arial"/>
                <w:b/>
                <w:i/>
                <w:sz w:val="22"/>
                <w:szCs w:val="24"/>
              </w:rPr>
            </w:pPr>
          </w:p>
          <w:p w:rsidR="004345F1" w:rsidRPr="00EF62B6" w:rsidRDefault="004345F1" w:rsidP="004345F1">
            <w:pPr>
              <w:jc w:val="right"/>
              <w:rPr>
                <w:rFonts w:ascii="Arial" w:hAnsi="Arial" w:cs="Arial"/>
                <w:b/>
                <w:i/>
                <w:sz w:val="22"/>
                <w:szCs w:val="24"/>
              </w:rPr>
            </w:pPr>
          </w:p>
          <w:p w:rsidR="004345F1" w:rsidRPr="004345F1" w:rsidRDefault="004345F1" w:rsidP="004345F1">
            <w:pPr>
              <w:rPr>
                <w:rFonts w:ascii="Arial" w:hAnsi="Arial" w:cs="Arial"/>
                <w:b/>
                <w:i/>
                <w:sz w:val="22"/>
                <w:szCs w:val="24"/>
              </w:rPr>
            </w:pPr>
            <w:r w:rsidRPr="004345F1">
              <w:rPr>
                <w:rFonts w:ascii="Arial" w:hAnsi="Arial" w:cs="Arial"/>
                <w:b/>
                <w:i/>
                <w:sz w:val="22"/>
                <w:szCs w:val="24"/>
              </w:rPr>
              <w:lastRenderedPageBreak/>
              <w:t>Page 2/</w:t>
            </w:r>
          </w:p>
          <w:p w:rsidR="004345F1" w:rsidRDefault="004345F1" w:rsidP="004345F1">
            <w:pPr>
              <w:rPr>
                <w:rFonts w:ascii="Arial" w:hAnsi="Arial" w:cs="Arial"/>
                <w:sz w:val="24"/>
                <w:szCs w:val="24"/>
                <w:u w:val="single"/>
              </w:rPr>
            </w:pPr>
          </w:p>
          <w:p w:rsidR="004345F1" w:rsidRDefault="004345F1" w:rsidP="004345F1">
            <w:pPr>
              <w:rPr>
                <w:rFonts w:ascii="Arial" w:hAnsi="Arial" w:cs="Arial"/>
                <w:sz w:val="24"/>
                <w:szCs w:val="24"/>
                <w:u w:val="single"/>
              </w:rPr>
            </w:pPr>
          </w:p>
          <w:p w:rsidR="004345F1" w:rsidRDefault="004345F1" w:rsidP="004345F1">
            <w:pPr>
              <w:rPr>
                <w:rFonts w:ascii="Arial" w:hAnsi="Arial" w:cs="Arial"/>
                <w:sz w:val="24"/>
                <w:szCs w:val="24"/>
                <w:u w:val="single"/>
              </w:rPr>
            </w:pPr>
            <w:r w:rsidRPr="00665981">
              <w:rPr>
                <w:rFonts w:ascii="Arial" w:hAnsi="Arial" w:cs="Arial"/>
                <w:sz w:val="24"/>
                <w:szCs w:val="24"/>
                <w:u w:val="single"/>
              </w:rPr>
              <w:t>Agency Man</w:t>
            </w:r>
            <w:r w:rsidR="00337982">
              <w:rPr>
                <w:rFonts w:ascii="Arial" w:hAnsi="Arial" w:cs="Arial"/>
                <w:sz w:val="24"/>
                <w:szCs w:val="24"/>
                <w:u w:val="single"/>
              </w:rPr>
              <w:t>a</w:t>
            </w:r>
            <w:r w:rsidRPr="00665981">
              <w:rPr>
                <w:rFonts w:ascii="Arial" w:hAnsi="Arial" w:cs="Arial"/>
                <w:sz w:val="24"/>
                <w:szCs w:val="24"/>
                <w:u w:val="single"/>
              </w:rPr>
              <w:t xml:space="preserve">ged Supported Housing </w:t>
            </w:r>
          </w:p>
          <w:p w:rsidR="004345F1" w:rsidRDefault="004345F1" w:rsidP="004345F1">
            <w:pPr>
              <w:rPr>
                <w:rFonts w:ascii="Arial" w:hAnsi="Arial" w:cs="Arial"/>
                <w:sz w:val="24"/>
                <w:szCs w:val="24"/>
              </w:rPr>
            </w:pPr>
            <w:r w:rsidRPr="00665981">
              <w:rPr>
                <w:rFonts w:ascii="Arial" w:hAnsi="Arial" w:cs="Arial"/>
                <w:sz w:val="24"/>
                <w:szCs w:val="24"/>
              </w:rPr>
              <w:t>Following this exercise,</w:t>
            </w:r>
            <w:r>
              <w:rPr>
                <w:rFonts w:ascii="Arial" w:hAnsi="Arial" w:cs="Arial"/>
                <w:sz w:val="24"/>
                <w:szCs w:val="24"/>
              </w:rPr>
              <w:t xml:space="preserve"> in an effort to be comprehensive, </w:t>
            </w:r>
            <w:r w:rsidRPr="00665981">
              <w:rPr>
                <w:rFonts w:ascii="Arial" w:hAnsi="Arial" w:cs="Arial"/>
                <w:sz w:val="24"/>
                <w:szCs w:val="24"/>
              </w:rPr>
              <w:t xml:space="preserve">the officers extended the investigation even further, this time looking at the rents in ALL of our supported housing schemes. This included homes owned by Hexagon, but where the housing management service is provided by a third party. This resulted in a finding that </w:t>
            </w:r>
            <w:r>
              <w:rPr>
                <w:rFonts w:ascii="Arial" w:hAnsi="Arial" w:cs="Arial"/>
                <w:sz w:val="24"/>
                <w:szCs w:val="24"/>
              </w:rPr>
              <w:t xml:space="preserve">a </w:t>
            </w:r>
            <w:r w:rsidRPr="00665981">
              <w:rPr>
                <w:rFonts w:ascii="Arial" w:hAnsi="Arial" w:cs="Arial"/>
                <w:sz w:val="24"/>
                <w:szCs w:val="24"/>
              </w:rPr>
              <w:t xml:space="preserve">further </w:t>
            </w:r>
            <w:r>
              <w:rPr>
                <w:rFonts w:ascii="Arial" w:hAnsi="Arial" w:cs="Arial"/>
                <w:sz w:val="24"/>
                <w:szCs w:val="24"/>
              </w:rPr>
              <w:t xml:space="preserve">3 </w:t>
            </w:r>
            <w:r w:rsidRPr="00665981">
              <w:rPr>
                <w:rFonts w:ascii="Arial" w:hAnsi="Arial" w:cs="Arial"/>
                <w:sz w:val="24"/>
                <w:szCs w:val="24"/>
              </w:rPr>
              <w:t>schemes also had rents that were not compliant with the Rent Standard. This totalled 51 bed s</w:t>
            </w:r>
            <w:r>
              <w:rPr>
                <w:rFonts w:ascii="Arial" w:hAnsi="Arial" w:cs="Arial"/>
                <w:sz w:val="24"/>
                <w:szCs w:val="24"/>
              </w:rPr>
              <w:t xml:space="preserve">paces. </w:t>
            </w:r>
          </w:p>
          <w:p w:rsidR="004345F1" w:rsidRDefault="004345F1" w:rsidP="004345F1">
            <w:pPr>
              <w:rPr>
                <w:rFonts w:ascii="Arial" w:hAnsi="Arial" w:cs="Arial"/>
                <w:sz w:val="24"/>
                <w:szCs w:val="24"/>
              </w:rPr>
            </w:pPr>
          </w:p>
          <w:p w:rsidR="004345F1" w:rsidRDefault="004345F1" w:rsidP="004345F1">
            <w:pPr>
              <w:rPr>
                <w:rFonts w:ascii="Arial" w:hAnsi="Arial" w:cs="Arial"/>
                <w:sz w:val="24"/>
                <w:szCs w:val="24"/>
              </w:rPr>
            </w:pPr>
            <w:r>
              <w:rPr>
                <w:rFonts w:ascii="Arial" w:hAnsi="Arial" w:cs="Arial"/>
                <w:sz w:val="24"/>
                <w:szCs w:val="24"/>
              </w:rPr>
              <w:br w:type="page"/>
              <w:t>The vast majority of these bed spaces (42) were in one hostel which had been man</w:t>
            </w:r>
            <w:r w:rsidR="00230B33">
              <w:rPr>
                <w:rFonts w:ascii="Arial" w:hAnsi="Arial" w:cs="Arial"/>
                <w:sz w:val="24"/>
                <w:szCs w:val="24"/>
              </w:rPr>
              <w:t>aged by an agency</w:t>
            </w:r>
            <w:r>
              <w:rPr>
                <w:rFonts w:ascii="Arial" w:hAnsi="Arial" w:cs="Arial"/>
                <w:sz w:val="24"/>
                <w:szCs w:val="24"/>
              </w:rPr>
              <w:t>. What we discovered was that a previous managing agent had changed the net rent without informing Hexagon and a new agency, appointed by the Supporting People commissioners, had continued to use that incorrectly set rent.</w:t>
            </w:r>
          </w:p>
          <w:p w:rsidR="004345F1" w:rsidRDefault="004345F1" w:rsidP="004345F1">
            <w:pPr>
              <w:rPr>
                <w:rFonts w:ascii="Arial" w:hAnsi="Arial" w:cs="Arial"/>
                <w:sz w:val="24"/>
                <w:szCs w:val="24"/>
              </w:rPr>
            </w:pPr>
          </w:p>
          <w:p w:rsidR="004345F1" w:rsidRDefault="004345F1" w:rsidP="004345F1">
            <w:pPr>
              <w:rPr>
                <w:rFonts w:ascii="Arial" w:hAnsi="Arial" w:cs="Arial"/>
                <w:sz w:val="24"/>
                <w:szCs w:val="24"/>
              </w:rPr>
            </w:pPr>
            <w:r>
              <w:rPr>
                <w:rFonts w:ascii="Arial" w:hAnsi="Arial" w:cs="Arial"/>
                <w:sz w:val="24"/>
                <w:szCs w:val="24"/>
              </w:rPr>
              <w:t xml:space="preserve">A further 9 bed spaces were in 2 separate women’s refuges. The context here is that a decision had been taken in 2003 that these women’s refuges were exempt from rent restructuring, given their stated intention to house homeless families, which appeared as an exemption. We believe this was and still is a fairly widespread interpretation across the sector. However, at this stage, as we were turning over every stone in our desire to be comprehensive, we decided to take legal advice on that interpretation. </w:t>
            </w:r>
          </w:p>
          <w:p w:rsidR="004345F1" w:rsidRDefault="004345F1" w:rsidP="004345F1">
            <w:pPr>
              <w:rPr>
                <w:rFonts w:ascii="Arial" w:hAnsi="Arial" w:cs="Arial"/>
                <w:sz w:val="24"/>
                <w:szCs w:val="24"/>
              </w:rPr>
            </w:pPr>
          </w:p>
          <w:p w:rsidR="004345F1" w:rsidRDefault="004345F1" w:rsidP="004345F1">
            <w:pPr>
              <w:rPr>
                <w:rFonts w:ascii="Arial" w:hAnsi="Arial" w:cs="Arial"/>
                <w:sz w:val="24"/>
                <w:szCs w:val="24"/>
              </w:rPr>
            </w:pPr>
            <w:r>
              <w:rPr>
                <w:rFonts w:ascii="Arial" w:hAnsi="Arial" w:cs="Arial"/>
                <w:sz w:val="24"/>
                <w:szCs w:val="24"/>
              </w:rPr>
              <w:t xml:space="preserve">Having taken that legal advice, we now believe that a decision taken in good faith back in 2003, was in fact taken in error and that the rent charged should have been capped in accordance with Rent Restructuring. This is essentially because of the grant funding that was provided in the building of the refuge.  </w:t>
            </w:r>
          </w:p>
          <w:p w:rsidR="00DA696C" w:rsidRDefault="00DA696C" w:rsidP="004345F1">
            <w:pPr>
              <w:rPr>
                <w:rFonts w:ascii="Arial" w:hAnsi="Arial" w:cs="Arial"/>
              </w:rPr>
            </w:pPr>
          </w:p>
          <w:p w:rsidR="004345F1" w:rsidRDefault="004345F1" w:rsidP="004345F1">
            <w:pPr>
              <w:rPr>
                <w:rFonts w:ascii="Arial" w:hAnsi="Arial" w:cs="Arial"/>
                <w:sz w:val="24"/>
                <w:szCs w:val="24"/>
                <w:u w:val="single"/>
              </w:rPr>
            </w:pPr>
            <w:r w:rsidRPr="003543F6">
              <w:rPr>
                <w:rFonts w:ascii="Arial" w:hAnsi="Arial" w:cs="Arial"/>
                <w:sz w:val="24"/>
                <w:szCs w:val="24"/>
                <w:u w:val="single"/>
              </w:rPr>
              <w:t>General Needs – direct managed</w:t>
            </w:r>
          </w:p>
          <w:p w:rsidR="004345F1" w:rsidRDefault="004345F1" w:rsidP="004345F1">
            <w:pPr>
              <w:rPr>
                <w:rFonts w:ascii="Arial" w:hAnsi="Arial" w:cs="Arial"/>
                <w:sz w:val="24"/>
                <w:szCs w:val="24"/>
              </w:rPr>
            </w:pPr>
            <w:r>
              <w:rPr>
                <w:rFonts w:ascii="Arial" w:hAnsi="Arial" w:cs="Arial"/>
                <w:sz w:val="24"/>
                <w:szCs w:val="24"/>
              </w:rPr>
              <w:t xml:space="preserve">Given all of the above findings, a final investigation was undertaken into all of our general needs lettings. This investigation concluded that there were a total of 12 anomalies. Once again, we established no particular pattern to this. Again, </w:t>
            </w:r>
            <w:r w:rsidRPr="00101C81">
              <w:rPr>
                <w:rFonts w:ascii="Arial" w:hAnsi="Arial" w:cs="Arial"/>
                <w:b/>
                <w:sz w:val="24"/>
                <w:szCs w:val="24"/>
              </w:rPr>
              <w:t>Appendix A</w:t>
            </w:r>
            <w:r>
              <w:rPr>
                <w:rFonts w:ascii="Arial" w:hAnsi="Arial" w:cs="Arial"/>
                <w:sz w:val="24"/>
                <w:szCs w:val="24"/>
              </w:rPr>
              <w:t xml:space="preserve"> outlines that there were 3 different reasons for the human errors that occurred on these 12 units.  </w:t>
            </w:r>
          </w:p>
          <w:p w:rsidR="004345F1" w:rsidRDefault="004345F1" w:rsidP="004345F1">
            <w:pPr>
              <w:rPr>
                <w:rFonts w:ascii="Arial" w:hAnsi="Arial" w:cs="Arial"/>
                <w:sz w:val="24"/>
                <w:szCs w:val="24"/>
              </w:rPr>
            </w:pPr>
            <w:r>
              <w:rPr>
                <w:rFonts w:ascii="Arial" w:hAnsi="Arial" w:cs="Arial"/>
                <w:sz w:val="24"/>
                <w:szCs w:val="24"/>
              </w:rPr>
              <w:t xml:space="preserve"> </w:t>
            </w:r>
          </w:p>
          <w:p w:rsidR="004345F1" w:rsidRPr="00FA49C2" w:rsidRDefault="004345F1" w:rsidP="004345F1">
            <w:pPr>
              <w:rPr>
                <w:rFonts w:ascii="Arial" w:hAnsi="Arial" w:cs="Arial"/>
                <w:sz w:val="24"/>
                <w:szCs w:val="24"/>
              </w:rPr>
            </w:pPr>
            <w:r>
              <w:rPr>
                <w:rFonts w:ascii="Arial" w:hAnsi="Arial" w:cs="Arial"/>
                <w:sz w:val="24"/>
                <w:szCs w:val="24"/>
                <w:u w:val="single"/>
              </w:rPr>
              <w:t xml:space="preserve">How has the Hexagon Board responded? </w:t>
            </w:r>
          </w:p>
          <w:p w:rsidR="004345F1" w:rsidRDefault="004345F1" w:rsidP="004345F1">
            <w:pPr>
              <w:rPr>
                <w:rFonts w:ascii="Arial" w:hAnsi="Arial" w:cs="Arial"/>
                <w:sz w:val="24"/>
                <w:szCs w:val="24"/>
              </w:rPr>
            </w:pPr>
            <w:r>
              <w:rPr>
                <w:rFonts w:ascii="Arial" w:hAnsi="Arial" w:cs="Arial"/>
                <w:sz w:val="24"/>
                <w:szCs w:val="24"/>
              </w:rPr>
              <w:t xml:space="preserve">I want to emphasise that the Board and Hexagon’s Audit &amp; Risk Committee have been very involved in agreeing the approach to the </w:t>
            </w:r>
            <w:r w:rsidR="00230B33">
              <w:rPr>
                <w:rFonts w:ascii="Arial" w:hAnsi="Arial" w:cs="Arial"/>
                <w:sz w:val="24"/>
                <w:szCs w:val="24"/>
              </w:rPr>
              <w:t>officer</w:t>
            </w:r>
            <w:r>
              <w:rPr>
                <w:rFonts w:ascii="Arial" w:hAnsi="Arial" w:cs="Arial"/>
                <w:sz w:val="24"/>
                <w:szCs w:val="24"/>
              </w:rPr>
              <w:t xml:space="preserve">s investigation, monitoring the outcomes, and crucially, ensuring that remedial actions are undertaken which will prevent any reoccurrence in the future. </w:t>
            </w:r>
          </w:p>
          <w:p w:rsidR="004345F1" w:rsidRDefault="004345F1" w:rsidP="004345F1">
            <w:pPr>
              <w:rPr>
                <w:rFonts w:ascii="Arial" w:hAnsi="Arial" w:cs="Arial"/>
                <w:sz w:val="24"/>
                <w:szCs w:val="24"/>
              </w:rPr>
            </w:pPr>
          </w:p>
          <w:p w:rsidR="004345F1" w:rsidRDefault="004345F1" w:rsidP="004345F1">
            <w:pPr>
              <w:rPr>
                <w:rFonts w:ascii="Arial" w:hAnsi="Arial" w:cs="Arial"/>
                <w:sz w:val="24"/>
                <w:szCs w:val="24"/>
              </w:rPr>
            </w:pPr>
            <w:r>
              <w:rPr>
                <w:rFonts w:ascii="Arial" w:hAnsi="Arial" w:cs="Arial"/>
                <w:sz w:val="24"/>
                <w:szCs w:val="24"/>
              </w:rPr>
              <w:t>Officers first reported to the Audit &amp; Risk Committee on 16</w:t>
            </w:r>
            <w:r w:rsidRPr="006862FA">
              <w:rPr>
                <w:rFonts w:ascii="Arial" w:hAnsi="Arial" w:cs="Arial"/>
                <w:sz w:val="24"/>
                <w:szCs w:val="24"/>
                <w:vertAlign w:val="superscript"/>
              </w:rPr>
              <w:t>th</w:t>
            </w:r>
            <w:r>
              <w:rPr>
                <w:rFonts w:ascii="Arial" w:hAnsi="Arial" w:cs="Arial"/>
                <w:sz w:val="24"/>
                <w:szCs w:val="24"/>
              </w:rPr>
              <w:t xml:space="preserve"> February 2016 and to the full Board on 29</w:t>
            </w:r>
            <w:r w:rsidRPr="006862FA">
              <w:rPr>
                <w:rFonts w:ascii="Arial" w:hAnsi="Arial" w:cs="Arial"/>
                <w:sz w:val="24"/>
                <w:szCs w:val="24"/>
                <w:vertAlign w:val="superscript"/>
              </w:rPr>
              <w:t>th</w:t>
            </w:r>
            <w:r>
              <w:rPr>
                <w:rFonts w:ascii="Arial" w:hAnsi="Arial" w:cs="Arial"/>
                <w:sz w:val="24"/>
                <w:szCs w:val="24"/>
              </w:rPr>
              <w:t xml:space="preserve"> March 2016. A further report was done for the Audit &amp; Risk Committee on 10</w:t>
            </w:r>
            <w:r w:rsidRPr="006862FA">
              <w:rPr>
                <w:rFonts w:ascii="Arial" w:hAnsi="Arial" w:cs="Arial"/>
                <w:sz w:val="24"/>
                <w:szCs w:val="24"/>
                <w:vertAlign w:val="superscript"/>
              </w:rPr>
              <w:t>th</w:t>
            </w:r>
            <w:r>
              <w:rPr>
                <w:rFonts w:ascii="Arial" w:hAnsi="Arial" w:cs="Arial"/>
                <w:sz w:val="24"/>
                <w:szCs w:val="24"/>
              </w:rPr>
              <w:t xml:space="preserve"> May 2016 and most recently, on 11</w:t>
            </w:r>
            <w:r w:rsidRPr="006862FA">
              <w:rPr>
                <w:rFonts w:ascii="Arial" w:hAnsi="Arial" w:cs="Arial"/>
                <w:sz w:val="24"/>
                <w:szCs w:val="24"/>
                <w:vertAlign w:val="superscript"/>
              </w:rPr>
              <w:t>th</w:t>
            </w:r>
            <w:r>
              <w:rPr>
                <w:rFonts w:ascii="Arial" w:hAnsi="Arial" w:cs="Arial"/>
                <w:sz w:val="24"/>
                <w:szCs w:val="24"/>
              </w:rPr>
              <w:t xml:space="preserve"> July 2016, the Audit &amp; Risk Committee received the final internal audit report on compliance with the Rent Standard from internal auditors (see below for more detail). Since then, officers have been working hard to process rent refunds to all Hexagon tenants who have been overcharged.  </w:t>
            </w:r>
          </w:p>
          <w:p w:rsidR="004345F1" w:rsidRDefault="004345F1" w:rsidP="004345F1">
            <w:pPr>
              <w:rPr>
                <w:rFonts w:ascii="Arial" w:hAnsi="Arial" w:cs="Arial"/>
                <w:sz w:val="24"/>
                <w:szCs w:val="24"/>
              </w:rPr>
            </w:pPr>
          </w:p>
          <w:p w:rsidR="004345F1" w:rsidRDefault="004345F1" w:rsidP="004345F1">
            <w:pPr>
              <w:jc w:val="right"/>
              <w:rPr>
                <w:rFonts w:ascii="Arial" w:hAnsi="Arial" w:cs="Arial"/>
                <w:b/>
                <w:i/>
                <w:sz w:val="22"/>
                <w:szCs w:val="24"/>
              </w:rPr>
            </w:pPr>
          </w:p>
          <w:p w:rsidR="004345F1" w:rsidRDefault="004345F1" w:rsidP="004345F1">
            <w:pPr>
              <w:jc w:val="right"/>
              <w:rPr>
                <w:rFonts w:ascii="Arial" w:hAnsi="Arial" w:cs="Arial"/>
                <w:b/>
                <w:i/>
                <w:sz w:val="22"/>
                <w:szCs w:val="24"/>
              </w:rPr>
            </w:pPr>
          </w:p>
          <w:p w:rsidR="004345F1" w:rsidRPr="004345F1" w:rsidRDefault="004345F1" w:rsidP="004345F1">
            <w:pPr>
              <w:jc w:val="right"/>
              <w:rPr>
                <w:rFonts w:ascii="Arial" w:hAnsi="Arial" w:cs="Arial"/>
                <w:b/>
                <w:i/>
                <w:sz w:val="22"/>
                <w:szCs w:val="24"/>
              </w:rPr>
            </w:pPr>
            <w:r w:rsidRPr="004345F1">
              <w:rPr>
                <w:rFonts w:ascii="Arial" w:hAnsi="Arial" w:cs="Arial"/>
                <w:b/>
                <w:i/>
                <w:sz w:val="22"/>
                <w:szCs w:val="24"/>
              </w:rPr>
              <w:t>Cont’d/……</w:t>
            </w:r>
            <w:r>
              <w:rPr>
                <w:rFonts w:ascii="Arial" w:hAnsi="Arial" w:cs="Arial"/>
                <w:b/>
                <w:i/>
                <w:sz w:val="22"/>
                <w:szCs w:val="24"/>
              </w:rPr>
              <w:t>3</w:t>
            </w:r>
          </w:p>
          <w:p w:rsidR="004345F1" w:rsidRDefault="004345F1" w:rsidP="004345F1">
            <w:pPr>
              <w:rPr>
                <w:rFonts w:ascii="Arial" w:hAnsi="Arial" w:cs="Arial"/>
                <w:sz w:val="24"/>
                <w:szCs w:val="24"/>
              </w:rPr>
            </w:pPr>
          </w:p>
          <w:p w:rsidR="004345F1" w:rsidRDefault="004345F1" w:rsidP="004345F1">
            <w:pPr>
              <w:rPr>
                <w:rFonts w:ascii="Arial" w:hAnsi="Arial" w:cs="Arial"/>
                <w:b/>
                <w:i/>
                <w:sz w:val="22"/>
                <w:szCs w:val="24"/>
              </w:rPr>
            </w:pPr>
          </w:p>
          <w:p w:rsidR="004345F1" w:rsidRDefault="004345F1" w:rsidP="004345F1">
            <w:pPr>
              <w:rPr>
                <w:rFonts w:ascii="Arial" w:hAnsi="Arial" w:cs="Arial"/>
                <w:b/>
                <w:i/>
                <w:sz w:val="22"/>
                <w:szCs w:val="24"/>
              </w:rPr>
            </w:pPr>
          </w:p>
          <w:p w:rsidR="004345F1" w:rsidRPr="004345F1" w:rsidRDefault="004345F1" w:rsidP="004345F1">
            <w:pPr>
              <w:rPr>
                <w:rFonts w:ascii="Arial" w:hAnsi="Arial" w:cs="Arial"/>
                <w:b/>
                <w:i/>
                <w:sz w:val="22"/>
                <w:szCs w:val="24"/>
              </w:rPr>
            </w:pPr>
            <w:r w:rsidRPr="004345F1">
              <w:rPr>
                <w:rFonts w:ascii="Arial" w:hAnsi="Arial" w:cs="Arial"/>
                <w:b/>
                <w:i/>
                <w:sz w:val="22"/>
                <w:szCs w:val="24"/>
              </w:rPr>
              <w:lastRenderedPageBreak/>
              <w:t>Page 3/</w:t>
            </w:r>
          </w:p>
          <w:p w:rsidR="004345F1" w:rsidRDefault="004345F1" w:rsidP="004345F1">
            <w:pPr>
              <w:rPr>
                <w:rFonts w:ascii="Arial" w:hAnsi="Arial" w:cs="Arial"/>
                <w:sz w:val="24"/>
                <w:szCs w:val="24"/>
              </w:rPr>
            </w:pPr>
          </w:p>
          <w:p w:rsidR="004345F1" w:rsidRDefault="004345F1" w:rsidP="004345F1">
            <w:pPr>
              <w:rPr>
                <w:rFonts w:ascii="Arial" w:hAnsi="Arial" w:cs="Arial"/>
                <w:sz w:val="24"/>
                <w:szCs w:val="24"/>
              </w:rPr>
            </w:pPr>
          </w:p>
          <w:p w:rsidR="004345F1" w:rsidRDefault="004345F1" w:rsidP="004345F1">
            <w:pPr>
              <w:rPr>
                <w:rFonts w:ascii="Arial" w:hAnsi="Arial" w:cs="Arial"/>
                <w:sz w:val="24"/>
                <w:szCs w:val="24"/>
              </w:rPr>
            </w:pPr>
            <w:r>
              <w:rPr>
                <w:rFonts w:ascii="Arial" w:hAnsi="Arial" w:cs="Arial"/>
                <w:sz w:val="24"/>
                <w:szCs w:val="24"/>
              </w:rPr>
              <w:t xml:space="preserve">The legal advice we obtained also provided us with a clear steer on how the Board might go about remedying the problems identified and we were also advised on the timescale for communicating with the HCA in relation to the findings and resolution of the issues identified. </w:t>
            </w:r>
          </w:p>
          <w:p w:rsidR="004345F1" w:rsidRDefault="004345F1" w:rsidP="004345F1">
            <w:pPr>
              <w:rPr>
                <w:rFonts w:ascii="Arial" w:hAnsi="Arial" w:cs="Arial"/>
                <w:sz w:val="24"/>
                <w:szCs w:val="24"/>
              </w:rPr>
            </w:pPr>
          </w:p>
          <w:p w:rsidR="004345F1" w:rsidRPr="000E3D72" w:rsidRDefault="004345F1" w:rsidP="004345F1">
            <w:pPr>
              <w:rPr>
                <w:rFonts w:ascii="Arial" w:hAnsi="Arial" w:cs="Arial"/>
                <w:sz w:val="24"/>
                <w:szCs w:val="24"/>
                <w:u w:val="single"/>
              </w:rPr>
            </w:pPr>
            <w:r w:rsidRPr="000E3D72">
              <w:rPr>
                <w:rFonts w:ascii="Arial" w:hAnsi="Arial" w:cs="Arial"/>
                <w:sz w:val="24"/>
                <w:szCs w:val="24"/>
                <w:u w:val="single"/>
              </w:rPr>
              <w:t>Use of our Internal Auditors</w:t>
            </w:r>
          </w:p>
          <w:p w:rsidR="004345F1" w:rsidRDefault="004345F1" w:rsidP="004345F1">
            <w:pPr>
              <w:rPr>
                <w:rFonts w:ascii="Arial" w:hAnsi="Arial" w:cs="Arial"/>
                <w:sz w:val="24"/>
                <w:szCs w:val="24"/>
              </w:rPr>
            </w:pPr>
            <w:r>
              <w:rPr>
                <w:rFonts w:ascii="Arial" w:hAnsi="Arial" w:cs="Arial"/>
                <w:sz w:val="24"/>
                <w:szCs w:val="24"/>
              </w:rPr>
              <w:t>I also want to emphasise that our Audit &amp; Risk Committee and Board decided quickly to carry out a special Internal Audit on Rents. This was done to double check whether the investigations which had been carried out in-house were thorough and comprehensive so that we had complete assurance. The audit report which went to our Audit &amp; Risk Committee on 11</w:t>
            </w:r>
            <w:r w:rsidRPr="009314F0">
              <w:rPr>
                <w:rFonts w:ascii="Arial" w:hAnsi="Arial" w:cs="Arial"/>
                <w:sz w:val="24"/>
                <w:szCs w:val="24"/>
                <w:vertAlign w:val="superscript"/>
              </w:rPr>
              <w:t>th</w:t>
            </w:r>
            <w:r>
              <w:rPr>
                <w:rFonts w:ascii="Arial" w:hAnsi="Arial" w:cs="Arial"/>
                <w:sz w:val="24"/>
                <w:szCs w:val="24"/>
              </w:rPr>
              <w:t xml:space="preserve"> July (and reported in summary to the full Board on 26</w:t>
            </w:r>
            <w:r w:rsidRPr="009314F0">
              <w:rPr>
                <w:rFonts w:ascii="Arial" w:hAnsi="Arial" w:cs="Arial"/>
                <w:sz w:val="24"/>
                <w:szCs w:val="24"/>
                <w:vertAlign w:val="superscript"/>
              </w:rPr>
              <w:t>th</w:t>
            </w:r>
            <w:r>
              <w:rPr>
                <w:rFonts w:ascii="Arial" w:hAnsi="Arial" w:cs="Arial"/>
                <w:sz w:val="24"/>
                <w:szCs w:val="24"/>
              </w:rPr>
              <w:t xml:space="preserve"> July) concluded that the approach foll</w:t>
            </w:r>
            <w:r w:rsidR="00230B33">
              <w:rPr>
                <w:rFonts w:ascii="Arial" w:hAnsi="Arial" w:cs="Arial"/>
                <w:sz w:val="24"/>
                <w:szCs w:val="24"/>
              </w:rPr>
              <w:t>owed by management to identify</w:t>
            </w:r>
            <w:r>
              <w:rPr>
                <w:rFonts w:ascii="Arial" w:hAnsi="Arial" w:cs="Arial"/>
                <w:sz w:val="24"/>
                <w:szCs w:val="24"/>
              </w:rPr>
              <w:t xml:space="preserve"> current rents within the General Needs and Supported Housing stock above policy maximums had indeed been effective. They also observed that management were calculating refunds for all current tenancies where issues had been found to ensure that the monies were repaid. </w:t>
            </w:r>
          </w:p>
          <w:p w:rsidR="004345F1" w:rsidRDefault="004345F1" w:rsidP="004345F1">
            <w:pPr>
              <w:rPr>
                <w:rFonts w:ascii="Arial" w:hAnsi="Arial" w:cs="Arial"/>
                <w:sz w:val="24"/>
                <w:szCs w:val="24"/>
              </w:rPr>
            </w:pPr>
          </w:p>
          <w:p w:rsidR="004345F1" w:rsidRDefault="004345F1" w:rsidP="004345F1">
            <w:pPr>
              <w:rPr>
                <w:rFonts w:ascii="Arial" w:hAnsi="Arial" w:cs="Arial"/>
                <w:sz w:val="24"/>
                <w:szCs w:val="24"/>
              </w:rPr>
            </w:pPr>
            <w:r>
              <w:rPr>
                <w:rFonts w:ascii="Arial" w:hAnsi="Arial" w:cs="Arial"/>
                <w:sz w:val="24"/>
                <w:szCs w:val="24"/>
              </w:rPr>
              <w:t>The auditors made just two recommendations for further actions, both of which were agreed and have now been implemented by management. One related to record keeping for development schemes where target rent calculations were filed centrally and a second related to ensuring that our Agency Monitoring Officer checks the details sent by the agencies on the proposed rent charges, re-let rents, and rents at 31</w:t>
            </w:r>
            <w:r w:rsidRPr="00B81EA4">
              <w:rPr>
                <w:rFonts w:ascii="Arial" w:hAnsi="Arial" w:cs="Arial"/>
                <w:sz w:val="24"/>
                <w:szCs w:val="24"/>
                <w:vertAlign w:val="superscript"/>
              </w:rPr>
              <w:t>st</w:t>
            </w:r>
            <w:r>
              <w:rPr>
                <w:rFonts w:ascii="Arial" w:hAnsi="Arial" w:cs="Arial"/>
                <w:sz w:val="24"/>
                <w:szCs w:val="24"/>
              </w:rPr>
              <w:t xml:space="preserve"> March.</w:t>
            </w:r>
          </w:p>
          <w:p w:rsidR="004345F1" w:rsidRDefault="004345F1" w:rsidP="004345F1">
            <w:pPr>
              <w:rPr>
                <w:rFonts w:ascii="Arial" w:hAnsi="Arial" w:cs="Arial"/>
                <w:sz w:val="24"/>
                <w:szCs w:val="24"/>
              </w:rPr>
            </w:pPr>
          </w:p>
          <w:p w:rsidR="004345F1" w:rsidRDefault="004345F1" w:rsidP="004345F1">
            <w:pPr>
              <w:rPr>
                <w:rFonts w:ascii="Arial" w:hAnsi="Arial" w:cs="Arial"/>
                <w:sz w:val="24"/>
                <w:szCs w:val="24"/>
              </w:rPr>
            </w:pPr>
            <w:r>
              <w:rPr>
                <w:rFonts w:ascii="Arial" w:hAnsi="Arial" w:cs="Arial"/>
                <w:sz w:val="24"/>
                <w:szCs w:val="24"/>
              </w:rPr>
              <w:t xml:space="preserve">Crucially, the auditors reporting to the Audit &amp; Risk Committee reported that there </w:t>
            </w:r>
            <w:r w:rsidRPr="000E3D72">
              <w:rPr>
                <w:rFonts w:ascii="Arial" w:hAnsi="Arial" w:cs="Arial"/>
                <w:sz w:val="24"/>
                <w:szCs w:val="24"/>
              </w:rPr>
              <w:t xml:space="preserve">had not been a “systemic” failure </w:t>
            </w:r>
            <w:r>
              <w:rPr>
                <w:rFonts w:ascii="Arial" w:hAnsi="Arial" w:cs="Arial"/>
                <w:sz w:val="24"/>
                <w:szCs w:val="24"/>
              </w:rPr>
              <w:t>which affected all of our rents because of an underlying issue with our rent model. Instead, they observed that there had been a number of isolated human errors which had resulted in the non-compliant rents being charged. We would be more than happy to share details of this audit with you, should you require it.</w:t>
            </w:r>
          </w:p>
          <w:p w:rsidR="004345F1" w:rsidRDefault="004345F1" w:rsidP="004345F1">
            <w:pPr>
              <w:rPr>
                <w:rFonts w:ascii="Arial" w:hAnsi="Arial" w:cs="Arial"/>
                <w:sz w:val="24"/>
                <w:szCs w:val="24"/>
              </w:rPr>
            </w:pPr>
          </w:p>
          <w:p w:rsidR="004345F1" w:rsidRPr="000E3D72" w:rsidRDefault="004345F1" w:rsidP="004345F1">
            <w:pPr>
              <w:rPr>
                <w:rFonts w:ascii="Arial" w:hAnsi="Arial" w:cs="Arial"/>
                <w:sz w:val="24"/>
                <w:szCs w:val="24"/>
                <w:u w:val="single"/>
              </w:rPr>
            </w:pPr>
            <w:r w:rsidRPr="000E3D72">
              <w:rPr>
                <w:rFonts w:ascii="Arial" w:hAnsi="Arial" w:cs="Arial"/>
                <w:sz w:val="24"/>
                <w:szCs w:val="24"/>
                <w:u w:val="single"/>
              </w:rPr>
              <w:t>How much money is involved</w:t>
            </w:r>
            <w:r>
              <w:rPr>
                <w:rFonts w:ascii="Arial" w:hAnsi="Arial" w:cs="Arial"/>
                <w:sz w:val="24"/>
                <w:szCs w:val="24"/>
                <w:u w:val="single"/>
              </w:rPr>
              <w:t xml:space="preserve"> in refunds</w:t>
            </w:r>
            <w:r w:rsidRPr="000E3D72">
              <w:rPr>
                <w:rFonts w:ascii="Arial" w:hAnsi="Arial" w:cs="Arial"/>
                <w:sz w:val="24"/>
                <w:szCs w:val="24"/>
                <w:u w:val="single"/>
              </w:rPr>
              <w:t xml:space="preserve">? </w:t>
            </w:r>
          </w:p>
          <w:p w:rsidR="004345F1" w:rsidRDefault="004345F1" w:rsidP="004345F1">
            <w:pPr>
              <w:rPr>
                <w:rFonts w:ascii="Arial" w:hAnsi="Arial" w:cs="Arial"/>
                <w:sz w:val="24"/>
                <w:szCs w:val="24"/>
              </w:rPr>
            </w:pPr>
            <w:r>
              <w:rPr>
                <w:rFonts w:ascii="Arial" w:hAnsi="Arial" w:cs="Arial"/>
                <w:sz w:val="24"/>
                <w:szCs w:val="24"/>
              </w:rPr>
              <w:t xml:space="preserve">To give you some idea of the scale of the discrepancies, in General Needs, the 12 rent overcharges varied from £3.69 per week (error in re-letting) to £15.29 (error in first letting). The total amount in overpaid rent for all the directly managed units is £13,247. The direct managed Supported Housing refunds total £54,393. Taking both of these together, £20,334 has now been refunded to tenants. </w:t>
            </w:r>
          </w:p>
          <w:p w:rsidR="004345F1" w:rsidRDefault="004345F1" w:rsidP="004345F1">
            <w:pPr>
              <w:rPr>
                <w:rFonts w:ascii="Arial" w:hAnsi="Arial" w:cs="Arial"/>
                <w:sz w:val="24"/>
                <w:szCs w:val="24"/>
              </w:rPr>
            </w:pPr>
          </w:p>
          <w:p w:rsidR="004345F1" w:rsidRDefault="004345F1" w:rsidP="004345F1">
            <w:pPr>
              <w:rPr>
                <w:rFonts w:ascii="Arial" w:hAnsi="Arial" w:cs="Arial"/>
                <w:sz w:val="24"/>
                <w:szCs w:val="24"/>
              </w:rPr>
            </w:pPr>
            <w:r>
              <w:rPr>
                <w:rFonts w:ascii="Arial" w:hAnsi="Arial" w:cs="Arial"/>
                <w:sz w:val="24"/>
                <w:szCs w:val="24"/>
              </w:rPr>
              <w:t xml:space="preserve">We are in the process of making the rest available to the respective Housing Benefit departments. Initial indications are that a straightforward payment to them may not meet their own requirements, given the complications of the HB subsidy arrangements. I should emphasise that we are absolutely clear that </w:t>
            </w:r>
            <w:r w:rsidR="00230B33">
              <w:rPr>
                <w:rFonts w:ascii="Arial" w:hAnsi="Arial" w:cs="Arial"/>
                <w:sz w:val="24"/>
                <w:szCs w:val="24"/>
              </w:rPr>
              <w:t xml:space="preserve">we </w:t>
            </w:r>
            <w:r>
              <w:rPr>
                <w:rFonts w:ascii="Arial" w:hAnsi="Arial" w:cs="Arial"/>
                <w:sz w:val="24"/>
                <w:szCs w:val="24"/>
              </w:rPr>
              <w:t>wish to pay the money back and would only decline doing so on their request.</w:t>
            </w:r>
          </w:p>
          <w:p w:rsidR="004345F1" w:rsidRDefault="004345F1" w:rsidP="004345F1">
            <w:pPr>
              <w:rPr>
                <w:rFonts w:ascii="Arial" w:hAnsi="Arial" w:cs="Arial"/>
                <w:sz w:val="24"/>
                <w:szCs w:val="24"/>
              </w:rPr>
            </w:pPr>
          </w:p>
          <w:p w:rsidR="004345F1" w:rsidRPr="004345F1" w:rsidRDefault="004345F1" w:rsidP="004345F1">
            <w:pPr>
              <w:jc w:val="right"/>
              <w:rPr>
                <w:rFonts w:ascii="Arial" w:hAnsi="Arial" w:cs="Arial"/>
                <w:b/>
                <w:i/>
                <w:sz w:val="22"/>
                <w:szCs w:val="24"/>
              </w:rPr>
            </w:pPr>
            <w:r w:rsidRPr="004345F1">
              <w:rPr>
                <w:rFonts w:ascii="Arial" w:hAnsi="Arial" w:cs="Arial"/>
                <w:b/>
                <w:i/>
                <w:sz w:val="22"/>
                <w:szCs w:val="24"/>
              </w:rPr>
              <w:t>Cont’d/……4</w:t>
            </w:r>
          </w:p>
          <w:p w:rsidR="004345F1" w:rsidRDefault="004345F1" w:rsidP="004345F1">
            <w:pPr>
              <w:rPr>
                <w:rFonts w:ascii="Arial" w:hAnsi="Arial" w:cs="Arial"/>
              </w:rPr>
            </w:pPr>
          </w:p>
        </w:tc>
      </w:tr>
    </w:tbl>
    <w:p w:rsidR="00194E35" w:rsidRDefault="00194E35" w:rsidP="00B06757">
      <w:pPr>
        <w:ind w:left="360"/>
        <w:rPr>
          <w:rFonts w:ascii="Arial" w:hAnsi="Arial" w:cs="Arial"/>
          <w:b/>
          <w:color w:val="6A9913"/>
          <w:sz w:val="16"/>
          <w:szCs w:val="16"/>
        </w:rPr>
      </w:pPr>
    </w:p>
    <w:p w:rsidR="00194E35" w:rsidRDefault="00194E35" w:rsidP="00B06757">
      <w:pPr>
        <w:ind w:left="360"/>
        <w:rPr>
          <w:rFonts w:ascii="Arial" w:hAnsi="Arial" w:cs="Arial"/>
          <w:b/>
          <w:color w:val="6A9913"/>
          <w:sz w:val="16"/>
          <w:szCs w:val="16"/>
        </w:rPr>
      </w:pPr>
    </w:p>
    <w:p w:rsidR="00660BCB" w:rsidRDefault="00660BCB" w:rsidP="00B06757">
      <w:pPr>
        <w:ind w:left="360"/>
        <w:rPr>
          <w:rFonts w:ascii="Arial" w:hAnsi="Arial" w:cs="Arial"/>
          <w:b/>
          <w:color w:val="6A9913"/>
          <w:sz w:val="16"/>
          <w:szCs w:val="16"/>
        </w:rPr>
      </w:pPr>
    </w:p>
    <w:tbl>
      <w:tblPr>
        <w:tblStyle w:val="TableGrid"/>
        <w:tblW w:w="0" w:type="auto"/>
        <w:tblInd w:w="1008" w:type="dxa"/>
        <w:tblLook w:val="01E0" w:firstRow="1" w:lastRow="1" w:firstColumn="1" w:lastColumn="1" w:noHBand="0" w:noVBand="0"/>
      </w:tblPr>
      <w:tblGrid>
        <w:gridCol w:w="9108"/>
      </w:tblGrid>
      <w:tr w:rsidR="004345F1" w:rsidTr="004345F1">
        <w:trPr>
          <w:trHeight w:val="12404"/>
        </w:trPr>
        <w:tc>
          <w:tcPr>
            <w:tcW w:w="9108" w:type="dxa"/>
            <w:tcBorders>
              <w:top w:val="nil"/>
              <w:left w:val="nil"/>
              <w:bottom w:val="nil"/>
              <w:right w:val="nil"/>
            </w:tcBorders>
          </w:tcPr>
          <w:p w:rsidR="004345F1" w:rsidRDefault="004345F1" w:rsidP="00801CB7">
            <w:pPr>
              <w:rPr>
                <w:rFonts w:ascii="Arial" w:hAnsi="Arial" w:cs="Arial"/>
                <w:b/>
                <w:i/>
                <w:sz w:val="22"/>
                <w:szCs w:val="24"/>
              </w:rPr>
            </w:pPr>
          </w:p>
          <w:p w:rsidR="004345F1" w:rsidRDefault="004345F1" w:rsidP="00801CB7">
            <w:pPr>
              <w:rPr>
                <w:rFonts w:ascii="Arial" w:hAnsi="Arial" w:cs="Arial"/>
                <w:b/>
                <w:i/>
                <w:sz w:val="22"/>
                <w:szCs w:val="24"/>
              </w:rPr>
            </w:pPr>
          </w:p>
          <w:p w:rsidR="00B06757" w:rsidRPr="004345F1" w:rsidRDefault="004345F1" w:rsidP="00801CB7">
            <w:pPr>
              <w:rPr>
                <w:rFonts w:ascii="Arial" w:hAnsi="Arial" w:cs="Arial"/>
                <w:b/>
                <w:i/>
                <w:sz w:val="22"/>
                <w:szCs w:val="24"/>
              </w:rPr>
            </w:pPr>
            <w:r w:rsidRPr="004345F1">
              <w:rPr>
                <w:rFonts w:ascii="Arial" w:hAnsi="Arial" w:cs="Arial"/>
                <w:b/>
                <w:i/>
                <w:sz w:val="22"/>
                <w:szCs w:val="24"/>
              </w:rPr>
              <w:t>Page 4/</w:t>
            </w:r>
          </w:p>
          <w:p w:rsidR="004345F1" w:rsidRDefault="004345F1" w:rsidP="00801CB7">
            <w:pPr>
              <w:rPr>
                <w:rFonts w:ascii="Arial" w:hAnsi="Arial" w:cs="Arial"/>
                <w:sz w:val="24"/>
                <w:szCs w:val="24"/>
              </w:rPr>
            </w:pPr>
          </w:p>
          <w:p w:rsidR="004345F1" w:rsidRDefault="004345F1" w:rsidP="004345F1">
            <w:pPr>
              <w:rPr>
                <w:rFonts w:ascii="Arial" w:hAnsi="Arial" w:cs="Arial"/>
                <w:sz w:val="24"/>
                <w:szCs w:val="24"/>
              </w:rPr>
            </w:pPr>
            <w:r>
              <w:rPr>
                <w:rFonts w:ascii="Arial" w:hAnsi="Arial" w:cs="Arial"/>
                <w:sz w:val="24"/>
                <w:szCs w:val="24"/>
              </w:rPr>
              <w:t>In relation to the Supported Housing agency man</w:t>
            </w:r>
            <w:r w:rsidR="00230B33">
              <w:rPr>
                <w:rFonts w:ascii="Arial" w:hAnsi="Arial" w:cs="Arial"/>
                <w:sz w:val="24"/>
                <w:szCs w:val="24"/>
              </w:rPr>
              <w:t>a</w:t>
            </w:r>
            <w:r>
              <w:rPr>
                <w:rFonts w:ascii="Arial" w:hAnsi="Arial" w:cs="Arial"/>
                <w:sz w:val="24"/>
                <w:szCs w:val="24"/>
              </w:rPr>
              <w:t xml:space="preserve">ged schemes, the cost of making refunds is £118,632, the vast majority of which is repayable to Housing Benefit departments. The reason this figure is significantly greater is that some of the refunds go back to the original date of rent restructuring, as described above. </w:t>
            </w:r>
          </w:p>
          <w:p w:rsidR="004345F1" w:rsidRDefault="004345F1" w:rsidP="004345F1">
            <w:pPr>
              <w:rPr>
                <w:rFonts w:ascii="Arial" w:hAnsi="Arial" w:cs="Arial"/>
                <w:sz w:val="24"/>
                <w:szCs w:val="24"/>
              </w:rPr>
            </w:pPr>
          </w:p>
          <w:p w:rsidR="004345F1" w:rsidRDefault="004345F1" w:rsidP="004345F1">
            <w:pPr>
              <w:rPr>
                <w:rFonts w:ascii="Arial" w:hAnsi="Arial" w:cs="Arial"/>
                <w:sz w:val="24"/>
                <w:szCs w:val="24"/>
              </w:rPr>
            </w:pPr>
            <w:r>
              <w:rPr>
                <w:rFonts w:ascii="Arial" w:hAnsi="Arial" w:cs="Arial"/>
                <w:sz w:val="24"/>
                <w:szCs w:val="24"/>
              </w:rPr>
              <w:t xml:space="preserve">The two agencies where rents have been non-compliant, are also remedying the rents. One managing agent has already served notices to charge new compliant rents and a second agency has confirmed to us that they too are correcting the mistakes and charging the correct rents in the future. </w:t>
            </w:r>
          </w:p>
          <w:p w:rsidR="004345F1" w:rsidRDefault="004345F1" w:rsidP="004345F1">
            <w:pPr>
              <w:rPr>
                <w:rFonts w:ascii="Arial" w:hAnsi="Arial" w:cs="Arial"/>
                <w:sz w:val="24"/>
                <w:szCs w:val="24"/>
                <w:u w:val="single"/>
              </w:rPr>
            </w:pPr>
          </w:p>
          <w:p w:rsidR="004345F1" w:rsidRDefault="004345F1" w:rsidP="004345F1">
            <w:pPr>
              <w:rPr>
                <w:rFonts w:ascii="Arial" w:hAnsi="Arial" w:cs="Arial"/>
                <w:sz w:val="24"/>
                <w:szCs w:val="24"/>
                <w:u w:val="single"/>
              </w:rPr>
            </w:pPr>
            <w:r w:rsidRPr="0098098E">
              <w:rPr>
                <w:rFonts w:ascii="Arial" w:hAnsi="Arial" w:cs="Arial"/>
                <w:sz w:val="24"/>
                <w:szCs w:val="24"/>
                <w:u w:val="single"/>
              </w:rPr>
              <w:t xml:space="preserve">What will be different about setting rents in the future? </w:t>
            </w:r>
          </w:p>
          <w:p w:rsidR="004345F1" w:rsidRDefault="004345F1" w:rsidP="004345F1">
            <w:pPr>
              <w:rPr>
                <w:rFonts w:ascii="Arial" w:hAnsi="Arial" w:cs="Arial"/>
                <w:sz w:val="24"/>
                <w:szCs w:val="24"/>
              </w:rPr>
            </w:pPr>
            <w:r>
              <w:rPr>
                <w:rFonts w:ascii="Arial" w:hAnsi="Arial" w:cs="Arial"/>
                <w:sz w:val="24"/>
                <w:szCs w:val="24"/>
              </w:rPr>
              <w:t xml:space="preserve">You will see from </w:t>
            </w:r>
            <w:r w:rsidRPr="002A6B09">
              <w:rPr>
                <w:rFonts w:ascii="Arial" w:hAnsi="Arial" w:cs="Arial"/>
                <w:b/>
                <w:sz w:val="24"/>
                <w:szCs w:val="24"/>
              </w:rPr>
              <w:t xml:space="preserve">Appendix A </w:t>
            </w:r>
            <w:r>
              <w:rPr>
                <w:rFonts w:ascii="Arial" w:hAnsi="Arial" w:cs="Arial"/>
                <w:sz w:val="24"/>
                <w:szCs w:val="24"/>
              </w:rPr>
              <w:t>that we have described the corrective actions that have been taken in response to each of the errors uncovered.  In addition, arising from the audit, the Audit and Risk Committee has now assured the Board that a second officer will now check the rents on homes as they are re-let with evidence of the check on the file. They have also agreed a new system for checking agency managed rents before they are changed at the start of the year and during the year on re-let. In addition, they have agreed that our IT department will now be saving an instructional electronic file on all updates to our target rents model, extracts from which are used continuously throughout the year to set rents on re-lets or to select the rent for a Rent Officer’s determination for Fair Rents.</w:t>
            </w:r>
          </w:p>
          <w:p w:rsidR="004345F1" w:rsidRDefault="004345F1" w:rsidP="004345F1">
            <w:pPr>
              <w:rPr>
                <w:rFonts w:ascii="Arial" w:hAnsi="Arial" w:cs="Arial"/>
                <w:sz w:val="24"/>
                <w:szCs w:val="24"/>
              </w:rPr>
            </w:pPr>
          </w:p>
          <w:p w:rsidR="004345F1" w:rsidRPr="00F17FFE" w:rsidRDefault="004345F1" w:rsidP="004345F1">
            <w:pPr>
              <w:rPr>
                <w:rFonts w:ascii="Arial" w:hAnsi="Arial" w:cs="Arial"/>
                <w:sz w:val="24"/>
                <w:szCs w:val="24"/>
                <w:u w:val="single"/>
              </w:rPr>
            </w:pPr>
            <w:r w:rsidRPr="00F17FFE">
              <w:rPr>
                <w:rFonts w:ascii="Arial" w:hAnsi="Arial" w:cs="Arial"/>
                <w:sz w:val="24"/>
                <w:szCs w:val="24"/>
                <w:u w:val="single"/>
              </w:rPr>
              <w:t>A second Internal Audit on Rent</w:t>
            </w:r>
            <w:r>
              <w:rPr>
                <w:rFonts w:ascii="Arial" w:hAnsi="Arial" w:cs="Arial"/>
                <w:sz w:val="24"/>
                <w:szCs w:val="24"/>
                <w:u w:val="single"/>
              </w:rPr>
              <w:t xml:space="preserve"> levels</w:t>
            </w:r>
          </w:p>
          <w:p w:rsidR="004345F1" w:rsidRDefault="004345F1" w:rsidP="004345F1">
            <w:pPr>
              <w:rPr>
                <w:rFonts w:ascii="Arial" w:hAnsi="Arial" w:cs="Arial"/>
                <w:sz w:val="24"/>
                <w:szCs w:val="24"/>
              </w:rPr>
            </w:pPr>
            <w:r>
              <w:rPr>
                <w:rFonts w:ascii="Arial" w:hAnsi="Arial" w:cs="Arial"/>
                <w:sz w:val="24"/>
                <w:szCs w:val="24"/>
              </w:rPr>
              <w:t>I should also emphasise that the Board has commissioned a second follow up internal audit of our rent setting process for our 2016 General Needs rent charge. This audit began on 22</w:t>
            </w:r>
            <w:r w:rsidRPr="0014417D">
              <w:rPr>
                <w:rFonts w:ascii="Arial" w:hAnsi="Arial" w:cs="Arial"/>
                <w:sz w:val="24"/>
                <w:szCs w:val="24"/>
                <w:vertAlign w:val="superscript"/>
              </w:rPr>
              <w:t>nd</w:t>
            </w:r>
            <w:r>
              <w:rPr>
                <w:rFonts w:ascii="Arial" w:hAnsi="Arial" w:cs="Arial"/>
                <w:sz w:val="24"/>
                <w:szCs w:val="24"/>
              </w:rPr>
              <w:t xml:space="preserve"> June, following the notices that were sent out in May for the annual July review for assured tenants. We await the results of this audit, but we remain confident that we have now comprehensively remedied any problems we have identified in rent setting.</w:t>
            </w:r>
          </w:p>
          <w:p w:rsidR="004345F1" w:rsidRDefault="004345F1" w:rsidP="00801CB7">
            <w:pPr>
              <w:rPr>
                <w:rFonts w:ascii="Arial" w:hAnsi="Arial" w:cs="Arial"/>
                <w:sz w:val="24"/>
                <w:szCs w:val="24"/>
              </w:rPr>
            </w:pPr>
          </w:p>
          <w:p w:rsidR="004345F1" w:rsidRDefault="004345F1" w:rsidP="004345F1">
            <w:pPr>
              <w:rPr>
                <w:rFonts w:ascii="Arial" w:hAnsi="Arial" w:cs="Arial"/>
                <w:sz w:val="24"/>
                <w:szCs w:val="24"/>
                <w:u w:val="single"/>
              </w:rPr>
            </w:pPr>
            <w:r w:rsidRPr="00F17FFE">
              <w:rPr>
                <w:rFonts w:ascii="Arial" w:hAnsi="Arial" w:cs="Arial"/>
                <w:sz w:val="24"/>
                <w:szCs w:val="24"/>
                <w:u w:val="single"/>
              </w:rPr>
              <w:t>Conc</w:t>
            </w:r>
            <w:r>
              <w:rPr>
                <w:rFonts w:ascii="Arial" w:hAnsi="Arial" w:cs="Arial"/>
                <w:sz w:val="24"/>
                <w:szCs w:val="24"/>
                <w:u w:val="single"/>
              </w:rPr>
              <w:t>lusion</w:t>
            </w:r>
          </w:p>
          <w:p w:rsidR="004345F1" w:rsidRPr="00FA49C2" w:rsidRDefault="004345F1" w:rsidP="004345F1">
            <w:pPr>
              <w:rPr>
                <w:rFonts w:ascii="Arial" w:hAnsi="Arial" w:cs="Arial"/>
                <w:sz w:val="24"/>
                <w:szCs w:val="24"/>
              </w:rPr>
            </w:pPr>
            <w:r>
              <w:rPr>
                <w:rFonts w:ascii="Arial" w:hAnsi="Arial" w:cs="Arial"/>
                <w:sz w:val="24"/>
                <w:szCs w:val="24"/>
              </w:rPr>
              <w:t xml:space="preserve">While, the Board is obviously disappointed that errors were made in relation to rent setting, the Board were also pleased that officers quickly informed us. This allowed the Audit and Risk Committee and the Board to undertake a number of actions including receiving legal advice on how to proceed. We also commissioned a special internal audit to ensure the position was rectified as soon as possible and that controls were strengthened to ensure the situation is properly remedied for the future. We then agreed that refunds should be made to all Hexagon tenants where overcharging had occurred.    </w:t>
            </w:r>
          </w:p>
          <w:p w:rsidR="004345F1" w:rsidRDefault="004345F1" w:rsidP="004345F1">
            <w:pPr>
              <w:rPr>
                <w:rFonts w:ascii="Arial" w:hAnsi="Arial" w:cs="Arial"/>
                <w:sz w:val="24"/>
                <w:szCs w:val="24"/>
                <w:u w:val="single"/>
              </w:rPr>
            </w:pPr>
          </w:p>
          <w:p w:rsidR="004345F1" w:rsidRDefault="004345F1" w:rsidP="004345F1">
            <w:pPr>
              <w:rPr>
                <w:rFonts w:ascii="Arial" w:hAnsi="Arial" w:cs="Arial"/>
                <w:sz w:val="24"/>
                <w:szCs w:val="24"/>
                <w:u w:val="single"/>
              </w:rPr>
            </w:pPr>
          </w:p>
          <w:p w:rsidR="004345F1" w:rsidRDefault="004345F1" w:rsidP="004345F1">
            <w:pPr>
              <w:rPr>
                <w:rFonts w:ascii="Arial" w:hAnsi="Arial" w:cs="Arial"/>
                <w:sz w:val="24"/>
                <w:szCs w:val="24"/>
                <w:u w:val="single"/>
              </w:rPr>
            </w:pPr>
          </w:p>
          <w:p w:rsidR="004345F1" w:rsidRPr="004345F1" w:rsidRDefault="004345F1" w:rsidP="004345F1">
            <w:pPr>
              <w:jc w:val="right"/>
              <w:rPr>
                <w:rFonts w:ascii="Arial" w:hAnsi="Arial" w:cs="Arial"/>
                <w:b/>
                <w:i/>
                <w:sz w:val="22"/>
                <w:szCs w:val="24"/>
              </w:rPr>
            </w:pPr>
            <w:r w:rsidRPr="004345F1">
              <w:rPr>
                <w:rFonts w:ascii="Arial" w:hAnsi="Arial" w:cs="Arial"/>
                <w:b/>
                <w:i/>
                <w:sz w:val="22"/>
                <w:szCs w:val="24"/>
              </w:rPr>
              <w:t>Cont’d/……5</w:t>
            </w:r>
          </w:p>
          <w:p w:rsidR="004345F1" w:rsidRDefault="004345F1" w:rsidP="004345F1">
            <w:pPr>
              <w:rPr>
                <w:rFonts w:ascii="Arial" w:hAnsi="Arial" w:cs="Arial"/>
                <w:sz w:val="24"/>
                <w:szCs w:val="24"/>
              </w:rPr>
            </w:pPr>
          </w:p>
          <w:p w:rsidR="004345F1" w:rsidRDefault="004345F1" w:rsidP="004345F1">
            <w:pPr>
              <w:rPr>
                <w:rFonts w:ascii="Arial" w:hAnsi="Arial" w:cs="Arial"/>
                <w:sz w:val="24"/>
                <w:szCs w:val="24"/>
              </w:rPr>
            </w:pPr>
          </w:p>
          <w:p w:rsidR="004345F1" w:rsidRDefault="004345F1" w:rsidP="004345F1">
            <w:pPr>
              <w:rPr>
                <w:rFonts w:ascii="Arial" w:hAnsi="Arial" w:cs="Arial"/>
                <w:sz w:val="24"/>
                <w:szCs w:val="24"/>
              </w:rPr>
            </w:pPr>
          </w:p>
          <w:p w:rsidR="004345F1" w:rsidRDefault="004345F1" w:rsidP="004345F1">
            <w:pPr>
              <w:rPr>
                <w:rFonts w:ascii="Arial" w:hAnsi="Arial" w:cs="Arial"/>
                <w:sz w:val="24"/>
                <w:szCs w:val="24"/>
              </w:rPr>
            </w:pPr>
          </w:p>
          <w:p w:rsidR="004345F1" w:rsidRDefault="004345F1" w:rsidP="004345F1">
            <w:pPr>
              <w:rPr>
                <w:rFonts w:ascii="Arial" w:hAnsi="Arial" w:cs="Arial"/>
                <w:sz w:val="24"/>
                <w:szCs w:val="24"/>
              </w:rPr>
            </w:pPr>
          </w:p>
          <w:p w:rsidR="004345F1" w:rsidRDefault="004345F1" w:rsidP="004345F1">
            <w:pPr>
              <w:rPr>
                <w:rFonts w:ascii="Arial" w:hAnsi="Arial" w:cs="Arial"/>
                <w:sz w:val="24"/>
                <w:szCs w:val="24"/>
              </w:rPr>
            </w:pPr>
          </w:p>
          <w:p w:rsidR="004345F1" w:rsidRDefault="004345F1" w:rsidP="004345F1">
            <w:pPr>
              <w:rPr>
                <w:rFonts w:ascii="Arial" w:hAnsi="Arial" w:cs="Arial"/>
                <w:sz w:val="24"/>
                <w:szCs w:val="24"/>
              </w:rPr>
            </w:pPr>
          </w:p>
          <w:p w:rsidR="004345F1" w:rsidRPr="004345F1" w:rsidRDefault="004345F1" w:rsidP="004345F1">
            <w:pPr>
              <w:rPr>
                <w:rFonts w:ascii="Arial" w:hAnsi="Arial" w:cs="Arial"/>
                <w:b/>
                <w:i/>
                <w:sz w:val="22"/>
                <w:szCs w:val="24"/>
              </w:rPr>
            </w:pPr>
            <w:r w:rsidRPr="004345F1">
              <w:rPr>
                <w:rFonts w:ascii="Arial" w:hAnsi="Arial" w:cs="Arial"/>
                <w:b/>
                <w:i/>
                <w:sz w:val="22"/>
                <w:szCs w:val="24"/>
              </w:rPr>
              <w:lastRenderedPageBreak/>
              <w:t>Page 5</w:t>
            </w:r>
          </w:p>
          <w:p w:rsidR="004345F1" w:rsidRDefault="004345F1" w:rsidP="004345F1">
            <w:pPr>
              <w:rPr>
                <w:rFonts w:ascii="Arial" w:hAnsi="Arial" w:cs="Arial"/>
                <w:sz w:val="24"/>
                <w:szCs w:val="24"/>
              </w:rPr>
            </w:pPr>
          </w:p>
          <w:p w:rsidR="004345F1" w:rsidRDefault="004345F1" w:rsidP="004345F1">
            <w:pPr>
              <w:rPr>
                <w:rFonts w:ascii="Arial" w:hAnsi="Arial" w:cs="Arial"/>
                <w:sz w:val="24"/>
                <w:szCs w:val="24"/>
              </w:rPr>
            </w:pPr>
          </w:p>
          <w:p w:rsidR="004345F1" w:rsidRDefault="004345F1" w:rsidP="004345F1">
            <w:pPr>
              <w:rPr>
                <w:rFonts w:ascii="Arial" w:hAnsi="Arial" w:cs="Arial"/>
                <w:sz w:val="24"/>
                <w:szCs w:val="24"/>
              </w:rPr>
            </w:pPr>
            <w:r>
              <w:rPr>
                <w:rFonts w:ascii="Arial" w:hAnsi="Arial" w:cs="Arial"/>
                <w:sz w:val="24"/>
                <w:szCs w:val="24"/>
              </w:rPr>
              <w:t xml:space="preserve">The Board was initially concerned that there may have been some systemic errors in relation to rent setting that affected our entire rent setting model, but our conclusion, supported by our internal audit, is that there were in fact a number of different reasons for the anomalies which are outlined in </w:t>
            </w:r>
            <w:r w:rsidRPr="004345F1">
              <w:rPr>
                <w:rFonts w:ascii="Arial" w:hAnsi="Arial" w:cs="Arial"/>
                <w:b/>
                <w:sz w:val="24"/>
                <w:szCs w:val="24"/>
              </w:rPr>
              <w:t>Appendix A</w:t>
            </w:r>
            <w:r>
              <w:rPr>
                <w:rFonts w:ascii="Arial" w:hAnsi="Arial" w:cs="Arial"/>
                <w:sz w:val="24"/>
                <w:szCs w:val="24"/>
              </w:rPr>
              <w:t>. There was not any particular pattern as they happened at different times, due to a range of human errors.</w:t>
            </w:r>
          </w:p>
          <w:p w:rsidR="004345F1" w:rsidRDefault="004345F1" w:rsidP="004345F1">
            <w:pPr>
              <w:rPr>
                <w:rFonts w:ascii="Arial" w:hAnsi="Arial" w:cs="Arial"/>
                <w:sz w:val="24"/>
                <w:szCs w:val="24"/>
              </w:rPr>
            </w:pPr>
          </w:p>
          <w:p w:rsidR="004345F1" w:rsidRDefault="004345F1" w:rsidP="004345F1">
            <w:pPr>
              <w:rPr>
                <w:rFonts w:ascii="Arial" w:hAnsi="Arial" w:cs="Arial"/>
                <w:sz w:val="24"/>
                <w:szCs w:val="24"/>
              </w:rPr>
            </w:pPr>
            <w:r>
              <w:rPr>
                <w:rFonts w:ascii="Arial" w:hAnsi="Arial" w:cs="Arial"/>
                <w:sz w:val="24"/>
                <w:szCs w:val="24"/>
              </w:rPr>
              <w:t>At all times, the Board and the Audit &amp; Risk Committee have been fully informed and they have controlled and driven the process which has arrived at this position.</w:t>
            </w:r>
          </w:p>
          <w:p w:rsidR="004345F1" w:rsidRDefault="004345F1" w:rsidP="004345F1">
            <w:pPr>
              <w:rPr>
                <w:rFonts w:ascii="Arial" w:hAnsi="Arial" w:cs="Arial"/>
                <w:sz w:val="24"/>
                <w:szCs w:val="24"/>
              </w:rPr>
            </w:pPr>
          </w:p>
          <w:p w:rsidR="004345F1" w:rsidRDefault="004345F1" w:rsidP="004345F1">
            <w:pPr>
              <w:rPr>
                <w:rFonts w:ascii="Arial" w:hAnsi="Arial" w:cs="Arial"/>
                <w:sz w:val="24"/>
                <w:szCs w:val="24"/>
              </w:rPr>
            </w:pPr>
            <w:r>
              <w:rPr>
                <w:rFonts w:ascii="Arial" w:hAnsi="Arial" w:cs="Arial"/>
                <w:sz w:val="24"/>
                <w:szCs w:val="24"/>
              </w:rPr>
              <w:t>I appreciate that this letter contains a lot of information, but our intention is to be as open and transparent with the HCA as we can be. With that in mind, should you require any additional information or have any queries, please do not hesitate to let me know and we will do all that we can to satisfy you that the actions taken by the Board have been thorough, comprehensive, and effective.</w:t>
            </w:r>
          </w:p>
          <w:p w:rsidR="004345F1" w:rsidRDefault="004345F1" w:rsidP="004345F1">
            <w:pPr>
              <w:rPr>
                <w:rFonts w:ascii="Arial" w:hAnsi="Arial" w:cs="Arial"/>
                <w:sz w:val="24"/>
                <w:szCs w:val="24"/>
              </w:rPr>
            </w:pPr>
          </w:p>
          <w:p w:rsidR="004345F1" w:rsidRDefault="004345F1" w:rsidP="004345F1">
            <w:pPr>
              <w:rPr>
                <w:rFonts w:ascii="Arial" w:hAnsi="Arial" w:cs="Arial"/>
                <w:sz w:val="24"/>
                <w:szCs w:val="24"/>
              </w:rPr>
            </w:pPr>
            <w:r>
              <w:rPr>
                <w:rFonts w:ascii="Arial" w:hAnsi="Arial" w:cs="Arial"/>
                <w:sz w:val="24"/>
                <w:szCs w:val="24"/>
              </w:rPr>
              <w:t>Yours sincerely</w:t>
            </w:r>
          </w:p>
          <w:p w:rsidR="004345F1" w:rsidRDefault="004345F1" w:rsidP="004345F1">
            <w:pPr>
              <w:rPr>
                <w:rFonts w:ascii="Arial" w:hAnsi="Arial" w:cs="Arial"/>
                <w:sz w:val="24"/>
                <w:szCs w:val="24"/>
              </w:rPr>
            </w:pPr>
          </w:p>
          <w:p w:rsidR="004345F1" w:rsidRDefault="004345F1" w:rsidP="004345F1">
            <w:pPr>
              <w:rPr>
                <w:rFonts w:ascii="Arial" w:hAnsi="Arial" w:cs="Arial"/>
                <w:sz w:val="24"/>
                <w:szCs w:val="24"/>
              </w:rPr>
            </w:pPr>
          </w:p>
          <w:p w:rsidR="004345F1" w:rsidRDefault="004345F1" w:rsidP="004345F1">
            <w:pPr>
              <w:rPr>
                <w:rFonts w:ascii="Arial" w:hAnsi="Arial" w:cs="Arial"/>
                <w:sz w:val="24"/>
                <w:szCs w:val="24"/>
              </w:rPr>
            </w:pPr>
          </w:p>
          <w:p w:rsidR="004345F1" w:rsidRDefault="004345F1" w:rsidP="004345F1">
            <w:pPr>
              <w:rPr>
                <w:rFonts w:ascii="Arial" w:hAnsi="Arial" w:cs="Arial"/>
                <w:sz w:val="24"/>
                <w:szCs w:val="24"/>
              </w:rPr>
            </w:pPr>
          </w:p>
          <w:p w:rsidR="004345F1" w:rsidRDefault="004345F1" w:rsidP="004345F1">
            <w:pPr>
              <w:rPr>
                <w:rFonts w:ascii="Arial" w:hAnsi="Arial" w:cs="Arial"/>
                <w:i/>
                <w:sz w:val="24"/>
                <w:szCs w:val="24"/>
              </w:rPr>
            </w:pPr>
          </w:p>
          <w:p w:rsidR="004345F1" w:rsidRDefault="004345F1" w:rsidP="004345F1">
            <w:pPr>
              <w:rPr>
                <w:rFonts w:ascii="Arial" w:hAnsi="Arial" w:cs="Arial"/>
                <w:i/>
                <w:sz w:val="24"/>
                <w:szCs w:val="24"/>
              </w:rPr>
            </w:pPr>
          </w:p>
          <w:p w:rsidR="004345F1" w:rsidRDefault="004345F1" w:rsidP="004345F1">
            <w:pPr>
              <w:rPr>
                <w:rFonts w:ascii="Arial" w:hAnsi="Arial" w:cs="Arial"/>
                <w:i/>
                <w:sz w:val="24"/>
                <w:szCs w:val="24"/>
              </w:rPr>
            </w:pPr>
          </w:p>
          <w:p w:rsidR="004345F1" w:rsidRDefault="004345F1" w:rsidP="004345F1">
            <w:pPr>
              <w:rPr>
                <w:rFonts w:ascii="Arial" w:hAnsi="Arial" w:cs="Arial"/>
                <w:b/>
                <w:sz w:val="24"/>
                <w:szCs w:val="24"/>
              </w:rPr>
            </w:pPr>
            <w:r>
              <w:rPr>
                <w:rFonts w:ascii="Arial" w:hAnsi="Arial" w:cs="Arial"/>
                <w:noProof/>
                <w:sz w:val="24"/>
                <w:szCs w:val="24"/>
                <w:lang w:eastAsia="en-GB"/>
              </w:rPr>
              <w:drawing>
                <wp:anchor distT="0" distB="0" distL="114300" distR="114300" simplePos="0" relativeHeight="251658752" behindDoc="0" locked="0" layoutInCell="1" allowOverlap="1" wp14:anchorId="3859CE26" wp14:editId="6846476B">
                  <wp:simplePos x="0" y="0"/>
                  <wp:positionH relativeFrom="column">
                    <wp:posOffset>-161290</wp:posOffset>
                  </wp:positionH>
                  <wp:positionV relativeFrom="paragraph">
                    <wp:posOffset>-1174750</wp:posOffset>
                  </wp:positionV>
                  <wp:extent cx="1533525" cy="1061720"/>
                  <wp:effectExtent l="0" t="0" r="952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CSig.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1061720"/>
                          </a:xfrm>
                          <a:prstGeom prst="rect">
                            <a:avLst/>
                          </a:prstGeom>
                        </pic:spPr>
                      </pic:pic>
                    </a:graphicData>
                  </a:graphic>
                  <wp14:sizeRelH relativeFrom="page">
                    <wp14:pctWidth>0</wp14:pctWidth>
                  </wp14:sizeRelH>
                  <wp14:sizeRelV relativeFrom="page">
                    <wp14:pctHeight>0</wp14:pctHeight>
                  </wp14:sizeRelV>
                </wp:anchor>
              </w:drawing>
            </w:r>
            <w:r w:rsidRPr="004345F1">
              <w:rPr>
                <w:rFonts w:ascii="Arial" w:hAnsi="Arial" w:cs="Arial"/>
                <w:i/>
                <w:sz w:val="24"/>
                <w:szCs w:val="24"/>
              </w:rPr>
              <w:t>pp</w:t>
            </w:r>
            <w:r>
              <w:rPr>
                <w:rFonts w:ascii="Arial" w:hAnsi="Arial" w:cs="Arial"/>
                <w:b/>
                <w:sz w:val="24"/>
                <w:szCs w:val="24"/>
              </w:rPr>
              <w:t xml:space="preserve"> Roy Coulter</w:t>
            </w:r>
          </w:p>
          <w:p w:rsidR="004345F1" w:rsidRDefault="004345F1" w:rsidP="004345F1">
            <w:pPr>
              <w:rPr>
                <w:rFonts w:ascii="Arial" w:hAnsi="Arial" w:cs="Arial"/>
                <w:b/>
                <w:sz w:val="24"/>
                <w:szCs w:val="24"/>
              </w:rPr>
            </w:pPr>
            <w:r>
              <w:rPr>
                <w:rFonts w:ascii="Arial" w:hAnsi="Arial" w:cs="Arial"/>
                <w:b/>
                <w:sz w:val="24"/>
                <w:szCs w:val="24"/>
              </w:rPr>
              <w:t>Chair</w:t>
            </w:r>
          </w:p>
          <w:p w:rsidR="004345F1" w:rsidRDefault="004345F1" w:rsidP="00801CB7">
            <w:pPr>
              <w:rPr>
                <w:rFonts w:ascii="Arial" w:hAnsi="Arial" w:cs="Arial"/>
                <w:sz w:val="24"/>
                <w:szCs w:val="24"/>
              </w:rPr>
            </w:pPr>
          </w:p>
          <w:p w:rsidR="004345F1" w:rsidRPr="004345F1" w:rsidRDefault="004345F1" w:rsidP="00801CB7">
            <w:pPr>
              <w:rPr>
                <w:rFonts w:ascii="Arial" w:hAnsi="Arial" w:cs="Arial"/>
                <w:sz w:val="24"/>
                <w:szCs w:val="24"/>
              </w:rPr>
            </w:pPr>
          </w:p>
        </w:tc>
      </w:tr>
    </w:tbl>
    <w:p w:rsidR="00801CB7" w:rsidRPr="00877FB4" w:rsidRDefault="00801CB7" w:rsidP="00801CB7">
      <w:pPr>
        <w:ind w:left="900"/>
        <w:rPr>
          <w:rFonts w:ascii="Arial" w:hAnsi="Arial" w:cs="Arial"/>
          <w:sz w:val="16"/>
          <w:szCs w:val="16"/>
        </w:rPr>
      </w:pPr>
    </w:p>
    <w:sectPr w:rsidR="00801CB7" w:rsidRPr="00877FB4" w:rsidSect="00194E35">
      <w:headerReference w:type="default" r:id="rId8"/>
      <w:headerReference w:type="first" r:id="rId9"/>
      <w:footerReference w:type="first" r:id="rId10"/>
      <w:pgSz w:w="12240" w:h="15840"/>
      <w:pgMar w:top="720" w:right="720" w:bottom="0" w:left="245"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5F1" w:rsidRDefault="004345F1">
      <w:r>
        <w:separator/>
      </w:r>
    </w:p>
  </w:endnote>
  <w:endnote w:type="continuationSeparator" w:id="0">
    <w:p w:rsidR="004345F1" w:rsidRDefault="0043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CB" w:rsidRDefault="00954BB0" w:rsidP="00660BCB">
    <w:pPr>
      <w:ind w:left="360"/>
      <w:rPr>
        <w:rFonts w:ascii="Arial" w:hAnsi="Arial" w:cs="Arial"/>
        <w:color w:val="006362"/>
        <w:sz w:val="16"/>
        <w:szCs w:val="16"/>
      </w:rPr>
    </w:pPr>
    <w:r>
      <w:rPr>
        <w:noProof/>
        <w:lang w:eastAsia="en-GB"/>
      </w:rPr>
      <w:drawing>
        <wp:anchor distT="0" distB="0" distL="114300" distR="114300" simplePos="0" relativeHeight="251658240" behindDoc="0" locked="0" layoutInCell="1" allowOverlap="1">
          <wp:simplePos x="0" y="0"/>
          <wp:positionH relativeFrom="column">
            <wp:posOffset>6629400</wp:posOffset>
          </wp:positionH>
          <wp:positionV relativeFrom="paragraph">
            <wp:posOffset>5080</wp:posOffset>
          </wp:positionV>
          <wp:extent cx="635635" cy="508635"/>
          <wp:effectExtent l="0" t="0" r="0" b="5715"/>
          <wp:wrapSquare wrapText="bothSides"/>
          <wp:docPr id="10" name="Picture 10" descr="Positive about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sitive about disabilit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660BCB" w:rsidRPr="00194E35">
      <w:rPr>
        <w:rFonts w:ascii="Arial" w:hAnsi="Arial" w:cs="Arial"/>
        <w:b/>
        <w:color w:val="6A9913"/>
        <w:sz w:val="16"/>
        <w:szCs w:val="16"/>
      </w:rPr>
      <w:t>Chai</w:t>
    </w:r>
    <w:r w:rsidR="00660BCB" w:rsidRPr="00194E35">
      <w:rPr>
        <w:rFonts w:ascii="Arial" w:hAnsi="Arial" w:cs="Arial"/>
        <w:color w:val="6A9913"/>
        <w:sz w:val="16"/>
        <w:szCs w:val="16"/>
      </w:rPr>
      <w:t>r</w:t>
    </w:r>
    <w:r w:rsidR="00660BCB" w:rsidRPr="00877FB4">
      <w:rPr>
        <w:rFonts w:ascii="Arial" w:hAnsi="Arial" w:cs="Arial"/>
        <w:sz w:val="16"/>
        <w:szCs w:val="16"/>
      </w:rPr>
      <w:t xml:space="preserve">  </w:t>
    </w:r>
    <w:smartTag w:uri="urn:schemas-microsoft-com:office:smarttags" w:element="PersonName">
      <w:r w:rsidR="00660BCB" w:rsidRPr="00877FB4">
        <w:rPr>
          <w:rFonts w:ascii="Arial" w:hAnsi="Arial" w:cs="Arial"/>
          <w:color w:val="006362"/>
          <w:sz w:val="16"/>
          <w:szCs w:val="16"/>
        </w:rPr>
        <w:t>Roy Coulter</w:t>
      </w:r>
    </w:smartTag>
    <w:r w:rsidR="00660BCB" w:rsidRPr="00877FB4">
      <w:rPr>
        <w:rFonts w:ascii="Arial" w:hAnsi="Arial" w:cs="Arial"/>
        <w:sz w:val="16"/>
        <w:szCs w:val="16"/>
      </w:rPr>
      <w:tab/>
    </w:r>
    <w:r w:rsidR="00660BCB">
      <w:rPr>
        <w:rFonts w:ascii="Arial" w:hAnsi="Arial" w:cs="Arial"/>
        <w:sz w:val="16"/>
        <w:szCs w:val="16"/>
      </w:rPr>
      <w:t xml:space="preserve">       </w:t>
    </w:r>
    <w:r w:rsidR="00660BCB" w:rsidRPr="00877FB4">
      <w:rPr>
        <w:rFonts w:ascii="Arial" w:hAnsi="Arial" w:cs="Arial"/>
        <w:b/>
        <w:color w:val="6A9913"/>
        <w:sz w:val="16"/>
        <w:szCs w:val="16"/>
      </w:rPr>
      <w:t>Chief Executive</w:t>
    </w:r>
    <w:r w:rsidR="00660BCB" w:rsidRPr="00877FB4">
      <w:rPr>
        <w:rFonts w:ascii="Arial" w:hAnsi="Arial" w:cs="Arial"/>
        <w:sz w:val="16"/>
        <w:szCs w:val="16"/>
      </w:rPr>
      <w:t xml:space="preserve">  </w:t>
    </w:r>
    <w:smartTag w:uri="urn:schemas-microsoft-com:office:smarttags" w:element="PersonName">
      <w:r w:rsidR="00660BCB" w:rsidRPr="00877FB4">
        <w:rPr>
          <w:rFonts w:ascii="Arial" w:hAnsi="Arial" w:cs="Arial"/>
          <w:color w:val="006362"/>
          <w:sz w:val="16"/>
          <w:szCs w:val="16"/>
        </w:rPr>
        <w:t>Tom McCormack</w:t>
      </w:r>
    </w:smartTag>
  </w:p>
  <w:p w:rsidR="00660BCB" w:rsidRDefault="00954BB0" w:rsidP="00660BCB">
    <w:pPr>
      <w:ind w:left="360"/>
      <w:rPr>
        <w:rFonts w:ascii="Arial" w:hAnsi="Arial" w:cs="Arial"/>
        <w:color w:val="006362"/>
        <w:sz w:val="16"/>
        <w:szCs w:val="16"/>
      </w:rPr>
    </w:pPr>
    <w:r>
      <w:rPr>
        <w:noProof/>
        <w:lang w:eastAsia="en-GB"/>
      </w:rPr>
      <w:drawing>
        <wp:anchor distT="0" distB="0" distL="114300" distR="114300" simplePos="0" relativeHeight="251659264" behindDoc="0" locked="0" layoutInCell="1" allowOverlap="1">
          <wp:simplePos x="0" y="0"/>
          <wp:positionH relativeFrom="column">
            <wp:posOffset>3771900</wp:posOffset>
          </wp:positionH>
          <wp:positionV relativeFrom="paragraph">
            <wp:posOffset>92075</wp:posOffset>
          </wp:positionV>
          <wp:extent cx="1371600" cy="239395"/>
          <wp:effectExtent l="0" t="0" r="0" b="8255"/>
          <wp:wrapSquare wrapText="bothSides"/>
          <wp:docPr id="11" name="Picture 11" descr="iN_business_for_neighbourhoods_Blue_l_458_80_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_business_for_neighbourhoods_Blue_l_458_80_c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239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column">
            <wp:posOffset>5311775</wp:posOffset>
          </wp:positionH>
          <wp:positionV relativeFrom="paragraph">
            <wp:posOffset>90170</wp:posOffset>
          </wp:positionV>
          <wp:extent cx="1108075" cy="243205"/>
          <wp:effectExtent l="0" t="0" r="0" b="4445"/>
          <wp:wrapSquare wrapText="bothSides"/>
          <wp:docPr id="12" name="Picture 12" descr="P:\Director\Home_VS\Images\Logos\IIP\IIP Gold\IIP_GOLD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Director\Home_VS\Images\Logos\IIP\IIP Gold\IIP_GOLD_LOGO_RG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80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660BCB" w:rsidRPr="00877FB4">
      <w:rPr>
        <w:rFonts w:ascii="Arial" w:hAnsi="Arial" w:cs="Arial"/>
        <w:b/>
        <w:color w:val="6A9913"/>
        <w:sz w:val="16"/>
        <w:szCs w:val="16"/>
      </w:rPr>
      <w:t>Registered Office</w:t>
    </w:r>
    <w:r w:rsidR="00660BCB" w:rsidRPr="00877FB4">
      <w:rPr>
        <w:rFonts w:ascii="Arial" w:hAnsi="Arial" w:cs="Arial"/>
        <w:sz w:val="16"/>
        <w:szCs w:val="16"/>
      </w:rPr>
      <w:t xml:space="preserve">  </w:t>
    </w:r>
    <w:smartTag w:uri="urn:schemas-microsoft-com:office:smarttags" w:element="address">
      <w:smartTag w:uri="urn:schemas-microsoft-com:office:smarttags" w:element="Street">
        <w:r w:rsidR="00660BCB" w:rsidRPr="00877FB4">
          <w:rPr>
            <w:rFonts w:ascii="Arial" w:hAnsi="Arial" w:cs="Arial"/>
            <w:color w:val="006362"/>
            <w:sz w:val="16"/>
            <w:szCs w:val="16"/>
          </w:rPr>
          <w:t>130-136 Sydenham Road</w:t>
        </w:r>
      </w:smartTag>
      <w:r w:rsidR="00660BCB" w:rsidRPr="00877FB4">
        <w:rPr>
          <w:rFonts w:ascii="Arial" w:hAnsi="Arial" w:cs="Arial"/>
          <w:color w:val="006362"/>
          <w:sz w:val="16"/>
          <w:szCs w:val="16"/>
        </w:rPr>
        <w:t xml:space="preserve">, </w:t>
      </w:r>
      <w:smartTag w:uri="urn:schemas-microsoft-com:office:smarttags" w:element="City">
        <w:r w:rsidR="00660BCB" w:rsidRPr="00877FB4">
          <w:rPr>
            <w:rFonts w:ascii="Arial" w:hAnsi="Arial" w:cs="Arial"/>
            <w:color w:val="006362"/>
            <w:sz w:val="16"/>
            <w:szCs w:val="16"/>
          </w:rPr>
          <w:t>London</w:t>
        </w:r>
      </w:smartTag>
      <w:r w:rsidR="00660BCB" w:rsidRPr="00877FB4">
        <w:rPr>
          <w:rFonts w:ascii="Arial" w:hAnsi="Arial" w:cs="Arial"/>
          <w:color w:val="006362"/>
          <w:sz w:val="16"/>
          <w:szCs w:val="16"/>
        </w:rPr>
        <w:t xml:space="preserve"> </w:t>
      </w:r>
      <w:smartTag w:uri="urn:schemas-microsoft-com:office:smarttags" w:element="PostalCode">
        <w:r w:rsidR="00660BCB" w:rsidRPr="00877FB4">
          <w:rPr>
            <w:rFonts w:ascii="Arial" w:hAnsi="Arial" w:cs="Arial"/>
            <w:color w:val="006362"/>
            <w:sz w:val="16"/>
            <w:szCs w:val="16"/>
          </w:rPr>
          <w:t>SE26 5JY</w:t>
        </w:r>
      </w:smartTag>
    </w:smartTag>
  </w:p>
  <w:p w:rsidR="00660BCB" w:rsidRPr="00877FB4" w:rsidRDefault="00660BCB" w:rsidP="00660BCB">
    <w:pPr>
      <w:ind w:left="1080"/>
      <w:rPr>
        <w:rFonts w:ascii="Arial" w:hAnsi="Arial" w:cs="Arial"/>
        <w:sz w:val="16"/>
        <w:szCs w:val="16"/>
      </w:rPr>
    </w:pPr>
  </w:p>
  <w:p w:rsidR="00660BCB" w:rsidRPr="00877FB4" w:rsidRDefault="00660BCB" w:rsidP="00660BCB">
    <w:pPr>
      <w:ind w:left="360"/>
      <w:rPr>
        <w:rFonts w:ascii="Arial" w:hAnsi="Arial" w:cs="Arial"/>
        <w:b/>
        <w:color w:val="006362"/>
        <w:sz w:val="16"/>
        <w:szCs w:val="16"/>
      </w:rPr>
    </w:pPr>
    <w:r w:rsidRPr="00877FB4">
      <w:rPr>
        <w:rFonts w:ascii="Arial" w:hAnsi="Arial" w:cs="Arial"/>
        <w:b/>
        <w:color w:val="006362"/>
        <w:sz w:val="16"/>
        <w:szCs w:val="16"/>
      </w:rPr>
      <w:t xml:space="preserve">VAT No. </w:t>
    </w:r>
    <w:r w:rsidRPr="00B06757">
      <w:rPr>
        <w:rFonts w:ascii="Arial" w:hAnsi="Arial" w:cs="Arial"/>
        <w:color w:val="006362"/>
        <w:sz w:val="16"/>
        <w:szCs w:val="16"/>
      </w:rPr>
      <w:t>645 2143 56</w:t>
    </w:r>
  </w:p>
  <w:p w:rsidR="00660BCB" w:rsidRPr="00400524" w:rsidRDefault="00660BCB" w:rsidP="00660BCB">
    <w:pPr>
      <w:ind w:left="360"/>
      <w:rPr>
        <w:rFonts w:ascii="Arial" w:hAnsi="Arial" w:cs="Arial"/>
        <w:color w:val="006362"/>
        <w:sz w:val="16"/>
        <w:szCs w:val="16"/>
      </w:rPr>
    </w:pPr>
    <w:r w:rsidRPr="00877FB4">
      <w:rPr>
        <w:rFonts w:ascii="Arial" w:hAnsi="Arial" w:cs="Arial"/>
        <w:b/>
        <w:color w:val="006362"/>
        <w:sz w:val="16"/>
        <w:szCs w:val="16"/>
      </w:rPr>
      <w:t xml:space="preserve">Registered with the Homes and Communities Agency </w:t>
    </w:r>
    <w:r w:rsidRPr="00B06757">
      <w:rPr>
        <w:rFonts w:ascii="Arial" w:hAnsi="Arial" w:cs="Arial"/>
        <w:color w:val="006362"/>
        <w:sz w:val="16"/>
        <w:szCs w:val="16"/>
      </w:rPr>
      <w:t>No. L1538</w:t>
    </w:r>
  </w:p>
  <w:p w:rsidR="00660BCB" w:rsidRPr="00877FB4" w:rsidRDefault="00660BCB" w:rsidP="00660BCB">
    <w:pPr>
      <w:ind w:left="360"/>
      <w:rPr>
        <w:rFonts w:ascii="Arial" w:hAnsi="Arial" w:cs="Arial"/>
        <w:b/>
        <w:color w:val="006362"/>
        <w:sz w:val="16"/>
        <w:szCs w:val="16"/>
      </w:rPr>
    </w:pPr>
  </w:p>
  <w:p w:rsidR="00660BCB" w:rsidRPr="00877FB4" w:rsidRDefault="00660BCB" w:rsidP="00660BCB">
    <w:pPr>
      <w:ind w:left="360"/>
      <w:rPr>
        <w:rFonts w:ascii="Arial" w:hAnsi="Arial" w:cs="Arial"/>
        <w:b/>
        <w:color w:val="006362"/>
        <w:sz w:val="16"/>
        <w:szCs w:val="16"/>
      </w:rPr>
    </w:pPr>
    <w:r w:rsidRPr="00877FB4">
      <w:rPr>
        <w:rFonts w:ascii="Arial" w:hAnsi="Arial" w:cs="Arial"/>
        <w:b/>
        <w:color w:val="006362"/>
        <w:sz w:val="16"/>
        <w:szCs w:val="16"/>
      </w:rPr>
      <w:t>Hexagon Housing Association Ltd is a Charitable Organisation</w:t>
    </w:r>
  </w:p>
  <w:p w:rsidR="00660BCB" w:rsidRPr="00877FB4" w:rsidRDefault="00660BCB" w:rsidP="00660BCB">
    <w:pPr>
      <w:ind w:left="360"/>
      <w:rPr>
        <w:rFonts w:ascii="Arial" w:hAnsi="Arial" w:cs="Arial"/>
        <w:color w:val="006362"/>
        <w:sz w:val="16"/>
        <w:szCs w:val="16"/>
      </w:rPr>
    </w:pPr>
    <w:r w:rsidRPr="00022B87">
      <w:rPr>
        <w:rFonts w:ascii="Arial" w:hAnsi="Arial" w:cs="Arial"/>
        <w:color w:val="006362"/>
        <w:sz w:val="16"/>
        <w:szCs w:val="16"/>
      </w:rPr>
      <w:t>Hexagon is a registered society under the Co-operative and Community Benefit Societies Act 2014</w:t>
    </w:r>
    <w:r>
      <w:rPr>
        <w:rFonts w:ascii="Arial" w:hAnsi="Arial" w:cs="Arial"/>
        <w:color w:val="006362"/>
        <w:sz w:val="16"/>
        <w:szCs w:val="16"/>
      </w:rPr>
      <w:t xml:space="preserve"> </w:t>
    </w:r>
    <w:r w:rsidRPr="00877FB4">
      <w:rPr>
        <w:rFonts w:ascii="Arial" w:hAnsi="Arial" w:cs="Arial"/>
        <w:color w:val="006362"/>
        <w:sz w:val="16"/>
        <w:szCs w:val="16"/>
      </w:rPr>
      <w:t xml:space="preserve"> No 19128R</w:t>
    </w:r>
  </w:p>
  <w:p w:rsidR="00801CB7" w:rsidRDefault="00801CB7" w:rsidP="00801CB7">
    <w:pPr>
      <w:pStyle w:val="Footer"/>
      <w:ind w:left="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5F1" w:rsidRDefault="004345F1">
      <w:r>
        <w:separator/>
      </w:r>
    </w:p>
  </w:footnote>
  <w:footnote w:type="continuationSeparator" w:id="0">
    <w:p w:rsidR="004345F1" w:rsidRDefault="00434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CB7" w:rsidRDefault="00954BB0">
    <w:pPr>
      <w:pStyle w:val="Header"/>
    </w:pPr>
    <w:r>
      <w:rPr>
        <w:noProof/>
        <w:lang w:val="en-GB" w:eastAsia="en-GB"/>
      </w:rPr>
      <w:drawing>
        <wp:anchor distT="0" distB="0" distL="114300" distR="114300" simplePos="0" relativeHeight="251656192" behindDoc="0" locked="0" layoutInCell="1" allowOverlap="1">
          <wp:simplePos x="0" y="0"/>
          <wp:positionH relativeFrom="column">
            <wp:posOffset>6400800</wp:posOffset>
          </wp:positionH>
          <wp:positionV relativeFrom="paragraph">
            <wp:posOffset>-109220</wp:posOffset>
          </wp:positionV>
          <wp:extent cx="800100" cy="666750"/>
          <wp:effectExtent l="0" t="0" r="0" b="0"/>
          <wp:wrapSquare wrapText="bothSides"/>
          <wp:docPr id="4" name="Picture 4" descr="OHexagon_Only_Positiv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Hexagon_Only_Positiv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CB7" w:rsidRDefault="00954BB0" w:rsidP="00801CB7">
    <w:pPr>
      <w:pStyle w:val="Header"/>
      <w:ind w:left="180" w:right="-64"/>
    </w:pPr>
    <w:r>
      <w:rPr>
        <w:noProof/>
        <w:lang w:val="en-GB" w:eastAsia="en-GB"/>
      </w:rPr>
      <w:drawing>
        <wp:inline distT="0" distB="0" distL="0" distR="0">
          <wp:extent cx="6743700" cy="1514475"/>
          <wp:effectExtent l="0" t="0" r="0" b="9525"/>
          <wp:docPr id="1" name="Picture 1" descr="Hexagon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xagon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15144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5F1"/>
    <w:rsid w:val="00003F47"/>
    <w:rsid w:val="000177C1"/>
    <w:rsid w:val="00017E6A"/>
    <w:rsid w:val="0002065D"/>
    <w:rsid w:val="00022B87"/>
    <w:rsid w:val="00045F52"/>
    <w:rsid w:val="000534DA"/>
    <w:rsid w:val="000548E7"/>
    <w:rsid w:val="00064B3C"/>
    <w:rsid w:val="0008127B"/>
    <w:rsid w:val="00085E04"/>
    <w:rsid w:val="00087457"/>
    <w:rsid w:val="000A1277"/>
    <w:rsid w:val="000A2676"/>
    <w:rsid w:val="000B318A"/>
    <w:rsid w:val="000B731C"/>
    <w:rsid w:val="000D3BC0"/>
    <w:rsid w:val="000D69AC"/>
    <w:rsid w:val="000D6E0D"/>
    <w:rsid w:val="000E3149"/>
    <w:rsid w:val="000E3EE5"/>
    <w:rsid w:val="000E4B05"/>
    <w:rsid w:val="000F034F"/>
    <w:rsid w:val="000F2C75"/>
    <w:rsid w:val="00101C0A"/>
    <w:rsid w:val="00116779"/>
    <w:rsid w:val="00117913"/>
    <w:rsid w:val="00121836"/>
    <w:rsid w:val="00127557"/>
    <w:rsid w:val="00130DF1"/>
    <w:rsid w:val="00131306"/>
    <w:rsid w:val="00151C7F"/>
    <w:rsid w:val="00170115"/>
    <w:rsid w:val="0017769C"/>
    <w:rsid w:val="00180B68"/>
    <w:rsid w:val="001934A1"/>
    <w:rsid w:val="00194E35"/>
    <w:rsid w:val="001975E1"/>
    <w:rsid w:val="001A2A16"/>
    <w:rsid w:val="001A5FBD"/>
    <w:rsid w:val="001A623F"/>
    <w:rsid w:val="001B5B6F"/>
    <w:rsid w:val="001B5EA4"/>
    <w:rsid w:val="001E2720"/>
    <w:rsid w:val="001E7A26"/>
    <w:rsid w:val="001F1894"/>
    <w:rsid w:val="001F19EC"/>
    <w:rsid w:val="001F6A1D"/>
    <w:rsid w:val="00205A48"/>
    <w:rsid w:val="00216332"/>
    <w:rsid w:val="0021773F"/>
    <w:rsid w:val="002224CE"/>
    <w:rsid w:val="00230B33"/>
    <w:rsid w:val="0023284D"/>
    <w:rsid w:val="00232DB8"/>
    <w:rsid w:val="00244C2C"/>
    <w:rsid w:val="00265CE9"/>
    <w:rsid w:val="002C2FBA"/>
    <w:rsid w:val="002C5032"/>
    <w:rsid w:val="002C5809"/>
    <w:rsid w:val="002D4E9E"/>
    <w:rsid w:val="002E3383"/>
    <w:rsid w:val="002E5DDA"/>
    <w:rsid w:val="002F59B4"/>
    <w:rsid w:val="00302769"/>
    <w:rsid w:val="00315554"/>
    <w:rsid w:val="0033531D"/>
    <w:rsid w:val="00337982"/>
    <w:rsid w:val="0036267B"/>
    <w:rsid w:val="00366C90"/>
    <w:rsid w:val="00371764"/>
    <w:rsid w:val="00377F98"/>
    <w:rsid w:val="0039408E"/>
    <w:rsid w:val="00397C04"/>
    <w:rsid w:val="003A20B2"/>
    <w:rsid w:val="003B1F41"/>
    <w:rsid w:val="003B2F49"/>
    <w:rsid w:val="003B3C2B"/>
    <w:rsid w:val="003C780F"/>
    <w:rsid w:val="003D025E"/>
    <w:rsid w:val="003E1C61"/>
    <w:rsid w:val="003E5A17"/>
    <w:rsid w:val="003F4FDD"/>
    <w:rsid w:val="003F619E"/>
    <w:rsid w:val="003F7FF8"/>
    <w:rsid w:val="00400524"/>
    <w:rsid w:val="004159AD"/>
    <w:rsid w:val="0041747B"/>
    <w:rsid w:val="00424DDD"/>
    <w:rsid w:val="00430EE6"/>
    <w:rsid w:val="004345F1"/>
    <w:rsid w:val="00437A4C"/>
    <w:rsid w:val="00441056"/>
    <w:rsid w:val="00446DC8"/>
    <w:rsid w:val="00455B4F"/>
    <w:rsid w:val="0046046A"/>
    <w:rsid w:val="004657A4"/>
    <w:rsid w:val="00470C2A"/>
    <w:rsid w:val="00483ABF"/>
    <w:rsid w:val="00486C72"/>
    <w:rsid w:val="00497F8C"/>
    <w:rsid w:val="004B3AAE"/>
    <w:rsid w:val="004B44FB"/>
    <w:rsid w:val="004C4AB6"/>
    <w:rsid w:val="00500866"/>
    <w:rsid w:val="005113B4"/>
    <w:rsid w:val="00522777"/>
    <w:rsid w:val="005231BD"/>
    <w:rsid w:val="00527374"/>
    <w:rsid w:val="00532C71"/>
    <w:rsid w:val="00553930"/>
    <w:rsid w:val="005655C3"/>
    <w:rsid w:val="005A5C12"/>
    <w:rsid w:val="005A6D4E"/>
    <w:rsid w:val="005B6143"/>
    <w:rsid w:val="005E59CD"/>
    <w:rsid w:val="005F100F"/>
    <w:rsid w:val="005F68BF"/>
    <w:rsid w:val="00604CC8"/>
    <w:rsid w:val="00617A8C"/>
    <w:rsid w:val="00625E7C"/>
    <w:rsid w:val="00627322"/>
    <w:rsid w:val="006372B8"/>
    <w:rsid w:val="00653953"/>
    <w:rsid w:val="0065441C"/>
    <w:rsid w:val="00654708"/>
    <w:rsid w:val="006560DA"/>
    <w:rsid w:val="00660BCB"/>
    <w:rsid w:val="00662DD4"/>
    <w:rsid w:val="006669E2"/>
    <w:rsid w:val="00667DD0"/>
    <w:rsid w:val="0067269C"/>
    <w:rsid w:val="00674C52"/>
    <w:rsid w:val="006764ED"/>
    <w:rsid w:val="00676B2E"/>
    <w:rsid w:val="00681064"/>
    <w:rsid w:val="006B666E"/>
    <w:rsid w:val="006C1DDD"/>
    <w:rsid w:val="006D1273"/>
    <w:rsid w:val="006E6B08"/>
    <w:rsid w:val="00700F35"/>
    <w:rsid w:val="0070396E"/>
    <w:rsid w:val="007151A1"/>
    <w:rsid w:val="007325CA"/>
    <w:rsid w:val="007341B9"/>
    <w:rsid w:val="007404C1"/>
    <w:rsid w:val="00743442"/>
    <w:rsid w:val="007615EC"/>
    <w:rsid w:val="00764FC2"/>
    <w:rsid w:val="00771001"/>
    <w:rsid w:val="007714B3"/>
    <w:rsid w:val="00774FE7"/>
    <w:rsid w:val="007829E3"/>
    <w:rsid w:val="00793E79"/>
    <w:rsid w:val="007A7227"/>
    <w:rsid w:val="007C3D9D"/>
    <w:rsid w:val="007C4D05"/>
    <w:rsid w:val="007C62CC"/>
    <w:rsid w:val="007D423B"/>
    <w:rsid w:val="007D71BA"/>
    <w:rsid w:val="007E3C1D"/>
    <w:rsid w:val="007E6A8C"/>
    <w:rsid w:val="007E73BA"/>
    <w:rsid w:val="007F207A"/>
    <w:rsid w:val="00801CB7"/>
    <w:rsid w:val="00813A80"/>
    <w:rsid w:val="00813BDD"/>
    <w:rsid w:val="008165D5"/>
    <w:rsid w:val="0082349B"/>
    <w:rsid w:val="0082517D"/>
    <w:rsid w:val="00827B07"/>
    <w:rsid w:val="008321A6"/>
    <w:rsid w:val="008351ED"/>
    <w:rsid w:val="0083604C"/>
    <w:rsid w:val="00837823"/>
    <w:rsid w:val="00844580"/>
    <w:rsid w:val="00860BAF"/>
    <w:rsid w:val="00862D0F"/>
    <w:rsid w:val="008740AE"/>
    <w:rsid w:val="008765CD"/>
    <w:rsid w:val="00877FB4"/>
    <w:rsid w:val="00880248"/>
    <w:rsid w:val="00881AAF"/>
    <w:rsid w:val="00891698"/>
    <w:rsid w:val="0089205F"/>
    <w:rsid w:val="008A1E8B"/>
    <w:rsid w:val="008B0CB4"/>
    <w:rsid w:val="008C3517"/>
    <w:rsid w:val="008C6127"/>
    <w:rsid w:val="008D5207"/>
    <w:rsid w:val="008F2CB4"/>
    <w:rsid w:val="0090683D"/>
    <w:rsid w:val="009101B1"/>
    <w:rsid w:val="00910A29"/>
    <w:rsid w:val="009156F9"/>
    <w:rsid w:val="0092263E"/>
    <w:rsid w:val="00923421"/>
    <w:rsid w:val="009253B0"/>
    <w:rsid w:val="009255D8"/>
    <w:rsid w:val="009257CA"/>
    <w:rsid w:val="00926B73"/>
    <w:rsid w:val="009270AF"/>
    <w:rsid w:val="0095172C"/>
    <w:rsid w:val="00954BB0"/>
    <w:rsid w:val="0096491B"/>
    <w:rsid w:val="009664FF"/>
    <w:rsid w:val="00973488"/>
    <w:rsid w:val="0098209F"/>
    <w:rsid w:val="009851DA"/>
    <w:rsid w:val="00986B04"/>
    <w:rsid w:val="009908F0"/>
    <w:rsid w:val="009A2453"/>
    <w:rsid w:val="009A2594"/>
    <w:rsid w:val="009A39F7"/>
    <w:rsid w:val="009D2B49"/>
    <w:rsid w:val="009D64AE"/>
    <w:rsid w:val="009D6593"/>
    <w:rsid w:val="009D7041"/>
    <w:rsid w:val="009F3438"/>
    <w:rsid w:val="00A22E81"/>
    <w:rsid w:val="00A55718"/>
    <w:rsid w:val="00A71931"/>
    <w:rsid w:val="00A75CD0"/>
    <w:rsid w:val="00A7748F"/>
    <w:rsid w:val="00A77814"/>
    <w:rsid w:val="00A85D6F"/>
    <w:rsid w:val="00A8682E"/>
    <w:rsid w:val="00AA1B31"/>
    <w:rsid w:val="00AA5871"/>
    <w:rsid w:val="00AA7583"/>
    <w:rsid w:val="00AC4FEC"/>
    <w:rsid w:val="00AE4597"/>
    <w:rsid w:val="00AF43ED"/>
    <w:rsid w:val="00B01846"/>
    <w:rsid w:val="00B05990"/>
    <w:rsid w:val="00B06757"/>
    <w:rsid w:val="00B06F50"/>
    <w:rsid w:val="00B12936"/>
    <w:rsid w:val="00B12F07"/>
    <w:rsid w:val="00B1526D"/>
    <w:rsid w:val="00B167B4"/>
    <w:rsid w:val="00B1784D"/>
    <w:rsid w:val="00B219D4"/>
    <w:rsid w:val="00B24666"/>
    <w:rsid w:val="00B350DB"/>
    <w:rsid w:val="00B430C1"/>
    <w:rsid w:val="00B458B9"/>
    <w:rsid w:val="00B4768A"/>
    <w:rsid w:val="00B478DD"/>
    <w:rsid w:val="00B570CF"/>
    <w:rsid w:val="00B85E9F"/>
    <w:rsid w:val="00B9688E"/>
    <w:rsid w:val="00BA2369"/>
    <w:rsid w:val="00BA5790"/>
    <w:rsid w:val="00BB4C8A"/>
    <w:rsid w:val="00BC23B6"/>
    <w:rsid w:val="00BD2395"/>
    <w:rsid w:val="00BE597B"/>
    <w:rsid w:val="00C00FB9"/>
    <w:rsid w:val="00C01190"/>
    <w:rsid w:val="00C0295A"/>
    <w:rsid w:val="00C07BE8"/>
    <w:rsid w:val="00C139ED"/>
    <w:rsid w:val="00C23329"/>
    <w:rsid w:val="00C271DC"/>
    <w:rsid w:val="00C477CD"/>
    <w:rsid w:val="00C62DBD"/>
    <w:rsid w:val="00C900FA"/>
    <w:rsid w:val="00CA0106"/>
    <w:rsid w:val="00CA3FBF"/>
    <w:rsid w:val="00CD22B2"/>
    <w:rsid w:val="00CD3019"/>
    <w:rsid w:val="00CF22BD"/>
    <w:rsid w:val="00D00748"/>
    <w:rsid w:val="00D00D26"/>
    <w:rsid w:val="00D07521"/>
    <w:rsid w:val="00D11242"/>
    <w:rsid w:val="00D12032"/>
    <w:rsid w:val="00D20FBF"/>
    <w:rsid w:val="00D31AA6"/>
    <w:rsid w:val="00D3578D"/>
    <w:rsid w:val="00D4222D"/>
    <w:rsid w:val="00D4586E"/>
    <w:rsid w:val="00D570C3"/>
    <w:rsid w:val="00D63A31"/>
    <w:rsid w:val="00D83F8B"/>
    <w:rsid w:val="00DA696C"/>
    <w:rsid w:val="00DB1F0A"/>
    <w:rsid w:val="00DB7251"/>
    <w:rsid w:val="00DC0032"/>
    <w:rsid w:val="00DC3E23"/>
    <w:rsid w:val="00DC3EA1"/>
    <w:rsid w:val="00DE1BBE"/>
    <w:rsid w:val="00DE42FD"/>
    <w:rsid w:val="00E104B4"/>
    <w:rsid w:val="00E13A8E"/>
    <w:rsid w:val="00E13C09"/>
    <w:rsid w:val="00E13E44"/>
    <w:rsid w:val="00E27E9B"/>
    <w:rsid w:val="00E37441"/>
    <w:rsid w:val="00E85E3D"/>
    <w:rsid w:val="00EA46DC"/>
    <w:rsid w:val="00EB5244"/>
    <w:rsid w:val="00EC1C12"/>
    <w:rsid w:val="00EC6357"/>
    <w:rsid w:val="00ED01A4"/>
    <w:rsid w:val="00EE2752"/>
    <w:rsid w:val="00F01037"/>
    <w:rsid w:val="00F02A26"/>
    <w:rsid w:val="00F03FAE"/>
    <w:rsid w:val="00F05CB2"/>
    <w:rsid w:val="00F156E2"/>
    <w:rsid w:val="00F23426"/>
    <w:rsid w:val="00F328CA"/>
    <w:rsid w:val="00F67EC9"/>
    <w:rsid w:val="00F67FFD"/>
    <w:rsid w:val="00F82C37"/>
    <w:rsid w:val="00FA291A"/>
    <w:rsid w:val="00FA7576"/>
    <w:rsid w:val="00FB2F08"/>
    <w:rsid w:val="00FB3943"/>
    <w:rsid w:val="00FB4DFC"/>
    <w:rsid w:val="00FB7B7B"/>
    <w:rsid w:val="00FD0896"/>
    <w:rsid w:val="00FE2CD9"/>
    <w:rsid w:val="00FF5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5F1"/>
    <w:rPr>
      <w:lang w:eastAsia="en-US"/>
    </w:rPr>
  </w:style>
  <w:style w:type="paragraph" w:styleId="Heading1">
    <w:name w:val="heading 1"/>
    <w:basedOn w:val="Normal"/>
    <w:next w:val="Normal"/>
    <w:link w:val="Heading1Char"/>
    <w:qFormat/>
    <w:rsid w:val="004345F1"/>
    <w:pPr>
      <w:keepNext/>
      <w:ind w:right="459"/>
      <w:outlineLvl w:val="0"/>
    </w:pPr>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CB7"/>
    <w:pPr>
      <w:tabs>
        <w:tab w:val="center" w:pos="4320"/>
        <w:tab w:val="right" w:pos="8640"/>
      </w:tabs>
    </w:pPr>
    <w:rPr>
      <w:sz w:val="24"/>
      <w:szCs w:val="24"/>
      <w:lang w:val="en-US"/>
    </w:rPr>
  </w:style>
  <w:style w:type="paragraph" w:styleId="Footer">
    <w:name w:val="footer"/>
    <w:basedOn w:val="Normal"/>
    <w:rsid w:val="00801CB7"/>
    <w:pPr>
      <w:tabs>
        <w:tab w:val="center" w:pos="4320"/>
        <w:tab w:val="right" w:pos="8640"/>
      </w:tabs>
    </w:pPr>
    <w:rPr>
      <w:sz w:val="24"/>
      <w:szCs w:val="24"/>
      <w:lang w:val="en-US"/>
    </w:rPr>
  </w:style>
  <w:style w:type="table" w:styleId="TableGrid">
    <w:name w:val="Table Grid"/>
    <w:basedOn w:val="TableNormal"/>
    <w:rsid w:val="00DA6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345F1"/>
    <w:rPr>
      <w:rFonts w:ascii="Tahoma" w:hAnsi="Tahoma" w:cs="Tahoma"/>
      <w:sz w:val="16"/>
      <w:szCs w:val="16"/>
      <w:lang w:val="en-US"/>
    </w:rPr>
  </w:style>
  <w:style w:type="character" w:customStyle="1" w:styleId="BalloonTextChar">
    <w:name w:val="Balloon Text Char"/>
    <w:basedOn w:val="DefaultParagraphFont"/>
    <w:link w:val="BalloonText"/>
    <w:rsid w:val="004345F1"/>
    <w:rPr>
      <w:rFonts w:ascii="Tahoma" w:hAnsi="Tahoma" w:cs="Tahoma"/>
      <w:sz w:val="16"/>
      <w:szCs w:val="16"/>
      <w:lang w:val="en-US" w:eastAsia="en-US"/>
    </w:rPr>
  </w:style>
  <w:style w:type="character" w:customStyle="1" w:styleId="Heading1Char">
    <w:name w:val="Heading 1 Char"/>
    <w:basedOn w:val="DefaultParagraphFont"/>
    <w:link w:val="Heading1"/>
    <w:rsid w:val="004345F1"/>
    <w:rPr>
      <w:sz w:val="24"/>
      <w:szCs w:val="24"/>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5F1"/>
    <w:rPr>
      <w:lang w:eastAsia="en-US"/>
    </w:rPr>
  </w:style>
  <w:style w:type="paragraph" w:styleId="Heading1">
    <w:name w:val="heading 1"/>
    <w:basedOn w:val="Normal"/>
    <w:next w:val="Normal"/>
    <w:link w:val="Heading1Char"/>
    <w:qFormat/>
    <w:rsid w:val="004345F1"/>
    <w:pPr>
      <w:keepNext/>
      <w:ind w:right="459"/>
      <w:outlineLvl w:val="0"/>
    </w:pPr>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CB7"/>
    <w:pPr>
      <w:tabs>
        <w:tab w:val="center" w:pos="4320"/>
        <w:tab w:val="right" w:pos="8640"/>
      </w:tabs>
    </w:pPr>
    <w:rPr>
      <w:sz w:val="24"/>
      <w:szCs w:val="24"/>
      <w:lang w:val="en-US"/>
    </w:rPr>
  </w:style>
  <w:style w:type="paragraph" w:styleId="Footer">
    <w:name w:val="footer"/>
    <w:basedOn w:val="Normal"/>
    <w:rsid w:val="00801CB7"/>
    <w:pPr>
      <w:tabs>
        <w:tab w:val="center" w:pos="4320"/>
        <w:tab w:val="right" w:pos="8640"/>
      </w:tabs>
    </w:pPr>
    <w:rPr>
      <w:sz w:val="24"/>
      <w:szCs w:val="24"/>
      <w:lang w:val="en-US"/>
    </w:rPr>
  </w:style>
  <w:style w:type="table" w:styleId="TableGrid">
    <w:name w:val="Table Grid"/>
    <w:basedOn w:val="TableNormal"/>
    <w:rsid w:val="00DA6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345F1"/>
    <w:rPr>
      <w:rFonts w:ascii="Tahoma" w:hAnsi="Tahoma" w:cs="Tahoma"/>
      <w:sz w:val="16"/>
      <w:szCs w:val="16"/>
      <w:lang w:val="en-US"/>
    </w:rPr>
  </w:style>
  <w:style w:type="character" w:customStyle="1" w:styleId="BalloonTextChar">
    <w:name w:val="Balloon Text Char"/>
    <w:basedOn w:val="DefaultParagraphFont"/>
    <w:link w:val="BalloonText"/>
    <w:rsid w:val="004345F1"/>
    <w:rPr>
      <w:rFonts w:ascii="Tahoma" w:hAnsi="Tahoma" w:cs="Tahoma"/>
      <w:sz w:val="16"/>
      <w:szCs w:val="16"/>
      <w:lang w:val="en-US" w:eastAsia="en-US"/>
    </w:rPr>
  </w:style>
  <w:style w:type="character" w:customStyle="1" w:styleId="Heading1Char">
    <w:name w:val="Heading 1 Char"/>
    <w:basedOn w:val="DefaultParagraphFont"/>
    <w:link w:val="Heading1"/>
    <w:rsid w:val="004345F1"/>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elephant\vdi_profiles\vsharpe\Downloads\Hexagon%20letterhead%2015_1%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Hexagon letterhead 15_1 (12)</Template>
  <TotalTime>2</TotalTime>
  <Pages>5</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Sharpe</dc:creator>
  <cp:lastModifiedBy>Valerie Sharpe</cp:lastModifiedBy>
  <cp:revision>2</cp:revision>
  <cp:lastPrinted>2014-09-04T15:58:00Z</cp:lastPrinted>
  <dcterms:created xsi:type="dcterms:W3CDTF">2016-12-01T11:40:00Z</dcterms:created>
  <dcterms:modified xsi:type="dcterms:W3CDTF">2016-12-01T11:40:00Z</dcterms:modified>
</cp:coreProperties>
</file>