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A1" w:rsidRPr="009F4A67" w:rsidRDefault="000E6A21" w:rsidP="000E6A21">
      <w:pPr>
        <w:jc w:val="right"/>
        <w:rPr>
          <w:b/>
        </w:rPr>
      </w:pPr>
      <w:bookmarkStart w:id="0" w:name="_GoBack"/>
      <w:bookmarkEnd w:id="0"/>
      <w:r>
        <w:rPr>
          <w:b/>
        </w:rPr>
        <w:t>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435"/>
        <w:gridCol w:w="1132"/>
      </w:tblGrid>
      <w:tr w:rsidR="000E6A21" w:rsidRPr="009F4A67" w:rsidTr="008B5C1C">
        <w:tc>
          <w:tcPr>
            <w:tcW w:w="675" w:type="dxa"/>
            <w:shd w:val="clear" w:color="auto" w:fill="C2D69B" w:themeFill="accent3" w:themeFillTint="99"/>
          </w:tcPr>
          <w:p w:rsidR="000E6A21" w:rsidRDefault="000E6A21" w:rsidP="004569D0"/>
        </w:tc>
        <w:tc>
          <w:tcPr>
            <w:tcW w:w="7435" w:type="dxa"/>
            <w:shd w:val="clear" w:color="auto" w:fill="C2D69B" w:themeFill="accent3" w:themeFillTint="99"/>
          </w:tcPr>
          <w:p w:rsidR="000E6A21" w:rsidRPr="009F4A67" w:rsidRDefault="000E6A21" w:rsidP="000E6A21">
            <w:pPr>
              <w:rPr>
                <w:b/>
              </w:rPr>
            </w:pPr>
            <w:r w:rsidRPr="009F4A67">
              <w:rPr>
                <w:b/>
              </w:rPr>
              <w:t xml:space="preserve">Reason for </w:t>
            </w:r>
            <w:r>
              <w:rPr>
                <w:b/>
              </w:rPr>
              <w:t xml:space="preserve">Supported Housing </w:t>
            </w:r>
            <w:r w:rsidRPr="009F4A67">
              <w:rPr>
                <w:b/>
              </w:rPr>
              <w:t xml:space="preserve">error </w:t>
            </w:r>
            <w:r>
              <w:rPr>
                <w:b/>
              </w:rPr>
              <w:t xml:space="preserve">and corrective action </w:t>
            </w:r>
          </w:p>
        </w:tc>
        <w:tc>
          <w:tcPr>
            <w:tcW w:w="1132" w:type="dxa"/>
            <w:shd w:val="clear" w:color="auto" w:fill="C2D69B" w:themeFill="accent3" w:themeFillTint="99"/>
          </w:tcPr>
          <w:p w:rsidR="000E6A21" w:rsidRPr="009F4A67" w:rsidRDefault="000E6A21" w:rsidP="004569D0">
            <w:pPr>
              <w:rPr>
                <w:b/>
              </w:rPr>
            </w:pPr>
            <w:r w:rsidRPr="009F4A67">
              <w:rPr>
                <w:b/>
              </w:rPr>
              <w:t xml:space="preserve">Number of cases </w:t>
            </w:r>
          </w:p>
        </w:tc>
      </w:tr>
      <w:tr w:rsidR="007E30C9" w:rsidTr="007E30C9">
        <w:tc>
          <w:tcPr>
            <w:tcW w:w="675" w:type="dxa"/>
          </w:tcPr>
          <w:p w:rsidR="007E30C9" w:rsidRDefault="00933CB8" w:rsidP="000E6A21">
            <w:pPr>
              <w:jc w:val="right"/>
            </w:pPr>
            <w:r>
              <w:t>1</w:t>
            </w:r>
            <w:r w:rsidR="000E6A21">
              <w:t>.</w:t>
            </w:r>
          </w:p>
        </w:tc>
        <w:tc>
          <w:tcPr>
            <w:tcW w:w="7435" w:type="dxa"/>
          </w:tcPr>
          <w:p w:rsidR="007E30C9" w:rsidRDefault="00845F32">
            <w:r>
              <w:t>D</w:t>
            </w:r>
            <w:r w:rsidR="007E30C9">
              <w:t xml:space="preserve">ue to </w:t>
            </w:r>
            <w:r>
              <w:t xml:space="preserve">a formula error in </w:t>
            </w:r>
            <w:r w:rsidR="007E30C9">
              <w:t>copying from the target rent model into another sheet used for the 2012 Supported Housing rent increase</w:t>
            </w:r>
            <w:r w:rsidR="00870937">
              <w:t xml:space="preserve">. Note that 4 of these units have now got a compliant rent as it has been corrected by our model but they were wrong at the time of the 2012 increase. </w:t>
            </w:r>
          </w:p>
          <w:p w:rsidR="003160AE" w:rsidRDefault="003160AE"/>
          <w:p w:rsidR="003160AE" w:rsidRDefault="003160AE">
            <w:r w:rsidRPr="008B5C1C">
              <w:rPr>
                <w:b/>
              </w:rPr>
              <w:t>Corrective action:</w:t>
            </w:r>
            <w:r>
              <w:t xml:space="preserve"> all </w:t>
            </w:r>
            <w:r w:rsidR="00780502">
              <w:t xml:space="preserve">general </w:t>
            </w:r>
            <w:r>
              <w:t xml:space="preserve">updates of the model are now checked by a </w:t>
            </w:r>
            <w:r w:rsidR="00780502">
              <w:t xml:space="preserve">second </w:t>
            </w:r>
            <w:r>
              <w:t xml:space="preserve">member of staff </w:t>
            </w:r>
          </w:p>
          <w:p w:rsidR="007E30C9" w:rsidRDefault="007E30C9"/>
        </w:tc>
        <w:tc>
          <w:tcPr>
            <w:tcW w:w="1132" w:type="dxa"/>
          </w:tcPr>
          <w:p w:rsidR="007E30C9" w:rsidRDefault="00870937" w:rsidP="00843073">
            <w:r>
              <w:t>18</w:t>
            </w:r>
          </w:p>
        </w:tc>
      </w:tr>
      <w:tr w:rsidR="007E30C9" w:rsidTr="007E30C9">
        <w:tc>
          <w:tcPr>
            <w:tcW w:w="675" w:type="dxa"/>
          </w:tcPr>
          <w:p w:rsidR="007E30C9" w:rsidRDefault="00933CB8" w:rsidP="000E6A21">
            <w:pPr>
              <w:jc w:val="right"/>
            </w:pPr>
            <w:r>
              <w:t>2</w:t>
            </w:r>
            <w:r w:rsidR="007E30C9">
              <w:t>.</w:t>
            </w:r>
          </w:p>
        </w:tc>
        <w:tc>
          <w:tcPr>
            <w:tcW w:w="7435" w:type="dxa"/>
          </w:tcPr>
          <w:p w:rsidR="00843073" w:rsidRDefault="0094257F">
            <w:r>
              <w:t xml:space="preserve">Wrong bed-size for the address recorded on IT system </w:t>
            </w:r>
            <w:r w:rsidR="00845F32">
              <w:t xml:space="preserve"> in 2007 when a Supported Housing  agency-managed scheme transferred </w:t>
            </w:r>
            <w:r w:rsidR="001D63B9">
              <w:t>in</w:t>
            </w:r>
            <w:r w:rsidR="00845F32">
              <w:t xml:space="preserve">to direct </w:t>
            </w:r>
            <w:r w:rsidR="001D63B9">
              <w:t xml:space="preserve">Hexagon </w:t>
            </w:r>
            <w:r w:rsidR="00845F32">
              <w:t>management</w:t>
            </w:r>
          </w:p>
          <w:p w:rsidR="007E30C9" w:rsidRDefault="00845F32">
            <w:r>
              <w:t xml:space="preserve"> </w:t>
            </w:r>
          </w:p>
          <w:p w:rsidR="003160AE" w:rsidRDefault="003160AE">
            <w:r w:rsidRPr="008B5C1C">
              <w:rPr>
                <w:b/>
              </w:rPr>
              <w:t>Corrective action</w:t>
            </w:r>
            <w:r>
              <w:t xml:space="preserve">: all units returned from agencies to be inspected on site as part of the managed transition </w:t>
            </w:r>
          </w:p>
          <w:p w:rsidR="0094257F" w:rsidRDefault="0094257F" w:rsidP="003F0BF3"/>
        </w:tc>
        <w:tc>
          <w:tcPr>
            <w:tcW w:w="1132" w:type="dxa"/>
          </w:tcPr>
          <w:p w:rsidR="007E30C9" w:rsidRDefault="0094257F">
            <w:r>
              <w:t>2</w:t>
            </w:r>
          </w:p>
        </w:tc>
      </w:tr>
      <w:tr w:rsidR="007E30C9" w:rsidTr="007E30C9">
        <w:tc>
          <w:tcPr>
            <w:tcW w:w="675" w:type="dxa"/>
          </w:tcPr>
          <w:p w:rsidR="007E30C9" w:rsidRDefault="00933CB8" w:rsidP="000E6A21">
            <w:pPr>
              <w:jc w:val="right"/>
            </w:pPr>
            <w:r>
              <w:t>3</w:t>
            </w:r>
            <w:r w:rsidR="00E56ADF">
              <w:t>.</w:t>
            </w:r>
          </w:p>
        </w:tc>
        <w:tc>
          <w:tcPr>
            <w:tcW w:w="7435" w:type="dxa"/>
          </w:tcPr>
          <w:p w:rsidR="007E30C9" w:rsidRDefault="00E56ADF">
            <w:r>
              <w:t>Core rent adjusted when shared house reconfigured to give residents more private space</w:t>
            </w:r>
            <w:r w:rsidR="00843073">
              <w:t xml:space="preserve">. The intention is to regularise this by switching the charge for the extra space onto the service charge. </w:t>
            </w:r>
          </w:p>
          <w:p w:rsidR="003160AE" w:rsidRDefault="003160AE"/>
          <w:p w:rsidR="003160AE" w:rsidRDefault="003160AE">
            <w:r w:rsidRPr="008B5C1C">
              <w:rPr>
                <w:b/>
              </w:rPr>
              <w:t>Corrective action:</w:t>
            </w:r>
            <w:r>
              <w:t xml:space="preserve"> no core rents to be adjusted on remodelling without a consideration of all the charges and where relevant a new valuation being obtained</w:t>
            </w:r>
          </w:p>
          <w:p w:rsidR="00E56ADF" w:rsidRDefault="00E56ADF"/>
        </w:tc>
        <w:tc>
          <w:tcPr>
            <w:tcW w:w="1132" w:type="dxa"/>
          </w:tcPr>
          <w:p w:rsidR="007E30C9" w:rsidRDefault="00E56ADF">
            <w:r>
              <w:t>3</w:t>
            </w:r>
          </w:p>
        </w:tc>
      </w:tr>
      <w:tr w:rsidR="00663123" w:rsidTr="007E30C9">
        <w:tc>
          <w:tcPr>
            <w:tcW w:w="675" w:type="dxa"/>
          </w:tcPr>
          <w:p w:rsidR="00663123" w:rsidRDefault="00933CB8" w:rsidP="000E6A21">
            <w:pPr>
              <w:jc w:val="right"/>
            </w:pPr>
            <w:r>
              <w:t>4</w:t>
            </w:r>
            <w:r w:rsidR="00663123">
              <w:t xml:space="preserve">. </w:t>
            </w:r>
          </w:p>
        </w:tc>
        <w:tc>
          <w:tcPr>
            <w:tcW w:w="7435" w:type="dxa"/>
          </w:tcPr>
          <w:p w:rsidR="00663123" w:rsidRPr="00B927F1" w:rsidRDefault="001D63B9" w:rsidP="00663123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Units let at social rents wrongly classified on the IT system as a market related rent unit because Supported Housing Officer used the wrong tenancy change form with subsequent error in rent setting</w:t>
            </w:r>
            <w:r w:rsidR="00663123" w:rsidRPr="00B927F1">
              <w:rPr>
                <w:rFonts w:ascii="Calibri" w:hAnsi="Calibri"/>
                <w:i/>
                <w:color w:val="000000"/>
              </w:rPr>
              <w:t xml:space="preserve"> </w:t>
            </w:r>
          </w:p>
          <w:p w:rsidR="00663123" w:rsidRDefault="00663123" w:rsidP="00663123">
            <w:pPr>
              <w:rPr>
                <w:rFonts w:ascii="Calibri" w:hAnsi="Calibri"/>
                <w:i/>
                <w:color w:val="000000"/>
              </w:rPr>
            </w:pPr>
          </w:p>
          <w:p w:rsidR="003160AE" w:rsidRDefault="003160AE" w:rsidP="00663123">
            <w:pPr>
              <w:rPr>
                <w:rFonts w:ascii="Calibri" w:hAnsi="Calibri"/>
                <w:color w:val="000000"/>
              </w:rPr>
            </w:pPr>
            <w:r w:rsidRPr="008B5C1C">
              <w:rPr>
                <w:rFonts w:ascii="Calibri" w:hAnsi="Calibri"/>
                <w:b/>
                <w:color w:val="000000"/>
              </w:rPr>
              <w:t>Corrective action</w:t>
            </w:r>
            <w:r>
              <w:rPr>
                <w:rFonts w:ascii="Calibri" w:hAnsi="Calibri"/>
                <w:color w:val="000000"/>
              </w:rPr>
              <w:t xml:space="preserve">: staff reminded about importance of using correct tenancy change forms  </w:t>
            </w:r>
          </w:p>
          <w:p w:rsidR="00663123" w:rsidRDefault="00663123"/>
        </w:tc>
        <w:tc>
          <w:tcPr>
            <w:tcW w:w="1132" w:type="dxa"/>
          </w:tcPr>
          <w:p w:rsidR="00663123" w:rsidRDefault="00663123">
            <w:r>
              <w:t>2</w:t>
            </w:r>
          </w:p>
        </w:tc>
      </w:tr>
      <w:tr w:rsidR="007E30C9" w:rsidTr="007E30C9">
        <w:tc>
          <w:tcPr>
            <w:tcW w:w="675" w:type="dxa"/>
          </w:tcPr>
          <w:p w:rsidR="007E30C9" w:rsidRDefault="00933CB8" w:rsidP="000E6A21">
            <w:pPr>
              <w:jc w:val="right"/>
            </w:pPr>
            <w:r>
              <w:t>5</w:t>
            </w:r>
            <w:r w:rsidR="008B5C1C">
              <w:t>.</w:t>
            </w:r>
          </w:p>
        </w:tc>
        <w:tc>
          <w:tcPr>
            <w:tcW w:w="7435" w:type="dxa"/>
          </w:tcPr>
          <w:p w:rsidR="007E30C9" w:rsidRDefault="00C87A59">
            <w:r>
              <w:t xml:space="preserve">Incorrect rent set on relet due to the supported  housing officer copying rent from the same size unit in the same scheme </w:t>
            </w:r>
            <w:r w:rsidR="00081F52">
              <w:t xml:space="preserve">but where the relet rent should have been different. </w:t>
            </w:r>
            <w:r>
              <w:t xml:space="preserve"> </w:t>
            </w:r>
          </w:p>
          <w:p w:rsidR="00C87A59" w:rsidRDefault="00C87A59"/>
          <w:p w:rsidR="003160AE" w:rsidRDefault="003160AE">
            <w:r w:rsidRPr="008B5C1C">
              <w:rPr>
                <w:b/>
              </w:rPr>
              <w:t>Corrective action:</w:t>
            </w:r>
            <w:r>
              <w:t xml:space="preserve"> staff to follow new relet written procedures with evidence on file</w:t>
            </w:r>
          </w:p>
          <w:p w:rsidR="00C87A59" w:rsidRDefault="00C87A59"/>
        </w:tc>
        <w:tc>
          <w:tcPr>
            <w:tcW w:w="1132" w:type="dxa"/>
          </w:tcPr>
          <w:p w:rsidR="007E30C9" w:rsidRDefault="00081F52">
            <w:r>
              <w:t>7</w:t>
            </w:r>
          </w:p>
        </w:tc>
      </w:tr>
      <w:tr w:rsidR="007E30C9" w:rsidTr="007E30C9">
        <w:tc>
          <w:tcPr>
            <w:tcW w:w="675" w:type="dxa"/>
          </w:tcPr>
          <w:p w:rsidR="007E30C9" w:rsidRDefault="00933CB8" w:rsidP="000E6A21">
            <w:pPr>
              <w:jc w:val="right"/>
            </w:pPr>
            <w:r>
              <w:t>6</w:t>
            </w:r>
            <w:r w:rsidR="00780502">
              <w:t>.</w:t>
            </w:r>
          </w:p>
        </w:tc>
        <w:tc>
          <w:tcPr>
            <w:tcW w:w="7435" w:type="dxa"/>
          </w:tcPr>
          <w:p w:rsidR="007E30C9" w:rsidRDefault="00C87A59">
            <w:r>
              <w:t xml:space="preserve">Agency rent – the previous agency had changed the net rent without asking Hexagon and the new agency appointed by Supporting People had continued to use the incorrect rents </w:t>
            </w:r>
          </w:p>
          <w:p w:rsidR="003160AE" w:rsidRDefault="003160AE"/>
          <w:p w:rsidR="00C87A59" w:rsidRDefault="003160AE" w:rsidP="00477823">
            <w:r w:rsidRPr="008B5C1C">
              <w:rPr>
                <w:b/>
              </w:rPr>
              <w:t>Corrective action</w:t>
            </w:r>
            <w:r>
              <w:t xml:space="preserve">: </w:t>
            </w:r>
            <w:r w:rsidR="008B5C1C">
              <w:t xml:space="preserve">Hexagon </w:t>
            </w:r>
            <w:r w:rsidR="00933CB8">
              <w:t xml:space="preserve">checking </w:t>
            </w:r>
            <w:r w:rsidR="00477823">
              <w:t xml:space="preserve">rents agencies are charging before they are changed. </w:t>
            </w:r>
          </w:p>
          <w:p w:rsidR="00477823" w:rsidRDefault="00477823" w:rsidP="00477823"/>
          <w:p w:rsidR="00933CB8" w:rsidRDefault="00933CB8" w:rsidP="00477823"/>
          <w:p w:rsidR="00933CB8" w:rsidRDefault="00933CB8" w:rsidP="00477823"/>
          <w:p w:rsidR="00933CB8" w:rsidRDefault="00933CB8" w:rsidP="00477823"/>
        </w:tc>
        <w:tc>
          <w:tcPr>
            <w:tcW w:w="1132" w:type="dxa"/>
          </w:tcPr>
          <w:p w:rsidR="007E30C9" w:rsidRDefault="00C87A59">
            <w:r>
              <w:t>42</w:t>
            </w:r>
          </w:p>
        </w:tc>
      </w:tr>
      <w:tr w:rsidR="007E30C9" w:rsidTr="007E30C9">
        <w:tc>
          <w:tcPr>
            <w:tcW w:w="675" w:type="dxa"/>
          </w:tcPr>
          <w:p w:rsidR="007E30C9" w:rsidRDefault="00933CB8" w:rsidP="000E6A21">
            <w:pPr>
              <w:jc w:val="right"/>
            </w:pPr>
            <w:r>
              <w:lastRenderedPageBreak/>
              <w:t>7</w:t>
            </w:r>
            <w:r w:rsidR="00C87A59">
              <w:t>.</w:t>
            </w:r>
          </w:p>
        </w:tc>
        <w:tc>
          <w:tcPr>
            <w:tcW w:w="7435" w:type="dxa"/>
          </w:tcPr>
          <w:p w:rsidR="007E30C9" w:rsidRDefault="00C87A59">
            <w:r>
              <w:t xml:space="preserve">Agency rent – women’s refuges . We understood from the start of rent restructuring that an exemption   applied to these rents as the residents would have been statutorily homeless. However, our </w:t>
            </w:r>
            <w:r w:rsidR="00081F52">
              <w:t xml:space="preserve">current </w:t>
            </w:r>
            <w:r>
              <w:t xml:space="preserve">legal advice </w:t>
            </w:r>
            <w:r w:rsidR="00843073">
              <w:t xml:space="preserve">is that the exemption would not have applied. </w:t>
            </w:r>
          </w:p>
          <w:p w:rsidR="003160AE" w:rsidRDefault="003160AE"/>
          <w:p w:rsidR="00E74F08" w:rsidRDefault="003160AE" w:rsidP="00477823">
            <w:r w:rsidRPr="008B5C1C">
              <w:rPr>
                <w:b/>
              </w:rPr>
              <w:t>Corrective action</w:t>
            </w:r>
            <w:r>
              <w:t xml:space="preserve"> –</w:t>
            </w:r>
            <w:r w:rsidR="008B5C1C">
              <w:t xml:space="preserve"> This was a misunderstanding </w:t>
            </w:r>
            <w:r w:rsidR="00477823">
              <w:t xml:space="preserve">which does not apply to any other schemes. </w:t>
            </w:r>
          </w:p>
          <w:p w:rsidR="00477823" w:rsidRDefault="00477823" w:rsidP="00477823"/>
        </w:tc>
        <w:tc>
          <w:tcPr>
            <w:tcW w:w="1132" w:type="dxa"/>
          </w:tcPr>
          <w:p w:rsidR="007E30C9" w:rsidRDefault="00843073">
            <w:r>
              <w:t>9</w:t>
            </w:r>
          </w:p>
        </w:tc>
      </w:tr>
      <w:tr w:rsidR="00933CB8" w:rsidRPr="009F4A67" w:rsidTr="000E5206">
        <w:tc>
          <w:tcPr>
            <w:tcW w:w="675" w:type="dxa"/>
            <w:shd w:val="clear" w:color="auto" w:fill="C2D69B" w:themeFill="accent3" w:themeFillTint="99"/>
          </w:tcPr>
          <w:p w:rsidR="00933CB8" w:rsidRDefault="00933CB8" w:rsidP="000E5206"/>
        </w:tc>
        <w:tc>
          <w:tcPr>
            <w:tcW w:w="7435" w:type="dxa"/>
            <w:shd w:val="clear" w:color="auto" w:fill="C2D69B" w:themeFill="accent3" w:themeFillTint="99"/>
          </w:tcPr>
          <w:p w:rsidR="00933CB8" w:rsidRPr="009F4A67" w:rsidRDefault="00933CB8" w:rsidP="000E5206">
            <w:pPr>
              <w:rPr>
                <w:b/>
              </w:rPr>
            </w:pPr>
            <w:r w:rsidRPr="009F4A67">
              <w:rPr>
                <w:b/>
              </w:rPr>
              <w:t xml:space="preserve">Reason for </w:t>
            </w:r>
            <w:r>
              <w:rPr>
                <w:b/>
              </w:rPr>
              <w:t xml:space="preserve">General Needs </w:t>
            </w:r>
            <w:r w:rsidRPr="009F4A67">
              <w:rPr>
                <w:b/>
              </w:rPr>
              <w:t xml:space="preserve">error </w:t>
            </w:r>
            <w:r>
              <w:rPr>
                <w:b/>
              </w:rPr>
              <w:t xml:space="preserve">and corrective action </w:t>
            </w:r>
          </w:p>
        </w:tc>
        <w:tc>
          <w:tcPr>
            <w:tcW w:w="1132" w:type="dxa"/>
            <w:shd w:val="clear" w:color="auto" w:fill="C2D69B" w:themeFill="accent3" w:themeFillTint="99"/>
          </w:tcPr>
          <w:p w:rsidR="00933CB8" w:rsidRPr="009F4A67" w:rsidRDefault="00933CB8" w:rsidP="000E5206">
            <w:pPr>
              <w:rPr>
                <w:b/>
              </w:rPr>
            </w:pPr>
            <w:r w:rsidRPr="009F4A67">
              <w:rPr>
                <w:b/>
              </w:rPr>
              <w:t xml:space="preserve">Number of cases </w:t>
            </w:r>
          </w:p>
        </w:tc>
      </w:tr>
      <w:tr w:rsidR="00933CB8" w:rsidTr="000E5206">
        <w:tc>
          <w:tcPr>
            <w:tcW w:w="675" w:type="dxa"/>
          </w:tcPr>
          <w:p w:rsidR="00933CB8" w:rsidRDefault="00933CB8" w:rsidP="000E5206">
            <w:pPr>
              <w:jc w:val="right"/>
            </w:pPr>
            <w:r>
              <w:t>8.</w:t>
            </w:r>
          </w:p>
        </w:tc>
        <w:tc>
          <w:tcPr>
            <w:tcW w:w="7435" w:type="dxa"/>
          </w:tcPr>
          <w:p w:rsidR="00933CB8" w:rsidRDefault="00933CB8" w:rsidP="000E5206">
            <w:r>
              <w:t xml:space="preserve">Setting a rent on two new-build homes in 2011 which was not in compliance with the IMS rent </w:t>
            </w:r>
          </w:p>
          <w:p w:rsidR="00933CB8" w:rsidRDefault="00933CB8" w:rsidP="000E5206"/>
          <w:p w:rsidR="00933CB8" w:rsidRDefault="00933CB8" w:rsidP="000E5206">
            <w:r w:rsidRPr="000E6A21">
              <w:rPr>
                <w:b/>
              </w:rPr>
              <w:t>Corrective action:</w:t>
            </w:r>
            <w:r>
              <w:t xml:space="preserve"> procedures for checking IMS rents have been written since this error was made. </w:t>
            </w:r>
          </w:p>
          <w:p w:rsidR="00933CB8" w:rsidRDefault="00933CB8" w:rsidP="000E5206"/>
        </w:tc>
        <w:tc>
          <w:tcPr>
            <w:tcW w:w="1132" w:type="dxa"/>
          </w:tcPr>
          <w:p w:rsidR="00933CB8" w:rsidRDefault="00933CB8" w:rsidP="000E5206">
            <w:r>
              <w:t>2</w:t>
            </w:r>
          </w:p>
        </w:tc>
      </w:tr>
      <w:tr w:rsidR="00933CB8" w:rsidTr="000E5206">
        <w:tc>
          <w:tcPr>
            <w:tcW w:w="675" w:type="dxa"/>
          </w:tcPr>
          <w:p w:rsidR="00933CB8" w:rsidRDefault="00933CB8" w:rsidP="000E5206">
            <w:pPr>
              <w:jc w:val="right"/>
            </w:pPr>
            <w:r>
              <w:t>9.</w:t>
            </w:r>
          </w:p>
        </w:tc>
        <w:tc>
          <w:tcPr>
            <w:tcW w:w="7435" w:type="dxa"/>
          </w:tcPr>
          <w:p w:rsidR="00933CB8" w:rsidRDefault="00933CB8" w:rsidP="000E5206">
            <w:r>
              <w:t xml:space="preserve">Incorrect rent set on relet due to staff making a copying error from relet spreadsheet </w:t>
            </w:r>
          </w:p>
          <w:p w:rsidR="00933CB8" w:rsidRDefault="00933CB8" w:rsidP="000E5206"/>
          <w:p w:rsidR="00933CB8" w:rsidRDefault="00933CB8" w:rsidP="000E5206">
            <w:r w:rsidRPr="000E6A21">
              <w:rPr>
                <w:b/>
              </w:rPr>
              <w:t>Corrective action:</w:t>
            </w:r>
            <w:r>
              <w:t xml:space="preserve"> procedure for a second officer  check of the relet spreadsheet is in place with evidence of check on file </w:t>
            </w:r>
          </w:p>
          <w:p w:rsidR="00933CB8" w:rsidRPr="0059375F" w:rsidRDefault="00933CB8" w:rsidP="000E5206"/>
        </w:tc>
        <w:tc>
          <w:tcPr>
            <w:tcW w:w="1132" w:type="dxa"/>
          </w:tcPr>
          <w:p w:rsidR="00933CB8" w:rsidRDefault="00933CB8" w:rsidP="000E5206">
            <w:r>
              <w:t>8</w:t>
            </w:r>
          </w:p>
        </w:tc>
      </w:tr>
      <w:tr w:rsidR="00933CB8" w:rsidTr="000E5206">
        <w:tc>
          <w:tcPr>
            <w:tcW w:w="675" w:type="dxa"/>
          </w:tcPr>
          <w:p w:rsidR="00933CB8" w:rsidRDefault="00933CB8" w:rsidP="00933CB8">
            <w:pPr>
              <w:jc w:val="center"/>
            </w:pPr>
            <w:r>
              <w:t>10.</w:t>
            </w:r>
          </w:p>
        </w:tc>
        <w:tc>
          <w:tcPr>
            <w:tcW w:w="7435" w:type="dxa"/>
          </w:tcPr>
          <w:p w:rsidR="00933CB8" w:rsidRDefault="00933CB8" w:rsidP="000E5206">
            <w:r>
              <w:t xml:space="preserve">Net rent was adjusted for the service charge disallowed by Rent Officer in their fair rent determination </w:t>
            </w:r>
          </w:p>
          <w:p w:rsidR="00933CB8" w:rsidRDefault="00933CB8" w:rsidP="000E5206"/>
        </w:tc>
        <w:tc>
          <w:tcPr>
            <w:tcW w:w="1132" w:type="dxa"/>
          </w:tcPr>
          <w:p w:rsidR="00933CB8" w:rsidRDefault="00933CB8" w:rsidP="000E5206">
            <w:r>
              <w:t>2</w:t>
            </w:r>
          </w:p>
        </w:tc>
      </w:tr>
      <w:tr w:rsidR="007E30C9" w:rsidRPr="008B5C1C" w:rsidTr="007E30C9">
        <w:tc>
          <w:tcPr>
            <w:tcW w:w="675" w:type="dxa"/>
          </w:tcPr>
          <w:p w:rsidR="007E30C9" w:rsidRPr="008B5C1C" w:rsidRDefault="007E30C9">
            <w:pPr>
              <w:rPr>
                <w:b/>
              </w:rPr>
            </w:pPr>
          </w:p>
        </w:tc>
        <w:tc>
          <w:tcPr>
            <w:tcW w:w="7435" w:type="dxa"/>
          </w:tcPr>
          <w:p w:rsidR="007E30C9" w:rsidRPr="008B5C1C" w:rsidRDefault="00843073">
            <w:pPr>
              <w:rPr>
                <w:b/>
              </w:rPr>
            </w:pPr>
            <w:r w:rsidRPr="008B5C1C">
              <w:rPr>
                <w:b/>
              </w:rPr>
              <w:t xml:space="preserve">Total </w:t>
            </w:r>
          </w:p>
        </w:tc>
        <w:tc>
          <w:tcPr>
            <w:tcW w:w="1132" w:type="dxa"/>
          </w:tcPr>
          <w:p w:rsidR="007E30C9" w:rsidRPr="008B5C1C" w:rsidRDefault="00780502">
            <w:pPr>
              <w:rPr>
                <w:b/>
              </w:rPr>
            </w:pPr>
            <w:r w:rsidRPr="008B5C1C">
              <w:rPr>
                <w:b/>
              </w:rPr>
              <w:t>95</w:t>
            </w:r>
          </w:p>
        </w:tc>
      </w:tr>
    </w:tbl>
    <w:p w:rsidR="007E30C9" w:rsidRDefault="007E30C9"/>
    <w:sectPr w:rsidR="007E3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EA2"/>
    <w:multiLevelType w:val="hybridMultilevel"/>
    <w:tmpl w:val="92F08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9"/>
    <w:rsid w:val="00081F52"/>
    <w:rsid w:val="000E6A21"/>
    <w:rsid w:val="00154DEC"/>
    <w:rsid w:val="00190EED"/>
    <w:rsid w:val="001D63B9"/>
    <w:rsid w:val="003160AE"/>
    <w:rsid w:val="00342F96"/>
    <w:rsid w:val="003F0BF3"/>
    <w:rsid w:val="00435806"/>
    <w:rsid w:val="00477823"/>
    <w:rsid w:val="004944E1"/>
    <w:rsid w:val="0059375F"/>
    <w:rsid w:val="00644FBE"/>
    <w:rsid w:val="00663123"/>
    <w:rsid w:val="00780502"/>
    <w:rsid w:val="007E30C9"/>
    <w:rsid w:val="0082278F"/>
    <w:rsid w:val="00843073"/>
    <w:rsid w:val="00845F32"/>
    <w:rsid w:val="00870937"/>
    <w:rsid w:val="008B5C1C"/>
    <w:rsid w:val="00933CB8"/>
    <w:rsid w:val="0094257F"/>
    <w:rsid w:val="009F4A67"/>
    <w:rsid w:val="00B464B9"/>
    <w:rsid w:val="00B927F1"/>
    <w:rsid w:val="00C70EB3"/>
    <w:rsid w:val="00C87A59"/>
    <w:rsid w:val="00CB6D54"/>
    <w:rsid w:val="00CD4A3F"/>
    <w:rsid w:val="00D32792"/>
    <w:rsid w:val="00D56BD9"/>
    <w:rsid w:val="00E56ADF"/>
    <w:rsid w:val="00E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Melville</dc:creator>
  <cp:lastModifiedBy>Valerie Sharpe</cp:lastModifiedBy>
  <cp:revision>2</cp:revision>
  <dcterms:created xsi:type="dcterms:W3CDTF">2016-12-01T11:40:00Z</dcterms:created>
  <dcterms:modified xsi:type="dcterms:W3CDTF">2016-12-01T11:40:00Z</dcterms:modified>
</cp:coreProperties>
</file>