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C" w:rsidRDefault="00E8735C" w:rsidP="003D1BED">
      <w:pPr>
        <w:pStyle w:val="Altairheading"/>
        <w:numPr>
          <w:ilvl w:val="0"/>
          <w:numId w:val="0"/>
        </w:numPr>
        <w:ind w:left="425"/>
        <w:jc w:val="center"/>
      </w:pPr>
      <w:bookmarkStart w:id="0" w:name="_GoBack"/>
      <w:bookmarkEnd w:id="0"/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center"/>
      </w:pP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center"/>
      </w:pP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center"/>
      </w:pP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center"/>
      </w:pP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right"/>
        <w:rPr>
          <w:sz w:val="48"/>
        </w:rPr>
      </w:pPr>
    </w:p>
    <w:p w:rsidR="003D1BED" w:rsidRPr="003D1BED" w:rsidRDefault="003D1BED" w:rsidP="003D1BED">
      <w:pPr>
        <w:pStyle w:val="Altairheading"/>
        <w:numPr>
          <w:ilvl w:val="0"/>
          <w:numId w:val="0"/>
        </w:numPr>
        <w:ind w:left="425"/>
        <w:jc w:val="right"/>
        <w:rPr>
          <w:sz w:val="52"/>
        </w:rPr>
      </w:pPr>
      <w:r w:rsidRPr="003D1BED">
        <w:rPr>
          <w:sz w:val="52"/>
        </w:rPr>
        <w:t>Hexagon Housing</w:t>
      </w:r>
    </w:p>
    <w:p w:rsidR="003D1BED" w:rsidRPr="003D1BED" w:rsidRDefault="003D1BED" w:rsidP="003D1BED">
      <w:pPr>
        <w:pStyle w:val="Altairheading"/>
        <w:numPr>
          <w:ilvl w:val="0"/>
          <w:numId w:val="0"/>
        </w:numPr>
        <w:ind w:left="425"/>
        <w:jc w:val="right"/>
        <w:rPr>
          <w:sz w:val="52"/>
        </w:rPr>
      </w:pPr>
      <w:r w:rsidRPr="003D1BED">
        <w:rPr>
          <w:sz w:val="52"/>
        </w:rPr>
        <w:t>Collective Board Appraisal Findings</w:t>
      </w: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right"/>
        <w:rPr>
          <w:color w:val="858585" w:themeColor="accent6" w:themeShade="BF"/>
          <w:sz w:val="52"/>
        </w:rPr>
      </w:pPr>
      <w:r w:rsidRPr="003D1BED">
        <w:rPr>
          <w:color w:val="858585" w:themeColor="accent6" w:themeShade="BF"/>
          <w:sz w:val="52"/>
        </w:rPr>
        <w:t>October 2016</w:t>
      </w:r>
    </w:p>
    <w:p w:rsidR="003D1BED" w:rsidRDefault="003D1BED" w:rsidP="003D1BED">
      <w:pPr>
        <w:pStyle w:val="Altairheading"/>
        <w:numPr>
          <w:ilvl w:val="0"/>
          <w:numId w:val="0"/>
        </w:numPr>
        <w:ind w:left="425"/>
        <w:jc w:val="right"/>
        <w:rPr>
          <w:color w:val="858585" w:themeColor="accent6" w:themeShade="BF"/>
          <w:sz w:val="52"/>
        </w:rPr>
        <w:sectPr w:rsidR="003D1BED" w:rsidSect="00D057A5">
          <w:headerReference w:type="default" r:id="rId8"/>
          <w:footerReference w:type="default" r:id="rId9"/>
          <w:headerReference w:type="first" r:id="rId10"/>
          <w:pgSz w:w="11906" w:h="16838"/>
          <w:pgMar w:top="2835" w:right="1440" w:bottom="1440" w:left="1440" w:header="709" w:footer="709" w:gutter="0"/>
          <w:cols w:space="708"/>
          <w:titlePg/>
          <w:docGrid w:linePitch="360"/>
        </w:sectPr>
      </w:pPr>
    </w:p>
    <w:p w:rsidR="003D1BED" w:rsidRDefault="003D1BED" w:rsidP="003D1BED">
      <w:pPr>
        <w:pStyle w:val="Altairheading"/>
      </w:pPr>
      <w:r>
        <w:lastRenderedPageBreak/>
        <w:t>Introduction</w:t>
      </w:r>
    </w:p>
    <w:p w:rsidR="003D1BED" w:rsidRDefault="003D1BED" w:rsidP="003D1BED">
      <w:pPr>
        <w:pStyle w:val="Altairbodytext"/>
      </w:pPr>
      <w:r>
        <w:t>Board Members were asked to appraise the performance of Hexagon’s board in relation to the following statements:</w:t>
      </w:r>
    </w:p>
    <w:p w:rsidR="003D1BED" w:rsidRDefault="003D1BED" w:rsidP="003D1BED">
      <w:pPr>
        <w:pStyle w:val="Altairbullet"/>
        <w:ind w:hanging="357"/>
        <w:jc w:val="left"/>
      </w:pPr>
      <w:r>
        <w:t xml:space="preserve">“The Board has sufficient knowledge of Hexagon’s approach to </w:t>
      </w:r>
      <w:proofErr w:type="spellStart"/>
      <w:r>
        <w:t>VfM</w:t>
      </w:r>
      <w:proofErr w:type="spellEnd"/>
      <w:r>
        <w:t xml:space="preserve"> and progress against its strategy”</w:t>
      </w:r>
    </w:p>
    <w:p w:rsidR="003D1BED" w:rsidRDefault="003D1BED" w:rsidP="003D1BED">
      <w:pPr>
        <w:pStyle w:val="Altairbullet"/>
        <w:ind w:hanging="357"/>
        <w:jc w:val="left"/>
      </w:pPr>
      <w:r>
        <w:t>“There is plenty of appropriate challenge during Board meetings, both peer-to-peer and Board-to-Executive”</w:t>
      </w:r>
    </w:p>
    <w:p w:rsidR="003D1BED" w:rsidRDefault="003D1BED" w:rsidP="003D1BED">
      <w:pPr>
        <w:pStyle w:val="Altairbullet"/>
        <w:ind w:hanging="357"/>
        <w:jc w:val="left"/>
      </w:pPr>
      <w:r>
        <w:t>“The level of debate for key policy/strategy/decision items is high. It is well-informed, assertive and respectful”</w:t>
      </w:r>
    </w:p>
    <w:p w:rsidR="003D1BED" w:rsidRDefault="003D1BED" w:rsidP="003D1BED">
      <w:pPr>
        <w:pStyle w:val="Altairbullet"/>
        <w:ind w:hanging="357"/>
        <w:jc w:val="left"/>
      </w:pPr>
      <w:r>
        <w:t>“The Lead Board Member role works well”</w:t>
      </w:r>
    </w:p>
    <w:p w:rsidR="003D1BED" w:rsidRDefault="003D1BED" w:rsidP="003D1BED">
      <w:pPr>
        <w:pStyle w:val="Altairbullet"/>
        <w:ind w:hanging="357"/>
        <w:jc w:val="left"/>
      </w:pPr>
      <w:r>
        <w:t>“The Board has the right skills, knowledge and experience to make the decisions it needs to”</w:t>
      </w:r>
    </w:p>
    <w:p w:rsidR="003D1BED" w:rsidRDefault="003D1BED" w:rsidP="003D1BED">
      <w:pPr>
        <w:pStyle w:val="Altairbullet"/>
        <w:ind w:hanging="357"/>
        <w:jc w:val="left"/>
      </w:pPr>
      <w:r>
        <w:t>“The Board is performing well”</w:t>
      </w:r>
    </w:p>
    <w:p w:rsidR="003D1BED" w:rsidRDefault="003D1BED" w:rsidP="003D1BED">
      <w:pPr>
        <w:pStyle w:val="Altairbullet"/>
        <w:ind w:hanging="357"/>
        <w:jc w:val="left"/>
      </w:pPr>
      <w:r>
        <w:t>“The Board works at the right level: not too strategic and not too operational”</w:t>
      </w:r>
    </w:p>
    <w:p w:rsidR="003D1BED" w:rsidRDefault="003D1BED" w:rsidP="003D1BED">
      <w:pPr>
        <w:pStyle w:val="Altairbullet"/>
        <w:ind w:hanging="357"/>
        <w:jc w:val="left"/>
      </w:pPr>
      <w:r>
        <w:t>“The Board has clear scrutiny and oversight arrangements with regard to regulatory compliance/KPIs/performance</w:t>
      </w:r>
      <w:r w:rsidR="00B63134">
        <w:t>”</w:t>
      </w:r>
    </w:p>
    <w:p w:rsidR="003D1BED" w:rsidRDefault="003D1BED" w:rsidP="003D1BED">
      <w:pPr>
        <w:pStyle w:val="Altairbullet"/>
        <w:ind w:hanging="357"/>
        <w:jc w:val="left"/>
      </w:pPr>
      <w:r>
        <w:t xml:space="preserve">“The Board obtains sufficient assurance from </w:t>
      </w:r>
      <w:proofErr w:type="spellStart"/>
      <w:r>
        <w:t>Horniman</w:t>
      </w:r>
      <w:proofErr w:type="spellEnd"/>
      <w:r>
        <w:t xml:space="preserve"> and has the appropriate oversight of its activities”</w:t>
      </w:r>
    </w:p>
    <w:p w:rsidR="003D1BED" w:rsidRDefault="003D1BED" w:rsidP="003D1BED">
      <w:pPr>
        <w:pStyle w:val="Altairbullet"/>
        <w:ind w:hanging="357"/>
        <w:jc w:val="left"/>
      </w:pPr>
      <w:r>
        <w:t>“The Board has a strong and robust approach to managing strategic and operational risk”</w:t>
      </w:r>
    </w:p>
    <w:p w:rsidR="003D1BED" w:rsidRDefault="003D1BED" w:rsidP="003D1BED">
      <w:pPr>
        <w:pStyle w:val="Altairbullet"/>
        <w:ind w:hanging="357"/>
        <w:jc w:val="left"/>
      </w:pPr>
      <w:r>
        <w:t>“Hexagon has the right number of committees, with the appropriate level of responsibilities to enable effective and efficient decision-making”</w:t>
      </w:r>
    </w:p>
    <w:p w:rsidR="003D1BED" w:rsidRDefault="003D1BED" w:rsidP="003D1BED">
      <w:pPr>
        <w:pStyle w:val="Altairbullet"/>
        <w:numPr>
          <w:ilvl w:val="0"/>
          <w:numId w:val="0"/>
        </w:numPr>
        <w:ind w:left="709" w:hanging="360"/>
        <w:jc w:val="left"/>
      </w:pPr>
    </w:p>
    <w:p w:rsidR="00B63134" w:rsidRDefault="00B63134" w:rsidP="008E4A27">
      <w:pPr>
        <w:pStyle w:val="Altairbodytext"/>
        <w:sectPr w:rsidR="00B63134" w:rsidSect="00032F8F">
          <w:pgSz w:w="11906" w:h="16838"/>
          <w:pgMar w:top="2835" w:right="1440" w:bottom="1440" w:left="1440" w:header="709" w:footer="709" w:gutter="0"/>
          <w:cols w:space="708"/>
          <w:docGrid w:linePitch="360"/>
        </w:sectPr>
      </w:pPr>
      <w:r>
        <w:t xml:space="preserve">Board Members could respond in one of four ways to each statement: “Disagree”, “Could do better”, “Agree” and “Completely agree”; Board Members were also invited to make specific comments and give the reasoning behind their response, and to suggest ways to improve </w:t>
      </w:r>
      <w:proofErr w:type="gramStart"/>
      <w:r>
        <w:t>their</w:t>
      </w:r>
      <w:proofErr w:type="gramEnd"/>
      <w:r>
        <w:t xml:space="preserve"> rating and identify any potential barriers to doing so.</w:t>
      </w:r>
    </w:p>
    <w:p w:rsidR="00B63134" w:rsidRDefault="00B63134" w:rsidP="00B63134">
      <w:pPr>
        <w:pStyle w:val="Altairheading"/>
      </w:pPr>
      <w:r>
        <w:lastRenderedPageBreak/>
        <w:t>Findings</w:t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t xml:space="preserve">Table 1: “The Board has sufficient knowledge of Hexagon’s approach to </w:t>
      </w:r>
      <w:proofErr w:type="spellStart"/>
      <w:r>
        <w:rPr>
          <w:b/>
          <w:color w:val="692F65" w:themeColor="accent1"/>
        </w:rPr>
        <w:t>VfM</w:t>
      </w:r>
      <w:proofErr w:type="spellEnd"/>
      <w:r>
        <w:rPr>
          <w:b/>
          <w:color w:val="692F65" w:themeColor="accent1"/>
        </w:rPr>
        <w:t xml:space="preserve"> and progress against its strategy”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510"/>
        <w:gridCol w:w="1029"/>
        <w:gridCol w:w="3969"/>
        <w:gridCol w:w="3119"/>
        <w:gridCol w:w="992"/>
        <w:gridCol w:w="3118"/>
      </w:tblGrid>
      <w:tr w:rsidR="008E4A27" w:rsidTr="00447EA9">
        <w:trPr>
          <w:trHeight w:val="874"/>
        </w:trPr>
        <w:tc>
          <w:tcPr>
            <w:tcW w:w="2510" w:type="dxa"/>
            <w:shd w:val="clear" w:color="auto" w:fill="692F65" w:themeFill="accent1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9" w:type="dxa"/>
            <w:shd w:val="clear" w:color="auto" w:fill="0C91AC" w:themeFill="accent3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7088" w:type="dxa"/>
            <w:gridSpan w:val="2"/>
            <w:shd w:val="clear" w:color="auto" w:fill="0C91AC" w:themeFill="accent3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992" w:type="dxa"/>
            <w:shd w:val="clear" w:color="auto" w:fill="0C91AC" w:themeFill="accent3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3118" w:type="dxa"/>
            <w:shd w:val="clear" w:color="auto" w:fill="0C91AC" w:themeFill="accent3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447EA9" w:rsidTr="00447EA9">
        <w:trPr>
          <w:trHeight w:val="558"/>
        </w:trPr>
        <w:tc>
          <w:tcPr>
            <w:tcW w:w="2510" w:type="dxa"/>
            <w:shd w:val="clear" w:color="auto" w:fill="692F65" w:themeFill="accent1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9" w:type="dxa"/>
            <w:shd w:val="clear" w:color="auto" w:fill="B2B2B2" w:themeFill="accent6"/>
          </w:tcPr>
          <w:p w:rsidR="00B63134" w:rsidRPr="008E4A27" w:rsidRDefault="00B63134" w:rsidP="008E4A2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 w:rsidR="008E4A27" w:rsidRPr="008E4A2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8" w:type="dxa"/>
            <w:gridSpan w:val="2"/>
            <w:shd w:val="clear" w:color="auto" w:fill="B2B2B2" w:themeFill="accent6"/>
          </w:tcPr>
          <w:p w:rsidR="00B63134" w:rsidRPr="008E4A27" w:rsidRDefault="00B63134" w:rsidP="008E4A2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A27" w:rsidRPr="008E4A27" w:rsidRDefault="008E4A27" w:rsidP="008E4A2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992" w:type="dxa"/>
            <w:shd w:val="clear" w:color="auto" w:fill="B2B2B2" w:themeFill="accent6"/>
          </w:tcPr>
          <w:p w:rsidR="008E4A27" w:rsidRPr="008E4A27" w:rsidRDefault="00B63134" w:rsidP="008E4A2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 w:rsidR="008E4A27" w:rsidRPr="008E4A27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118" w:type="dxa"/>
            <w:shd w:val="clear" w:color="auto" w:fill="B2B2B2" w:themeFill="accent6"/>
          </w:tcPr>
          <w:p w:rsidR="00B63134" w:rsidRPr="008E4A27" w:rsidRDefault="00B63134" w:rsidP="008E4A2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 w:rsidR="008E4A27" w:rsidRPr="008E4A27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447EA9" w:rsidTr="00D057A5">
        <w:trPr>
          <w:trHeight w:val="6307"/>
        </w:trPr>
        <w:tc>
          <w:tcPr>
            <w:tcW w:w="2510" w:type="dxa"/>
            <w:shd w:val="clear" w:color="auto" w:fill="692F65" w:themeFill="accent1"/>
          </w:tcPr>
          <w:p w:rsidR="00B63134" w:rsidRPr="008E4A27" w:rsidRDefault="00B63134" w:rsidP="00B6313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9" w:type="dxa"/>
          </w:tcPr>
          <w:p w:rsidR="00B63134" w:rsidRPr="008E4A27" w:rsidRDefault="00B63134" w:rsidP="00B6313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gridSpan w:val="2"/>
          </w:tcPr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can mean different things to different people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 xml:space="preserve">No shared understanding of our </w:t>
            </w: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strategy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>Difficult to find people willing to benchmark and be open about success tactics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>Too much reliance on FD for assurance and not enough Board input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>Insufficient evidence to support Board knowledge. Driven by Exec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>Reporting too voluminous. Focus more on regulatory drivers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 xml:space="preserve">Do not understand how </w:t>
            </w: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is measured in the development programme 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 xml:space="preserve">Focus on </w:t>
            </w: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not yet forward thinking enough, e.g. ensuring we get our service charges right on new schemes for example 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performance is repeated regularly across activities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 xml:space="preserve">A lot of </w:t>
            </w: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information provided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is inherently an area that is operational. A BM may not be fully versed with how savings in a particular area could be achieved </w:t>
            </w:r>
          </w:p>
          <w:p w:rsidR="00252D44" w:rsidRPr="008E4A27" w:rsidRDefault="008E4A27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proofErr w:type="spellStart"/>
            <w:r w:rsidRPr="008E4A27">
              <w:rPr>
                <w:sz w:val="20"/>
              </w:rPr>
              <w:t>VfM</w:t>
            </w:r>
            <w:proofErr w:type="spellEnd"/>
            <w:r w:rsidRPr="008E4A27">
              <w:rPr>
                <w:sz w:val="20"/>
              </w:rPr>
              <w:t xml:space="preserve"> is a </w:t>
            </w:r>
            <w:r w:rsidR="00252D44" w:rsidRPr="008E4A27">
              <w:rPr>
                <w:rFonts w:eastAsiaTheme="minorEastAsia"/>
                <w:sz w:val="20"/>
              </w:rPr>
              <w:t>“dark art”. Not always convinced by figures we are given</w:t>
            </w:r>
          </w:p>
          <w:p w:rsidR="00252D4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proofErr w:type="spellStart"/>
            <w:r w:rsidRPr="008E4A27">
              <w:rPr>
                <w:rFonts w:eastAsiaTheme="minorEastAsia"/>
                <w:sz w:val="20"/>
              </w:rPr>
              <w:t>VfM</w:t>
            </w:r>
            <w:proofErr w:type="spellEnd"/>
            <w:r w:rsidRPr="008E4A27">
              <w:rPr>
                <w:rFonts w:eastAsiaTheme="minorEastAsia"/>
                <w:sz w:val="20"/>
              </w:rPr>
              <w:t xml:space="preserve"> strategy not entirely clear in its objectivity or measurement </w:t>
            </w:r>
          </w:p>
          <w:p w:rsidR="00B63134" w:rsidRPr="008E4A27" w:rsidRDefault="00252D44" w:rsidP="008E4A27">
            <w:pPr>
              <w:pStyle w:val="Altairbullet"/>
              <w:ind w:left="310" w:hanging="256"/>
              <w:jc w:val="left"/>
              <w:rPr>
                <w:sz w:val="20"/>
              </w:rPr>
            </w:pPr>
            <w:r w:rsidRPr="008E4A27">
              <w:rPr>
                <w:rFonts w:eastAsiaTheme="minorEastAsia"/>
                <w:sz w:val="20"/>
              </w:rPr>
              <w:t>Proactive asset management approach needs to be considered</w:t>
            </w:r>
          </w:p>
        </w:tc>
        <w:tc>
          <w:tcPr>
            <w:tcW w:w="992" w:type="dxa"/>
          </w:tcPr>
          <w:p w:rsidR="00B63134" w:rsidRPr="008E4A27" w:rsidRDefault="00B63134" w:rsidP="00B6313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447EA9" w:rsidRPr="00447EA9" w:rsidRDefault="00447EA9" w:rsidP="00447EA9">
            <w:pPr>
              <w:pStyle w:val="Altairbullet"/>
              <w:ind w:left="310" w:hanging="240"/>
              <w:jc w:val="left"/>
              <w:rPr>
                <w:sz w:val="20"/>
              </w:rPr>
            </w:pPr>
            <w:r w:rsidRPr="00447EA9">
              <w:rPr>
                <w:sz w:val="20"/>
              </w:rPr>
              <w:t xml:space="preserve">Clear </w:t>
            </w:r>
            <w:proofErr w:type="spellStart"/>
            <w:r w:rsidRPr="00447EA9">
              <w:rPr>
                <w:sz w:val="20"/>
              </w:rPr>
              <w:t>VfM</w:t>
            </w:r>
            <w:proofErr w:type="spellEnd"/>
            <w:r w:rsidRPr="00447EA9">
              <w:rPr>
                <w:sz w:val="20"/>
              </w:rPr>
              <w:t xml:space="preserve"> strategy with SMART targets, annual self-assessment and progress report provided to Board</w:t>
            </w:r>
          </w:p>
          <w:p w:rsidR="00B63134" w:rsidRPr="008E4A27" w:rsidRDefault="00447EA9" w:rsidP="00447EA9">
            <w:pPr>
              <w:pStyle w:val="Altairbullet"/>
              <w:ind w:left="310" w:hanging="240"/>
              <w:jc w:val="left"/>
            </w:pPr>
            <w:r w:rsidRPr="00447EA9">
              <w:rPr>
                <w:sz w:val="20"/>
              </w:rPr>
              <w:t>LBM provides challenge and support</w:t>
            </w:r>
          </w:p>
        </w:tc>
      </w:tr>
      <w:tr w:rsidR="00447EA9" w:rsidTr="00AA4C58">
        <w:tc>
          <w:tcPr>
            <w:tcW w:w="7508" w:type="dxa"/>
            <w:gridSpan w:val="3"/>
            <w:shd w:val="clear" w:color="auto" w:fill="692F65" w:themeFill="accent1"/>
          </w:tcPr>
          <w:p w:rsidR="00447EA9" w:rsidRPr="00447EA9" w:rsidRDefault="00447EA9" w:rsidP="00447EA9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229" w:type="dxa"/>
            <w:gridSpan w:val="3"/>
            <w:shd w:val="clear" w:color="auto" w:fill="692F65" w:themeFill="accent1"/>
          </w:tcPr>
          <w:p w:rsidR="00447EA9" w:rsidRPr="00447EA9" w:rsidRDefault="00447EA9" w:rsidP="00447EA9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447EA9" w:rsidTr="00AA4C58">
        <w:trPr>
          <w:trHeight w:val="986"/>
        </w:trPr>
        <w:tc>
          <w:tcPr>
            <w:tcW w:w="7508" w:type="dxa"/>
            <w:gridSpan w:val="3"/>
          </w:tcPr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Better </w:t>
            </w:r>
            <w:proofErr w:type="spellStart"/>
            <w:r w:rsidRPr="00AA4C58">
              <w:rPr>
                <w:rFonts w:eastAsiaTheme="minorEastAsia"/>
                <w:sz w:val="20"/>
              </w:rPr>
              <w:t>VfM</w:t>
            </w:r>
            <w:proofErr w:type="spellEnd"/>
            <w:r w:rsidRPr="00AA4C58">
              <w:rPr>
                <w:rFonts w:eastAsiaTheme="minorEastAsia"/>
                <w:sz w:val="20"/>
              </w:rPr>
              <w:t xml:space="preserve"> measures, i.e. different ways of measuring 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Move performance back to </w:t>
            </w:r>
            <w:proofErr w:type="spellStart"/>
            <w:r w:rsidRPr="00AA4C58">
              <w:rPr>
                <w:rFonts w:eastAsiaTheme="minorEastAsia"/>
                <w:sz w:val="20"/>
              </w:rPr>
              <w:t>VfM</w:t>
            </w:r>
            <w:proofErr w:type="spellEnd"/>
            <w:r w:rsidRPr="00AA4C58">
              <w:rPr>
                <w:rFonts w:eastAsiaTheme="minorEastAsia"/>
                <w:sz w:val="20"/>
              </w:rPr>
              <w:t xml:space="preserve"> when strategic reports are being considered 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Clear definition of what </w:t>
            </w:r>
            <w:proofErr w:type="spellStart"/>
            <w:r w:rsidRPr="00AA4C58">
              <w:rPr>
                <w:rFonts w:eastAsiaTheme="minorEastAsia"/>
                <w:sz w:val="20"/>
              </w:rPr>
              <w:t>VfM</w:t>
            </w:r>
            <w:proofErr w:type="spellEnd"/>
            <w:r w:rsidRPr="00AA4C58">
              <w:rPr>
                <w:rFonts w:eastAsiaTheme="minorEastAsia"/>
                <w:sz w:val="20"/>
              </w:rPr>
              <w:t xml:space="preserve"> means to Hexagon at a strategic level 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More benchmarking outside the sector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More on </w:t>
            </w:r>
            <w:proofErr w:type="spellStart"/>
            <w:r w:rsidRPr="00AA4C58">
              <w:rPr>
                <w:rFonts w:eastAsiaTheme="minorEastAsia"/>
                <w:sz w:val="20"/>
              </w:rPr>
              <w:t>VfM</w:t>
            </w:r>
            <w:proofErr w:type="spellEnd"/>
            <w:r w:rsidRPr="00AA4C58">
              <w:rPr>
                <w:rFonts w:eastAsiaTheme="minorEastAsia"/>
                <w:sz w:val="20"/>
              </w:rPr>
              <w:t xml:space="preserve"> for development 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More training would give greater understanding 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More embedded knowledge amongst members of the strategy and results team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More ‘strategic’ reporting with RAG status</w:t>
            </w:r>
          </w:p>
          <w:p w:rsidR="00252D44" w:rsidRPr="00AA4C58" w:rsidRDefault="00252D44" w:rsidP="00447EA9">
            <w:pPr>
              <w:pStyle w:val="Altairbullet"/>
              <w:ind w:left="314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Improved benchmarking and business intelligence</w:t>
            </w:r>
          </w:p>
          <w:p w:rsidR="00447EA9" w:rsidRPr="00AA4C58" w:rsidRDefault="00447EA9" w:rsidP="00447EA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3"/>
          </w:tcPr>
          <w:p w:rsidR="00252D44" w:rsidRPr="00AA4C58" w:rsidRDefault="00252D44" w:rsidP="00447EA9">
            <w:pPr>
              <w:pStyle w:val="Altairbullet"/>
              <w:ind w:left="409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Too much information provided, making it hard to digest/get a good feel for where we are</w:t>
            </w:r>
          </w:p>
          <w:p w:rsidR="00252D44" w:rsidRPr="00AA4C58" w:rsidRDefault="00252D44" w:rsidP="00447EA9">
            <w:pPr>
              <w:pStyle w:val="Altairbullet"/>
              <w:ind w:left="409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Too much focus on operational measures at present </w:t>
            </w:r>
          </w:p>
          <w:p w:rsidR="00447EA9" w:rsidRPr="00AA4C58" w:rsidRDefault="00447EA9" w:rsidP="00447EA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447EA9" w:rsidRDefault="00447EA9" w:rsidP="00B63134">
      <w:pPr>
        <w:pStyle w:val="Altairbodytext"/>
        <w:rPr>
          <w:b/>
          <w:color w:val="692F65" w:themeColor="accent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A4C58" w:rsidTr="00AA4C58">
        <w:tc>
          <w:tcPr>
            <w:tcW w:w="14737" w:type="dxa"/>
            <w:shd w:val="clear" w:color="auto" w:fill="0C91AC" w:themeFill="accent3"/>
          </w:tcPr>
          <w:p w:rsidR="00AA4C58" w:rsidRPr="00AA4C58" w:rsidRDefault="00AA4C58" w:rsidP="00AA4C58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AA4C58" w:rsidTr="00AA4C58">
        <w:trPr>
          <w:trHeight w:val="85"/>
        </w:trPr>
        <w:tc>
          <w:tcPr>
            <w:tcW w:w="14737" w:type="dxa"/>
          </w:tcPr>
          <w:p w:rsidR="00AA4C58" w:rsidRPr="00AA4C58" w:rsidRDefault="00AA4C58" w:rsidP="00AA4C58">
            <w:pPr>
              <w:pStyle w:val="Altairbullet"/>
              <w:ind w:left="314"/>
              <w:rPr>
                <w:sz w:val="20"/>
              </w:rPr>
            </w:pPr>
            <w:r w:rsidRPr="00AA4C58">
              <w:rPr>
                <w:sz w:val="20"/>
              </w:rPr>
              <w:t>Greater clarity/linkages</w:t>
            </w:r>
          </w:p>
          <w:p w:rsidR="00AA4C58" w:rsidRPr="00AA4C58" w:rsidRDefault="00AA4C58" w:rsidP="00AA4C58">
            <w:pPr>
              <w:pStyle w:val="Altairbullet"/>
              <w:ind w:left="314"/>
              <w:rPr>
                <w:sz w:val="20"/>
              </w:rPr>
            </w:pPr>
            <w:r w:rsidRPr="00AA4C58">
              <w:rPr>
                <w:sz w:val="20"/>
              </w:rPr>
              <w:t>Training? Time? Frequent</w:t>
            </w:r>
          </w:p>
        </w:tc>
      </w:tr>
    </w:tbl>
    <w:p w:rsidR="00AA4C58" w:rsidRDefault="00AA4C58" w:rsidP="00B63134">
      <w:pPr>
        <w:pStyle w:val="Altairbodytext"/>
        <w:rPr>
          <w:b/>
          <w:color w:val="692F65" w:themeColor="accent1"/>
        </w:rPr>
      </w:pPr>
    </w:p>
    <w:p w:rsidR="00AA4C58" w:rsidRDefault="00AA4C58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2: “</w:t>
      </w:r>
      <w:r w:rsidRPr="00B63134">
        <w:rPr>
          <w:b/>
          <w:color w:val="692F65" w:themeColor="accent1"/>
        </w:rPr>
        <w:t>There is plenty of appropriate challenge during Board meetings, both peer-to-peer and Board-to-Executive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1365"/>
        <w:gridCol w:w="4930"/>
        <w:gridCol w:w="1217"/>
      </w:tblGrid>
      <w:tr w:rsidR="00AA4C58" w:rsidTr="00D057A5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5302" w:type="dxa"/>
            <w:gridSpan w:val="2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4930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AA4C58" w:rsidTr="00D057A5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5302" w:type="dxa"/>
            <w:gridSpan w:val="2"/>
            <w:shd w:val="clear" w:color="auto" w:fill="B2B2B2" w:themeFill="accent6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930" w:type="dxa"/>
            <w:shd w:val="clear" w:color="auto" w:fill="B2B2B2" w:themeFill="accent6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17" w:type="dxa"/>
            <w:shd w:val="clear" w:color="auto" w:fill="B2B2B2" w:themeFill="accent6"/>
          </w:tcPr>
          <w:p w:rsidR="00AA4C58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AA4C58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AA4C58" w:rsidRPr="008E4A27" w:rsidRDefault="00AA4C58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2"/>
          </w:tcPr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Could be more ‘peer to peer’ challenge, especially amongst execs (or for them to have differing views)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Could do with more challenge 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There is often insufficient time allowed in the agenda for discussion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Meetings often don’t allow enough time for this as we need to move on to the next item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It often appears that decisions are already made before they get to Board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Feels limited on how much can be really challenged</w:t>
            </w:r>
          </w:p>
          <w:p w:rsidR="00AA4C58" w:rsidRPr="00AA4C58" w:rsidRDefault="00252D44" w:rsidP="00AA4C58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Some strategic reports get very little discussion because early items on agendas are washed through</w:t>
            </w:r>
          </w:p>
        </w:tc>
        <w:tc>
          <w:tcPr>
            <w:tcW w:w="4930" w:type="dxa"/>
          </w:tcPr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Appropriate level of challenge both ways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I don’t think there are any fundamental problems here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Prepared to tackle inappropriate behaviour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Debates generally come to consensus, but no hard feelings if goes to vote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In some areas, the challenge is ‘high’, e.g. development. This is a good thing. In others, this is less prevalent, e.g. Finance/IT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The Board challenge where appropriate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sz w:val="20"/>
              </w:rPr>
            </w:pPr>
            <w:r w:rsidRPr="00AA4C58">
              <w:rPr>
                <w:rFonts w:eastAsiaTheme="minorEastAsia"/>
                <w:sz w:val="20"/>
              </w:rPr>
              <w:t>Lead BM has good grasp of topic</w:t>
            </w:r>
          </w:p>
          <w:p w:rsidR="00AA4C58" w:rsidRPr="008E4A27" w:rsidRDefault="00AA4C58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A4C58" w:rsidRPr="008E4A27" w:rsidRDefault="00AA4C58" w:rsidP="00AA4C58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AA4C58" w:rsidTr="00D057A5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AA4C58" w:rsidRPr="00447EA9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AA4C58" w:rsidRPr="00447EA9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AA4C58" w:rsidTr="00D057A5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Clearer agenda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Planning with appropriate time slots (not just standard times for each item)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More single issue meetings with specific goals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Questions to encourage challenge are considered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Fewer items on the agenda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More time spent on KPIs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Discussing the key strategic issues outside of the board meetings </w:t>
            </w:r>
          </w:p>
          <w:p w:rsidR="00252D44" w:rsidRPr="00AA4C58" w:rsidRDefault="00252D44" w:rsidP="00AA4C58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Less full agendas – key discussions highlighted in advance</w:t>
            </w:r>
          </w:p>
          <w:p w:rsidR="00AA4C58" w:rsidRPr="00AA4C58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A new Board member may be awed by the experience of their initial Board meetings if they have not participated/worked in such an environment 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Longevity. The longer that a board member serves, the more confident that board member will be in feeling comfortable challenging things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All board members need to assume this role. Currently only done by a minority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Time constraints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Limited resources 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Knowledge and information to challenge convincingly on some subjects (i.e. treasury)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Less input from Exec</w:t>
            </w:r>
          </w:p>
          <w:p w:rsidR="00252D44" w:rsidRPr="00AA4C58" w:rsidRDefault="00252D44" w:rsidP="00AA4C58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Treasury knowledge/experience of BMs</w:t>
            </w:r>
          </w:p>
          <w:p w:rsidR="00D057A5" w:rsidRPr="00AA4C58" w:rsidRDefault="00D057A5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D057A5" w:rsidTr="00D057A5">
        <w:tc>
          <w:tcPr>
            <w:tcW w:w="14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57A5" w:rsidRPr="00AA4C58" w:rsidRDefault="00D057A5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A4C58" w:rsidTr="00D057A5">
        <w:tc>
          <w:tcPr>
            <w:tcW w:w="14737" w:type="dxa"/>
            <w:gridSpan w:val="6"/>
            <w:tcBorders>
              <w:top w:val="single" w:sz="4" w:space="0" w:color="auto"/>
            </w:tcBorders>
            <w:shd w:val="clear" w:color="auto" w:fill="0C91AC" w:themeFill="accent3"/>
          </w:tcPr>
          <w:p w:rsidR="00D057A5" w:rsidRPr="00AA4C58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AA4C58" w:rsidTr="00D057A5">
        <w:trPr>
          <w:trHeight w:val="85"/>
        </w:trPr>
        <w:tc>
          <w:tcPr>
            <w:tcW w:w="14737" w:type="dxa"/>
            <w:gridSpan w:val="6"/>
          </w:tcPr>
          <w:p w:rsidR="00AA4C58" w:rsidRDefault="00AA4C58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Time at meetings (agendas)</w:t>
            </w:r>
          </w:p>
          <w:p w:rsidR="00AA4C58" w:rsidRPr="00AA4C58" w:rsidRDefault="00AA4C58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Peer to peer</w:t>
            </w:r>
          </w:p>
        </w:tc>
      </w:tr>
    </w:tbl>
    <w:p w:rsidR="00AA4C58" w:rsidRDefault="00AA4C58" w:rsidP="00B63134">
      <w:pPr>
        <w:pStyle w:val="Altairbodytext"/>
        <w:rPr>
          <w:b/>
          <w:color w:val="692F65" w:themeColor="accent1"/>
        </w:rPr>
      </w:pPr>
    </w:p>
    <w:p w:rsidR="00AA4C58" w:rsidRDefault="00AA4C58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3: “</w:t>
      </w:r>
      <w:r w:rsidRPr="00B63134">
        <w:rPr>
          <w:b/>
          <w:color w:val="692F65" w:themeColor="accent1"/>
        </w:rPr>
        <w:t>The level of debate for key policy/strategy/decision items is high. It is well-informed, assertive and respectful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992"/>
        <w:gridCol w:w="5303"/>
        <w:gridCol w:w="1217"/>
      </w:tblGrid>
      <w:tr w:rsidR="00AA4C58" w:rsidTr="00AA4C58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29" w:type="dxa"/>
            <w:gridSpan w:val="2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303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AA4C58" w:rsidTr="00AA4C58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29" w:type="dxa"/>
            <w:gridSpan w:val="2"/>
            <w:shd w:val="clear" w:color="auto" w:fill="B2B2B2" w:themeFill="accent6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03" w:type="dxa"/>
            <w:shd w:val="clear" w:color="auto" w:fill="B2B2B2" w:themeFill="accent6"/>
          </w:tcPr>
          <w:p w:rsidR="00AA4C58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217" w:type="dxa"/>
            <w:shd w:val="clear" w:color="auto" w:fill="B2B2B2" w:themeFill="accent6"/>
          </w:tcPr>
          <w:p w:rsidR="00AA4C58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AA4C58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AA4C58" w:rsidRPr="008E4A27" w:rsidRDefault="00AA4C58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AA4C58" w:rsidRPr="008E4A27" w:rsidRDefault="00AA4C58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gridSpan w:val="2"/>
          </w:tcPr>
          <w:p w:rsidR="00252D44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Often, agenda items are rushed through due to over full agendas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The nature and format of meetings can sometimes be constrained by adherence to a timed agenda. Sometimes items aren’t given sufficient time for an informed debate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Balance of time on strategic items could be improved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Not always enough constructive challenge</w:t>
            </w:r>
          </w:p>
          <w:p w:rsidR="00252D44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Often it is not clear what the strategic priorities are </w:t>
            </w:r>
          </w:p>
          <w:p w:rsidR="00AA4C58" w:rsidRPr="00AA4C58" w:rsidRDefault="00252D44" w:rsidP="00AA4C58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Debate can be very open and wide ranging</w:t>
            </w:r>
          </w:p>
        </w:tc>
        <w:tc>
          <w:tcPr>
            <w:tcW w:w="5303" w:type="dxa"/>
          </w:tcPr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We seem to do well in dealing with the big issues of strategy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Good amount of debate and challenge on policy and strategy with passion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Agree, but could have better focus on key items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In some areas where there is good LBM for example, the level of ‘debate’ is limited as they are as ‘expert’. In more difficult areas, e.g. Finance, this is more evident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We cover the essential ground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Time given for debate, yet not so much that it becomes unproductive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People bring skills and experience to the debate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 xml:space="preserve">Chair makes sure everyone has opportunity to contribute </w:t>
            </w:r>
          </w:p>
          <w:p w:rsidR="00252D44" w:rsidRPr="00AA4C58" w:rsidRDefault="00252D44" w:rsidP="00AA4C58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AA4C58">
              <w:rPr>
                <w:rFonts w:eastAsiaTheme="minorEastAsia"/>
                <w:sz w:val="20"/>
              </w:rPr>
              <w:t>Occasional insight by external speakers, e.g. politicians, policy experts, NHF</w:t>
            </w:r>
          </w:p>
          <w:p w:rsidR="00AA4C58" w:rsidRPr="008E4A27" w:rsidRDefault="00AA4C58" w:rsidP="00AA4C5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A4C58" w:rsidRPr="008E4A27" w:rsidRDefault="00AA4C58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AA4C58" w:rsidTr="00AA4C58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AA4C58" w:rsidRPr="00447EA9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AA4C58" w:rsidRPr="00447EA9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AA4C58" w:rsidTr="00AA4C58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Debate encouraged even if exec agree with views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When exec requested ‘steer’, ensure all are engaged and understand the issue, even if it means asking more questions of the exec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Board members to take up opportunity to ask questions of Exec before the meeting, rather than exposing lack of understanding of facts of Board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strategic reporting would allow for more time for debate</w:t>
            </w:r>
          </w:p>
          <w:p w:rsidR="00AA4C58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‘away day’ like sessions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Time in board meetings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Long agendas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Training could be more regular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Pace and complexity of change in external environment, plus Brexit</w:t>
            </w:r>
          </w:p>
          <w:p w:rsidR="00AA4C58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Complexity and uncertainty in risk areas</w:t>
            </w:r>
          </w:p>
        </w:tc>
      </w:tr>
      <w:tr w:rsidR="00AA4C58" w:rsidTr="00AA4C58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C58" w:rsidRPr="00AA4C58" w:rsidRDefault="00AA4C58" w:rsidP="00AA4C58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C58" w:rsidRPr="00AA4C58" w:rsidRDefault="00AA4C58" w:rsidP="00AA4C58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AA4C58" w:rsidTr="00AA4C58">
        <w:tc>
          <w:tcPr>
            <w:tcW w:w="14737" w:type="dxa"/>
            <w:gridSpan w:val="6"/>
            <w:shd w:val="clear" w:color="auto" w:fill="0C91AC" w:themeFill="accent3"/>
          </w:tcPr>
          <w:p w:rsidR="00AA4C58" w:rsidRPr="00AA4C58" w:rsidRDefault="00AA4C58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AA4C58" w:rsidTr="00AA4C58">
        <w:trPr>
          <w:trHeight w:val="85"/>
        </w:trPr>
        <w:tc>
          <w:tcPr>
            <w:tcW w:w="14737" w:type="dxa"/>
            <w:gridSpan w:val="6"/>
          </w:tcPr>
          <w:p w:rsidR="00AA4C58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Time to focus</w:t>
            </w:r>
          </w:p>
          <w:p w:rsidR="00252D44" w:rsidRPr="00AA4C58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Update external environment</w:t>
            </w:r>
          </w:p>
        </w:tc>
      </w:tr>
    </w:tbl>
    <w:p w:rsidR="00252D44" w:rsidRDefault="00252D44" w:rsidP="00B63134">
      <w:pPr>
        <w:pStyle w:val="Altairbodytext"/>
        <w:rPr>
          <w:b/>
          <w:color w:val="692F65" w:themeColor="accent1"/>
        </w:rPr>
      </w:pPr>
    </w:p>
    <w:p w:rsidR="00252D44" w:rsidRDefault="00252D44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4: “</w:t>
      </w:r>
      <w:r w:rsidRPr="00B63134">
        <w:rPr>
          <w:b/>
          <w:color w:val="692F65" w:themeColor="accent1"/>
        </w:rPr>
        <w:t>The Lead Board Member role works well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850"/>
        <w:gridCol w:w="5445"/>
        <w:gridCol w:w="1217"/>
      </w:tblGrid>
      <w:tr w:rsidR="00252D44" w:rsidTr="00252D44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787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445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252D44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787" w:type="dxa"/>
            <w:gridSpan w:val="2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445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52D44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787" w:type="dxa"/>
            <w:gridSpan w:val="2"/>
          </w:tcPr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Need to formulate it – no. of meetings, outputs etc.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Not always clear that the lead BM and Exec have worked together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No lead for resident involvement,</w:t>
            </w:r>
            <w:r>
              <w:rPr>
                <w:rFonts w:eastAsiaTheme="minorEastAsia"/>
                <w:sz w:val="20"/>
              </w:rPr>
              <w:t xml:space="preserve"> inconsistency between LBM roles</w:t>
            </w:r>
          </w:p>
        </w:tc>
        <w:tc>
          <w:tcPr>
            <w:tcW w:w="5445" w:type="dxa"/>
          </w:tcPr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LBM works well when BM is engaged and has the skills to give oversight to the role 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For some areas, it is clear there is a regular engagement with the exec, e.g. Finance/Development/Property Services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Lead BMs present strategic reports, so take ownership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This has improved since inception and is evidently getting better as lead BMs generally engage with Executive leads 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This area of Board member responsibility ensures greater understanding as members gain ownership of key areas of the organisation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Principall</w:t>
            </w:r>
            <w:r>
              <w:rPr>
                <w:rFonts w:eastAsiaTheme="minorEastAsia"/>
                <w:sz w:val="20"/>
              </w:rPr>
              <w:t>y</w:t>
            </w:r>
            <w:r w:rsidRPr="00252D44">
              <w:rPr>
                <w:rFonts w:eastAsiaTheme="minorEastAsia"/>
                <w:sz w:val="20"/>
              </w:rPr>
              <w:t xml:space="preserve"> work is done very well, but varies on ability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Works well when LBM committed to their roles and prepared to liaise with Exec</w:t>
            </w:r>
          </w:p>
          <w:p w:rsidR="00252D44" w:rsidRPr="00252D44" w:rsidRDefault="00252D44" w:rsidP="00252D44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Depends on who is in LBM role</w:t>
            </w:r>
          </w:p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Review discussion of lead Board member (LBM) role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consistency/assessment of how lead Board (LB) fulfils role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Ensuring no gaps in roles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LBMs ensure regular engagement and follow up with Exec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Exec made to understand operational matters which influence strategy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Time for head Board member to prepare before the meeting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Presentational skills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All LBMs to be prepared to meet/speak with relevant Execs as strategy is developed and comment on the draft paper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Training/guidance on what the role should entail and agree approach to consistency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More commitment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More knowledge for some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The secondary position that we initially assigned to a key area, is invariably redundant as the secondary member is seldom asked to present a paper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Formal person specification for a LBM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Prescribed roles and responsibilities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Have we identified the right areas to have lead members?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Scrap deputy BM role as not used/redundant 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Skills alignment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Time made available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Knowledge of some members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Commitment to the job 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Time/training</w:t>
            </w:r>
          </w:p>
          <w:p w:rsidR="00252D44" w:rsidRPr="00AA4C58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Strong links to the Executive</w:t>
            </w:r>
          </w:p>
        </w:tc>
      </w:tr>
    </w:tbl>
    <w:p w:rsidR="00252D44" w:rsidRDefault="00252D44" w:rsidP="00B63134">
      <w:pPr>
        <w:pStyle w:val="Altairbodytext"/>
        <w:rPr>
          <w:b/>
          <w:color w:val="692F65" w:themeColor="accent1"/>
        </w:rPr>
      </w:pPr>
    </w:p>
    <w:p w:rsidR="00252D44" w:rsidRDefault="00252D44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5: “T</w:t>
      </w:r>
      <w:r w:rsidRPr="00B63134">
        <w:rPr>
          <w:b/>
          <w:color w:val="692F65" w:themeColor="accent1"/>
        </w:rPr>
        <w:t>he Board has the right skills, knowledge and experience to make the decisions it needs to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795"/>
        <w:gridCol w:w="1134"/>
        <w:gridCol w:w="5303"/>
        <w:gridCol w:w="1217"/>
      </w:tblGrid>
      <w:tr w:rsidR="00252D44" w:rsidTr="00252D44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29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303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252D44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29" w:type="dxa"/>
            <w:gridSpan w:val="2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03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52D44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gridSpan w:val="2"/>
          </w:tcPr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commercial skills would enhance the Board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Some areas, knowledge, experience in lacking e.g. HR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Not all BMs have understanding of all areas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Experience is well covered in the key strategic areas, i.e. Finance/Development/Asset Management 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 greater understanding and grasp of the machinations involved in determining what loan covenants are required, in order to finance Hexagon’s development plans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Understanding of finance is not as embedded as we like to think, especially on treasury management issues</w:t>
            </w:r>
          </w:p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5303" w:type="dxa"/>
          </w:tcPr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 good mix of skills in membership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We generally meet our stated requirements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Board is balanced with a good skill mix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Debates at Board are sensible and decisions reached by consensus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Good mix of skills 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Now that we have the new method of RBM appointment, we ensure that all BMs have the right skills</w:t>
            </w:r>
          </w:p>
          <w:p w:rsidR="00252D44" w:rsidRPr="00252D44" w:rsidRDefault="00252D44" w:rsidP="00252D44">
            <w:pPr>
              <w:pStyle w:val="Altairbullet"/>
              <w:ind w:left="467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Good range of experience and skills</w:t>
            </w:r>
          </w:p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Resident empowerment/engagement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Innovation and new ways of thinking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Attend the training that is arranged (it is frustrating when BMs request training and then give last minute apologies)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IT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Community investment and HR expertise amongst Board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Lack of sales expertise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 robust and detailed understanding of financial treasury management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engagement by some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Need to bring in skills/experience in for sale products 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Treasury skills are there, but probably only through some BMs</w:t>
            </w:r>
          </w:p>
          <w:p w:rsidR="00252D44" w:rsidRPr="00252D44" w:rsidRDefault="00252D44" w:rsidP="00252D44">
            <w:pPr>
              <w:pStyle w:val="Altairbullet"/>
              <w:ind w:left="314"/>
              <w:rPr>
                <w:rFonts w:eastAsia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We are reliant on a small number of members in in specific areas, e.g. Finance/IT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Skills gap – commercial property 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Desire to elect tenants to the Board could be a limiting factor</w:t>
            </w:r>
          </w:p>
          <w:p w:rsidR="00252D44" w:rsidRPr="00252D44" w:rsidRDefault="00252D44" w:rsidP="00252D44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A thorough understanding of market economics </w:t>
            </w:r>
          </w:p>
        </w:tc>
      </w:tr>
      <w:tr w:rsidR="00252D44" w:rsidTr="00252D44">
        <w:trPr>
          <w:trHeight w:val="333"/>
        </w:trPr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Over-reliance</w:t>
            </w:r>
          </w:p>
          <w:p w:rsidR="00252D44" w:rsidRPr="00AA4C58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Sales/commercial property</w:t>
            </w:r>
          </w:p>
        </w:tc>
      </w:tr>
    </w:tbl>
    <w:p w:rsidR="00252D44" w:rsidRDefault="00252D44" w:rsidP="00B63134">
      <w:pPr>
        <w:pStyle w:val="Altairbodytext"/>
        <w:rPr>
          <w:b/>
          <w:color w:val="692F65" w:themeColor="accent1"/>
        </w:rPr>
      </w:pPr>
    </w:p>
    <w:p w:rsidR="00252D44" w:rsidRDefault="00252D44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6: “</w:t>
      </w:r>
      <w:r w:rsidRPr="00B63134">
        <w:rPr>
          <w:b/>
          <w:color w:val="692F65" w:themeColor="accent1"/>
        </w:rPr>
        <w:t>The Board is performing well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992"/>
        <w:gridCol w:w="5303"/>
        <w:gridCol w:w="1217"/>
      </w:tblGrid>
      <w:tr w:rsidR="00252D44" w:rsidTr="00252D44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29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303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252D44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29" w:type="dxa"/>
            <w:gridSpan w:val="2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03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52D44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gridSpan w:val="2"/>
          </w:tcPr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Overall key is issues are covered with good debate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Some agendas are too rushed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Occasionally too much attention to relatively minor issues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Board not providing clear steer on resident involvement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Some issues keep being revisited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Board papers could be more succinct in some areas</w:t>
            </w:r>
          </w:p>
        </w:tc>
        <w:tc>
          <w:tcPr>
            <w:tcW w:w="5303" w:type="dxa"/>
          </w:tcPr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Strong financial management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Strong social purpose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The Board is not perfect, but overall it serves the organisation and sets strategy and direction well 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Good combination of challenge and support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People are all reliable and show commitment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Good debates x3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Appropriate levels of challenge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Sufficient contribution from all 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Robust and respectful challenge and debate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Good balance of experience 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Strategic focus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Range of skills and knowledge x 8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Good oversight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Works well as a team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Well chaired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Diversity of views brings challenge 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Focus on ‘big’ strategic issues 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Good support and knowledge from Exec team x2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Polite and respectful approach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Diverse board, i.e. gender and ethnicity</w:t>
            </w:r>
          </w:p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Approach to resident engagement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Add new business resource to development and regeneration team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Allow more time for strategic discussions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More engagement from BMs on the big operational areas, e.g. </w:t>
            </w:r>
            <w:proofErr w:type="spellStart"/>
            <w:r w:rsidRPr="00252D44">
              <w:rPr>
                <w:rFonts w:eastAsiaTheme="minorEastAsia"/>
                <w:sz w:val="20"/>
              </w:rPr>
              <w:t>VfM</w:t>
            </w:r>
            <w:proofErr w:type="spellEnd"/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Sometimes spend too long on non-priority areas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Board papers can be very lengthy 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focused and targeted Board reports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Reporting too voluminous and detailed 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Resident engagement needs focus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Don’t revisit debates that have been resolved 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Politeness can lead to a reluctance to challenge and drive an unpopular point of view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consistent LBM performance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Meeting management 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Need better leadership on resident engagement 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Small development department cannot afford a new business resource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Good chairing</w:t>
            </w:r>
          </w:p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Length of papers</w:t>
            </w:r>
          </w:p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Resident engagement</w:t>
            </w:r>
          </w:p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Range of skills</w:t>
            </w:r>
          </w:p>
          <w:p w:rsidR="00252D44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Excellent Exec</w:t>
            </w:r>
          </w:p>
          <w:p w:rsidR="00252D44" w:rsidRPr="00AA4C58" w:rsidRDefault="00252D44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Good debate</w:t>
            </w:r>
          </w:p>
        </w:tc>
      </w:tr>
    </w:tbl>
    <w:p w:rsidR="00252D44" w:rsidRDefault="00252D44" w:rsidP="00B63134">
      <w:pPr>
        <w:pStyle w:val="Altairbodytext"/>
        <w:rPr>
          <w:b/>
          <w:color w:val="692F65" w:themeColor="accent1"/>
        </w:rPr>
      </w:pPr>
    </w:p>
    <w:p w:rsidR="00252D44" w:rsidRDefault="00252D44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7: “</w:t>
      </w:r>
      <w:r w:rsidRPr="00B63134">
        <w:rPr>
          <w:b/>
          <w:color w:val="692F65" w:themeColor="accent1"/>
        </w:rPr>
        <w:t>The Board works at the right level: not too strategic and not too operational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992"/>
        <w:gridCol w:w="5303"/>
        <w:gridCol w:w="1217"/>
      </w:tblGrid>
      <w:tr w:rsidR="00252D44" w:rsidTr="00252D44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29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303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252D44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29" w:type="dxa"/>
            <w:gridSpan w:val="2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303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52D44" w:rsidTr="00D057A5">
        <w:trPr>
          <w:trHeight w:val="689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gridSpan w:val="2"/>
          </w:tcPr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Board works well at strategic level, but reporting and papers sometimes too operational 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Agendas often rushed because balance between operational/strategic issues not quite right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Tend to get the balance right. LBMs get involved in the specialist areas, but not too operational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Insufficient discussion of KPI report/challenge to improve 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Balance could be better as sometimes we don’t get sufficient assurance on operational issues and we rely somewhat on lead Board member roles/working group 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 large proportion of our strategic planning is formed and conceptualised. The Board doesn’t have adequate opportunity to formulate policy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Participation by BMs not quite strong</w:t>
            </w:r>
          </w:p>
          <w:p w:rsidR="00252D44" w:rsidRPr="00252D44" w:rsidRDefault="00252D44" w:rsidP="00252D44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Has improved, but we can tend to spend too much time on non-priority areas</w:t>
            </w:r>
          </w:p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31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5303" w:type="dxa"/>
          </w:tcPr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Chair steers debate towards strategic issues when getting too operational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Agendas and papers are focused on strategic matters</w:t>
            </w:r>
          </w:p>
          <w:p w:rsidR="00252D44" w:rsidRPr="00252D44" w:rsidRDefault="00252D44" w:rsidP="00252D44">
            <w:pPr>
              <w:pStyle w:val="Altairbullet"/>
              <w:ind w:left="325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Operational ‘background’ knowledge which helps understanding</w:t>
            </w:r>
          </w:p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Be prepared to bring ideas from elsewhere to bear on improving operational results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The Board could have more influence in setting the direction of travel for the association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The Board could lead more rather than follow the view of the management team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Allowing enough time for items to be debated/discussed to ensure views are expressed (some feel rushed)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Attend LBM engagement with relevant Exec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Still too much operational focus in context of reports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attention by Board to KPI performance reports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Less volume and more strategic and high level reporting/flagging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Too much operational context in Board papers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Clearer agenda planning on what is strategic at the moment 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‘away day’ sessions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Greater use of sub-committees or information papers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More use of sub-groups continuity to improve lead BMs role</w:t>
            </w:r>
          </w:p>
          <w:p w:rsidR="00252D44" w:rsidRPr="00252D44" w:rsidRDefault="00252D44" w:rsidP="00252D44">
            <w:pPr>
              <w:pStyle w:val="Altairbullet"/>
              <w:ind w:left="314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If there was an operational committee, more time could </w:t>
            </w:r>
            <w:r>
              <w:rPr>
                <w:rFonts w:eastAsiaTheme="minorEastAsia"/>
                <w:sz w:val="20"/>
              </w:rPr>
              <w:t>be committed to strategic issues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Time in board meetings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Long agendas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Training could be more regular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 xml:space="preserve">Not got a clear understanding across the Board of what is strategic and operational 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Too muc</w:t>
            </w:r>
            <w:r>
              <w:rPr>
                <w:rFonts w:eastAsiaTheme="minorEastAsia"/>
                <w:sz w:val="20"/>
              </w:rPr>
              <w:t>h policy is formulated at the D.</w:t>
            </w:r>
            <w:r w:rsidRPr="00252D44">
              <w:rPr>
                <w:rFonts w:eastAsiaTheme="minorEastAsia"/>
                <w:sz w:val="20"/>
              </w:rPr>
              <w:t>G.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252D44">
              <w:rPr>
                <w:rFonts w:eastAsiaTheme="minorEastAsia"/>
                <w:sz w:val="20"/>
              </w:rPr>
              <w:t>level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Only 6 board meetings per annum</w:t>
            </w:r>
          </w:p>
          <w:p w:rsidR="00252D44" w:rsidRPr="00252D44" w:rsidRDefault="00252D44" w:rsidP="00252D44">
            <w:pPr>
              <w:pStyle w:val="Altairbullet"/>
              <w:ind w:left="409"/>
              <w:jc w:val="left"/>
              <w:rPr>
                <w:rFonts w:eastAsiaTheme="minorEastAsia"/>
                <w:sz w:val="20"/>
              </w:rPr>
            </w:pPr>
            <w:r w:rsidRPr="00252D44">
              <w:rPr>
                <w:rFonts w:eastAsiaTheme="minorEastAsia"/>
                <w:sz w:val="20"/>
              </w:rPr>
              <w:t>Time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Agendas</w:t>
            </w:r>
          </w:p>
          <w:p w:rsidR="00FC67A5" w:rsidRPr="00AA4C58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Delve into operations</w:t>
            </w:r>
          </w:p>
        </w:tc>
      </w:tr>
    </w:tbl>
    <w:p w:rsidR="00252D44" w:rsidRDefault="00252D44" w:rsidP="00B63134">
      <w:pPr>
        <w:pStyle w:val="Altairbodytext"/>
        <w:rPr>
          <w:b/>
          <w:color w:val="692F65" w:themeColor="accent1"/>
        </w:rPr>
      </w:pPr>
    </w:p>
    <w:p w:rsidR="00FC67A5" w:rsidRDefault="00FC67A5" w:rsidP="00B63134">
      <w:pPr>
        <w:pStyle w:val="Altairbodytext"/>
        <w:rPr>
          <w:b/>
          <w:color w:val="692F65" w:themeColor="accent1"/>
        </w:rPr>
      </w:pPr>
    </w:p>
    <w:p w:rsidR="00FC67A5" w:rsidRDefault="00FC67A5" w:rsidP="00B63134">
      <w:pPr>
        <w:pStyle w:val="Altairbodytext"/>
        <w:rPr>
          <w:b/>
          <w:color w:val="692F65" w:themeColor="accent1"/>
        </w:rPr>
      </w:pPr>
    </w:p>
    <w:p w:rsidR="00FC67A5" w:rsidRPr="00B63134" w:rsidRDefault="00FC67A5" w:rsidP="00B63134">
      <w:pPr>
        <w:pStyle w:val="Altairbodytext"/>
        <w:rPr>
          <w:b/>
          <w:color w:val="692F65" w:themeColor="accent1"/>
        </w:rPr>
      </w:pP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8 “</w:t>
      </w:r>
      <w:r w:rsidRPr="00B63134">
        <w:rPr>
          <w:b/>
          <w:color w:val="692F65" w:themeColor="accent1"/>
        </w:rPr>
        <w:t>The Board has clear scrutiny and oversight arrangements with regard to regulatory compliance/KPIs/performance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992"/>
        <w:gridCol w:w="5303"/>
        <w:gridCol w:w="1217"/>
      </w:tblGrid>
      <w:tr w:rsidR="00252D44" w:rsidTr="00252D44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29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303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252D44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29" w:type="dxa"/>
            <w:gridSpan w:val="2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303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252D44" w:rsidTr="00D057A5">
        <w:trPr>
          <w:trHeight w:val="661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gridSpan w:val="2"/>
          </w:tcPr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Insufficient time spent on KPIs sometimes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Need to measure efficiency better, in particular development efficient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Repairs performance could be better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Not all members engaged in scrutiny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Not all members have a good grasp of the basics. Have to remind/go over things, which can eat into time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KPIs do not provide full data on health and safety x2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KPI reports generate little discussion</w:t>
            </w:r>
          </w:p>
          <w:p w:rsidR="00252D44" w:rsidRPr="00FC67A5" w:rsidRDefault="00FC67A5" w:rsidP="00FC67A5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Pithier</w:t>
            </w:r>
            <w:r w:rsidR="00D057A5" w:rsidRPr="00FC67A5">
              <w:rPr>
                <w:rFonts w:eastAsiaTheme="minorEastAsia"/>
                <w:sz w:val="20"/>
              </w:rPr>
              <w:t xml:space="preserve"> presentation of KPIs with key risks highlighted</w:t>
            </w:r>
          </w:p>
        </w:tc>
        <w:tc>
          <w:tcPr>
            <w:tcW w:w="5303" w:type="dxa"/>
          </w:tcPr>
          <w:p w:rsidR="00B97CC4" w:rsidRPr="00FC67A5" w:rsidRDefault="00D057A5" w:rsidP="00FC67A5">
            <w:pPr>
              <w:pStyle w:val="Altairbullet"/>
              <w:ind w:left="325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Scrutiny very strong on financial matters, but inconsistent and insufficient on operational matters, e.g. KPIs</w:t>
            </w:r>
          </w:p>
          <w:p w:rsidR="00B97CC4" w:rsidRPr="00FC67A5" w:rsidRDefault="00D057A5" w:rsidP="00FC67A5">
            <w:pPr>
              <w:pStyle w:val="Altairbullet"/>
              <w:ind w:left="325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The board are presented with a wide range of data and are therefore regularly kept up to date regarding organisational performance</w:t>
            </w:r>
          </w:p>
          <w:p w:rsidR="00B97CC4" w:rsidRPr="00FC67A5" w:rsidRDefault="00D057A5" w:rsidP="00FC67A5">
            <w:pPr>
              <w:pStyle w:val="Altairbullet"/>
              <w:ind w:left="325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Key issues covered, but paper work very voluminous and repetitive </w:t>
            </w:r>
          </w:p>
          <w:p w:rsidR="00B97CC4" w:rsidRPr="00FC67A5" w:rsidRDefault="00D057A5" w:rsidP="00FC67A5">
            <w:pPr>
              <w:pStyle w:val="Altairbullet"/>
              <w:ind w:left="325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Clear, structured, timely mechanisms </w:t>
            </w:r>
          </w:p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Consistency of consumption of information provided by all members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Risk dashboard recently developed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Better use of technology to find information previously reported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Training refreshers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More opportunities for meetings outside of meetings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A more robust and thorough training program would give greater understanding and clarity, particularly in relation to financial and treasury matters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BMs should spend more time scrutinising the KPIs prior to meetings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Better benchmark information</w:t>
            </w:r>
          </w:p>
          <w:p w:rsidR="00252D4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Better repairs spend projections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Possible lack of knowledge across the main Board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Clearer framework for KPI/</w:t>
            </w:r>
            <w:proofErr w:type="spellStart"/>
            <w:r w:rsidRPr="00FC67A5">
              <w:rPr>
                <w:rFonts w:eastAsiaTheme="minorEastAsia"/>
                <w:sz w:val="20"/>
              </w:rPr>
              <w:t>VfM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comparison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Technology for electronic papers not yet rolled out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Agendas are packed due to only 6 meetings per annum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KPI reports too long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Too many KPIs</w:t>
            </w:r>
          </w:p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Time </w:t>
            </w:r>
          </w:p>
          <w:p w:rsidR="00252D4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Limited benchmar</w:t>
            </w:r>
            <w:r w:rsidR="00FC67A5">
              <w:rPr>
                <w:rFonts w:eastAsiaTheme="minorEastAsia"/>
                <w:sz w:val="20"/>
              </w:rPr>
              <w:t>ks for efficiency in development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Time on KPIs (not enough discussion)</w:t>
            </w:r>
          </w:p>
          <w:p w:rsidR="00FC67A5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Too many KPIs</w:t>
            </w:r>
          </w:p>
          <w:p w:rsidR="00FC67A5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Use of technology</w:t>
            </w:r>
          </w:p>
          <w:p w:rsidR="00FC67A5" w:rsidRPr="00AA4C58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Good reporting</w:t>
            </w:r>
          </w:p>
        </w:tc>
      </w:tr>
    </w:tbl>
    <w:p w:rsidR="00FC67A5" w:rsidRDefault="00FC67A5" w:rsidP="00B63134">
      <w:pPr>
        <w:pStyle w:val="Altairbodytext"/>
        <w:rPr>
          <w:b/>
          <w:color w:val="692F65" w:themeColor="accent1"/>
        </w:rPr>
      </w:pPr>
    </w:p>
    <w:p w:rsidR="00FC67A5" w:rsidRDefault="00FC67A5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9: “</w:t>
      </w:r>
      <w:r w:rsidRPr="00B63134">
        <w:rPr>
          <w:b/>
          <w:color w:val="692F65" w:themeColor="accent1"/>
        </w:rPr>
        <w:t xml:space="preserve">The Board obtains sufficient assurance from </w:t>
      </w:r>
      <w:proofErr w:type="spellStart"/>
      <w:r w:rsidRPr="00B63134">
        <w:rPr>
          <w:b/>
          <w:color w:val="692F65" w:themeColor="accent1"/>
        </w:rPr>
        <w:t>Horniman</w:t>
      </w:r>
      <w:proofErr w:type="spellEnd"/>
      <w:r w:rsidRPr="00B63134">
        <w:rPr>
          <w:b/>
          <w:color w:val="692F65" w:themeColor="accent1"/>
        </w:rPr>
        <w:t xml:space="preserve"> and has the appropriate oversight of its activities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78"/>
        <w:gridCol w:w="2353"/>
        <w:gridCol w:w="6521"/>
        <w:gridCol w:w="2468"/>
        <w:gridCol w:w="1217"/>
      </w:tblGrid>
      <w:tr w:rsidR="00FC67A5" w:rsidTr="00FC67A5">
        <w:trPr>
          <w:trHeight w:val="874"/>
        </w:trPr>
        <w:tc>
          <w:tcPr>
            <w:tcW w:w="2178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2353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6521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2468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FC67A5" w:rsidTr="00FC67A5">
        <w:trPr>
          <w:trHeight w:val="558"/>
        </w:trPr>
        <w:tc>
          <w:tcPr>
            <w:tcW w:w="2178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2353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 w:rsidR="00FC67A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521" w:type="dxa"/>
            <w:shd w:val="clear" w:color="auto" w:fill="B2B2B2" w:themeFill="accent6"/>
          </w:tcPr>
          <w:p w:rsidR="00FC67A5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468" w:type="dxa"/>
            <w:shd w:val="clear" w:color="auto" w:fill="B2B2B2" w:themeFill="accent6"/>
          </w:tcPr>
          <w:p w:rsidR="00FC67A5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17" w:type="dxa"/>
            <w:shd w:val="clear" w:color="auto" w:fill="B2B2B2" w:themeFill="accent6"/>
          </w:tcPr>
          <w:p w:rsidR="00FC67A5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FC67A5" w:rsidTr="00B97173">
        <w:trPr>
          <w:trHeight w:val="6610"/>
        </w:trPr>
        <w:tc>
          <w:tcPr>
            <w:tcW w:w="2178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2353" w:type="dxa"/>
          </w:tcPr>
          <w:p w:rsidR="00252D44" w:rsidRPr="008E4A27" w:rsidRDefault="00FC67A5" w:rsidP="00FC67A5">
            <w:pPr>
              <w:pStyle w:val="Altairbullet"/>
              <w:ind w:left="290"/>
              <w:jc w:val="left"/>
            </w:pPr>
            <w:r w:rsidRPr="00FC67A5">
              <w:rPr>
                <w:rFonts w:eastAsiaTheme="minorEastAsia"/>
                <w:sz w:val="20"/>
              </w:rPr>
              <w:t>I feel I am not sufficiently qualified to fully understand the limited information about this subsidiary</w:t>
            </w:r>
          </w:p>
        </w:tc>
        <w:tc>
          <w:tcPr>
            <w:tcW w:w="6521" w:type="dxa"/>
          </w:tcPr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Limited info presented at end of meetings 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No formal reports from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to the Board, although Hexagon approves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business pan, each outright sales scheme and capital at risk score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Board lacks information of the performance of Director of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</w:p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The activities and decision making made at</w:t>
            </w:r>
            <w:r w:rsidR="00FC67A5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="00FC67A5">
              <w:rPr>
                <w:rFonts w:eastAsiaTheme="minorEastAsia"/>
                <w:sz w:val="20"/>
              </w:rPr>
              <w:t>Horniman</w:t>
            </w:r>
            <w:proofErr w:type="spellEnd"/>
            <w:r w:rsidR="00FC67A5">
              <w:rPr>
                <w:rFonts w:eastAsiaTheme="minorEastAsia"/>
                <w:sz w:val="20"/>
              </w:rPr>
              <w:t xml:space="preserve"> feels very much ‘arm’s-</w:t>
            </w:r>
            <w:r w:rsidRPr="00FC67A5">
              <w:rPr>
                <w:rFonts w:eastAsiaTheme="minorEastAsia"/>
                <w:sz w:val="20"/>
              </w:rPr>
              <w:t>length’ from the Hexagon Board</w:t>
            </w:r>
          </w:p>
          <w:p w:rsidR="00252D4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Apart from accounts, not sure if BMs have enough knowledge about the basics</w:t>
            </w:r>
          </w:p>
        </w:tc>
        <w:tc>
          <w:tcPr>
            <w:tcW w:w="2468" w:type="dxa"/>
          </w:tcPr>
          <w:p w:rsidR="00B97CC4" w:rsidRPr="00FC67A5" w:rsidRDefault="00D057A5" w:rsidP="00FC67A5">
            <w:pPr>
              <w:pStyle w:val="Altairbullet"/>
              <w:ind w:left="324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Risk and exposure well reported </w:t>
            </w:r>
          </w:p>
          <w:p w:rsidR="00252D44" w:rsidRPr="00FC67A5" w:rsidRDefault="00D057A5" w:rsidP="00FC67A5">
            <w:pPr>
              <w:pStyle w:val="Altairbullet"/>
              <w:ind w:left="324"/>
              <w:jc w:val="left"/>
              <w:rPr>
                <w:rFonts w:eastAsiaTheme="minorEastAsia"/>
                <w:sz w:val="20"/>
              </w:rPr>
            </w:pPr>
            <w:proofErr w:type="spellStart"/>
            <w:r w:rsidRPr="00FC67A5">
              <w:rPr>
                <w:rFonts w:eastAsiaTheme="minorEastAsia"/>
                <w:sz w:val="20"/>
              </w:rPr>
              <w:t>Horniman’s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governance arrangements are strong </w:t>
            </w: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</w:tbl>
    <w:p w:rsidR="00252D44" w:rsidRPr="00FC67A5" w:rsidRDefault="00252D44" w:rsidP="00B63134">
      <w:pPr>
        <w:pStyle w:val="Altairbodytext"/>
        <w:rPr>
          <w:b/>
          <w:color w:val="692F65" w:themeColor="accent1"/>
          <w:sz w:val="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252D44" w:rsidTr="00252D44">
        <w:tc>
          <w:tcPr>
            <w:tcW w:w="7225" w:type="dxa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tcBorders>
              <w:bottom w:val="single" w:sz="4" w:space="0" w:color="auto"/>
            </w:tcBorders>
          </w:tcPr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Structured, regular reporting back to full Board by Chair of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Short, verbal report from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Chair as to what was discussed at the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meeting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Annual Q&amp;A session on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at start of Board meeting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Regular reporting on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Definition of assurance required not entirely clear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Minutes of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to Board with updates on outright sale product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More progress reports with pictures</w:t>
            </w:r>
          </w:p>
          <w:p w:rsidR="00252D4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More feedback reports from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to Hexagon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97CC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Key assurance parameters need clearer development</w:t>
            </w:r>
          </w:p>
          <w:p w:rsidR="00252D4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Reluctance to swamp board with </w:t>
            </w:r>
            <w:proofErr w:type="spellStart"/>
            <w:r w:rsidRPr="00FC67A5">
              <w:rPr>
                <w:rFonts w:eastAsiaTheme="minorEastAsia"/>
                <w:sz w:val="20"/>
              </w:rPr>
              <w:t>Horniman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reports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FC67A5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2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2"/>
          </w:tcPr>
          <w:p w:rsidR="00252D44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General awareness/update as activity increases</w:t>
            </w:r>
          </w:p>
          <w:p w:rsidR="00252D44" w:rsidRPr="00AA4C58" w:rsidRDefault="00FC67A5" w:rsidP="00FC67A5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Reporting board</w:t>
            </w:r>
          </w:p>
        </w:tc>
      </w:tr>
    </w:tbl>
    <w:p w:rsidR="00D057A5" w:rsidRDefault="00D057A5" w:rsidP="00B63134">
      <w:pPr>
        <w:pStyle w:val="Altairbodytext"/>
        <w:rPr>
          <w:b/>
          <w:color w:val="692F65" w:themeColor="accent1"/>
        </w:rPr>
      </w:pPr>
    </w:p>
    <w:p w:rsidR="00D057A5" w:rsidRDefault="00D057A5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10: “</w:t>
      </w:r>
      <w:r w:rsidRPr="00B63134">
        <w:rPr>
          <w:b/>
          <w:color w:val="692F65" w:themeColor="accent1"/>
        </w:rPr>
        <w:t>The Board has a strong and robust approach to managing strategic and operational risk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084"/>
        <w:gridCol w:w="1017"/>
        <w:gridCol w:w="4974"/>
        <w:gridCol w:w="5445"/>
        <w:gridCol w:w="1217"/>
      </w:tblGrid>
      <w:tr w:rsidR="00252D44" w:rsidTr="00B97173">
        <w:trPr>
          <w:trHeight w:val="874"/>
        </w:trPr>
        <w:tc>
          <w:tcPr>
            <w:tcW w:w="2084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4974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5445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B97173">
        <w:trPr>
          <w:trHeight w:val="558"/>
        </w:trPr>
        <w:tc>
          <w:tcPr>
            <w:tcW w:w="2084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1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974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45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Pr="008E4A27" w:rsidRDefault="00FC67A5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52D44" w:rsidTr="00B97173">
        <w:trPr>
          <w:trHeight w:val="6468"/>
        </w:trPr>
        <w:tc>
          <w:tcPr>
            <w:tcW w:w="2084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1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974" w:type="dxa"/>
          </w:tcPr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There are often very long and detailed reports which contain jargon and acronyms which can obscure rather than illuminate</w:t>
            </w:r>
          </w:p>
          <w:p w:rsidR="00B97CC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Getting Board to agree risk appetite is like pulling teeth (painful, but gets there eventually)</w:t>
            </w:r>
          </w:p>
          <w:p w:rsidR="00252D44" w:rsidRPr="00FC67A5" w:rsidRDefault="00D057A5" w:rsidP="00FC67A5">
            <w:pPr>
              <w:pStyle w:val="Altairbullet"/>
              <w:ind w:left="310" w:hanging="256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Key issues well covered, but reporting could be clearer</w:t>
            </w:r>
          </w:p>
        </w:tc>
        <w:tc>
          <w:tcPr>
            <w:tcW w:w="5445" w:type="dxa"/>
          </w:tcPr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ARC is strong (reports to main Board)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Risks covered in strategic reports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New dashboard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Risk framework is good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Risk appetite is def</w:t>
            </w:r>
            <w:r w:rsidR="00FC67A5">
              <w:rPr>
                <w:rFonts w:eastAsiaTheme="minorEastAsia"/>
                <w:sz w:val="20"/>
              </w:rPr>
              <w:t>ined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Progress against risks are regular</w:t>
            </w:r>
          </w:p>
          <w:p w:rsidR="00B97CC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Very strong</w:t>
            </w:r>
          </w:p>
          <w:p w:rsidR="00252D44" w:rsidRPr="00FC67A5" w:rsidRDefault="00D057A5" w:rsidP="00FC67A5">
            <w:pPr>
              <w:pStyle w:val="Altairbullet"/>
              <w:jc w:val="left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The Board is furnished with an adequate level of reports and data to ensure it has a</w:t>
            </w:r>
            <w:r w:rsidR="00FC67A5">
              <w:rPr>
                <w:rFonts w:eastAsiaTheme="minorEastAsia"/>
                <w:sz w:val="20"/>
              </w:rPr>
              <w:t xml:space="preserve"> good handle on risk management</w:t>
            </w: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</w:tbl>
    <w:p w:rsidR="00252D44" w:rsidRPr="00FC67A5" w:rsidRDefault="00252D44" w:rsidP="00B63134">
      <w:pPr>
        <w:pStyle w:val="Altairbodytext"/>
        <w:rPr>
          <w:b/>
          <w:color w:val="692F65" w:themeColor="accent1"/>
          <w:sz w:val="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075"/>
        <w:gridCol w:w="6662"/>
      </w:tblGrid>
      <w:tr w:rsidR="00252D44" w:rsidTr="00B97173">
        <w:tc>
          <w:tcPr>
            <w:tcW w:w="8075" w:type="dxa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B97173">
        <w:trPr>
          <w:trHeight w:val="986"/>
        </w:trPr>
        <w:tc>
          <w:tcPr>
            <w:tcW w:w="8075" w:type="dxa"/>
            <w:tcBorders>
              <w:bottom w:val="single" w:sz="4" w:space="0" w:color="auto"/>
            </w:tcBorders>
          </w:tcPr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Concept of risk management is not entirely understood in terms of practicality of approach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Better reporting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Risk dashboard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More challenge to Exec’s assumptions on scoring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Less lead by Exec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Perhaps all Board members should have training on risk appetite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Need to regularly review the work </w:t>
            </w:r>
            <w:proofErr w:type="spellStart"/>
            <w:r w:rsidRPr="00FC67A5">
              <w:rPr>
                <w:rFonts w:eastAsiaTheme="minorEastAsia"/>
                <w:sz w:val="20"/>
              </w:rPr>
              <w:t>Mazars</w:t>
            </w:r>
            <w:proofErr w:type="spellEnd"/>
            <w:r w:rsidRPr="00FC67A5">
              <w:rPr>
                <w:rFonts w:eastAsiaTheme="minorEastAsia"/>
                <w:sz w:val="20"/>
              </w:rPr>
              <w:t xml:space="preserve"> did with the Audit Committee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Attend risk training when offered </w:t>
            </w:r>
          </w:p>
          <w:p w:rsidR="00B97CC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 xml:space="preserve">Insist on full health and safety KPIs </w:t>
            </w:r>
          </w:p>
          <w:p w:rsidR="00252D44" w:rsidRPr="00FC67A5" w:rsidRDefault="00D057A5" w:rsidP="00FC6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Probably overly risk averse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2D44" w:rsidRPr="00FC67A5" w:rsidRDefault="00D057A5" w:rsidP="00FC6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FC67A5">
              <w:rPr>
                <w:rFonts w:eastAsiaTheme="minorEastAsia"/>
                <w:sz w:val="20"/>
              </w:rPr>
              <w:t>Difficult to talk about risk, especially health and safety</w:t>
            </w:r>
          </w:p>
        </w:tc>
      </w:tr>
      <w:tr w:rsidR="00252D44" w:rsidTr="00B97173">
        <w:trPr>
          <w:trHeight w:val="333"/>
        </w:trPr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2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2"/>
          </w:tcPr>
          <w:p w:rsidR="00252D44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Training – level playing field</w:t>
            </w:r>
          </w:p>
          <w:p w:rsidR="00FC67A5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Risk appetite (</w:t>
            </w:r>
            <w:proofErr w:type="spellStart"/>
            <w:r>
              <w:rPr>
                <w:sz w:val="20"/>
              </w:rPr>
              <w:t>Mazars</w:t>
            </w:r>
            <w:proofErr w:type="spellEnd"/>
            <w:r>
              <w:rPr>
                <w:sz w:val="20"/>
              </w:rPr>
              <w:t>)</w:t>
            </w:r>
          </w:p>
          <w:p w:rsidR="00FC67A5" w:rsidRPr="00AA4C58" w:rsidRDefault="00FC6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Reporting could be clearer</w:t>
            </w:r>
          </w:p>
        </w:tc>
      </w:tr>
    </w:tbl>
    <w:p w:rsidR="00B97173" w:rsidRDefault="00B97173" w:rsidP="00B63134">
      <w:pPr>
        <w:pStyle w:val="Altairbodytext"/>
        <w:rPr>
          <w:b/>
          <w:color w:val="692F65" w:themeColor="accent1"/>
        </w:rPr>
      </w:pPr>
    </w:p>
    <w:p w:rsidR="00B97173" w:rsidRDefault="00B97173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B63134" w:rsidRDefault="00B63134" w:rsidP="00B63134">
      <w:pPr>
        <w:pStyle w:val="Altairbodytext"/>
        <w:rPr>
          <w:b/>
          <w:color w:val="692F65" w:themeColor="accent1"/>
        </w:rPr>
      </w:pPr>
      <w:r>
        <w:rPr>
          <w:b/>
          <w:color w:val="692F65" w:themeColor="accent1"/>
        </w:rPr>
        <w:lastRenderedPageBreak/>
        <w:t>Table 11: “</w:t>
      </w:r>
      <w:r w:rsidRPr="00B63134">
        <w:rPr>
          <w:b/>
          <w:color w:val="692F65" w:themeColor="accent1"/>
        </w:rPr>
        <w:t>Hexagon has the right number of committees, with the appropriate level of responsibilities to enable effective and efficient decision-making</w:t>
      </w:r>
      <w:r>
        <w:rPr>
          <w:b/>
          <w:color w:val="692F65" w:themeColor="accent1"/>
        </w:rPr>
        <w:t>”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1"/>
        <w:gridCol w:w="1027"/>
        <w:gridCol w:w="3937"/>
        <w:gridCol w:w="1559"/>
        <w:gridCol w:w="4736"/>
        <w:gridCol w:w="1217"/>
      </w:tblGrid>
      <w:tr w:rsidR="00252D44" w:rsidTr="00D057A5">
        <w:trPr>
          <w:trHeight w:val="874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Response</w:t>
            </w:r>
          </w:p>
        </w:tc>
        <w:tc>
          <w:tcPr>
            <w:tcW w:w="102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Disagree</w:t>
            </w:r>
          </w:p>
        </w:tc>
        <w:tc>
          <w:tcPr>
            <w:tcW w:w="5496" w:type="dxa"/>
            <w:gridSpan w:val="2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Could do better</w:t>
            </w:r>
          </w:p>
        </w:tc>
        <w:tc>
          <w:tcPr>
            <w:tcW w:w="4736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Agree</w:t>
            </w:r>
          </w:p>
        </w:tc>
        <w:tc>
          <w:tcPr>
            <w:tcW w:w="1217" w:type="dxa"/>
            <w:shd w:val="clear" w:color="auto" w:fill="0C91AC" w:themeFill="accent3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Completely agree</w:t>
            </w:r>
          </w:p>
        </w:tc>
      </w:tr>
      <w:tr w:rsidR="00252D44" w:rsidTr="00D057A5">
        <w:trPr>
          <w:trHeight w:val="55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t>Number of respondents</w:t>
            </w:r>
          </w:p>
        </w:tc>
        <w:tc>
          <w:tcPr>
            <w:tcW w:w="1027" w:type="dxa"/>
            <w:shd w:val="clear" w:color="auto" w:fill="B2B2B2" w:themeFill="accent6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E4A27">
              <w:rPr>
                <w:rFonts w:ascii="Arial" w:hAnsi="Arial" w:cs="Arial"/>
                <w:b/>
                <w:sz w:val="20"/>
              </w:rPr>
              <w:br/>
            </w:r>
            <w:r w:rsidR="00B9717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6" w:type="dxa"/>
            <w:gridSpan w:val="2"/>
            <w:shd w:val="clear" w:color="auto" w:fill="B2B2B2" w:themeFill="accent6"/>
          </w:tcPr>
          <w:p w:rsidR="00B97173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B97173" w:rsidRPr="008E4A27" w:rsidRDefault="00B97173" w:rsidP="00B97173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6" w:type="dxa"/>
            <w:shd w:val="clear" w:color="auto" w:fill="B2B2B2" w:themeFill="accent6"/>
          </w:tcPr>
          <w:p w:rsidR="00B97173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52D44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:rsidR="00B97173" w:rsidRPr="008E4A27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7" w:type="dxa"/>
            <w:shd w:val="clear" w:color="auto" w:fill="B2B2B2" w:themeFill="accent6"/>
          </w:tcPr>
          <w:p w:rsidR="00252D44" w:rsidRDefault="00252D44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97173" w:rsidRPr="008E4A27" w:rsidRDefault="00B97173" w:rsidP="00252D4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252D44" w:rsidTr="00D057A5">
        <w:trPr>
          <w:trHeight w:val="6488"/>
        </w:trPr>
        <w:tc>
          <w:tcPr>
            <w:tcW w:w="2261" w:type="dxa"/>
            <w:shd w:val="clear" w:color="auto" w:fill="692F65" w:themeFill="accent1"/>
          </w:tcPr>
          <w:p w:rsidR="00252D44" w:rsidRPr="008E4A27" w:rsidRDefault="00252D44" w:rsidP="00252D44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8E4A27">
              <w:rPr>
                <w:rFonts w:ascii="Arial" w:hAnsi="Arial" w:cs="Arial"/>
                <w:color w:val="FFFFFF" w:themeColor="background1"/>
                <w:sz w:val="20"/>
              </w:rPr>
              <w:br/>
              <w:t>Comments</w:t>
            </w:r>
          </w:p>
        </w:tc>
        <w:tc>
          <w:tcPr>
            <w:tcW w:w="1027" w:type="dxa"/>
          </w:tcPr>
          <w:p w:rsidR="00252D44" w:rsidRPr="008E4A27" w:rsidRDefault="00252D44" w:rsidP="00252D4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496" w:type="dxa"/>
            <w:gridSpan w:val="2"/>
          </w:tcPr>
          <w:p w:rsidR="00B97CC4" w:rsidRPr="00B97173" w:rsidRDefault="00D057A5" w:rsidP="00B97173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B97173">
              <w:rPr>
                <w:rFonts w:eastAsiaTheme="minorEastAsia"/>
                <w:sz w:val="20"/>
              </w:rPr>
              <w:t>The agenda of board meetings is too full at present, with emphasis on financial matters</w:t>
            </w:r>
          </w:p>
          <w:p w:rsidR="00B97CC4" w:rsidRPr="00B97173" w:rsidRDefault="00D057A5" w:rsidP="00B97173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proofErr w:type="gramStart"/>
            <w:r w:rsidRPr="00B97173">
              <w:rPr>
                <w:rFonts w:eastAsiaTheme="minorEastAsia"/>
                <w:sz w:val="20"/>
              </w:rPr>
              <w:t>Key committees (audit, remuneration) exist and works</w:t>
            </w:r>
            <w:proofErr w:type="gramEnd"/>
            <w:r w:rsidRPr="00B97173">
              <w:rPr>
                <w:rFonts w:eastAsiaTheme="minorEastAsia"/>
                <w:sz w:val="20"/>
              </w:rPr>
              <w:t xml:space="preserve"> well, but resident engagement takes large amounts of time at Board. </w:t>
            </w:r>
          </w:p>
          <w:p w:rsidR="00B97CC4" w:rsidRPr="00B97173" w:rsidRDefault="00D057A5" w:rsidP="00B97173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B97173">
              <w:rPr>
                <w:rFonts w:eastAsiaTheme="minorEastAsia"/>
                <w:sz w:val="20"/>
              </w:rPr>
              <w:t>Audit and Risk Committee reports back to Board</w:t>
            </w:r>
          </w:p>
          <w:p w:rsidR="00252D44" w:rsidRPr="00B97173" w:rsidRDefault="00D057A5" w:rsidP="00B97173">
            <w:pPr>
              <w:pStyle w:val="Altairbullet"/>
              <w:ind w:left="310" w:hanging="256"/>
              <w:rPr>
                <w:rFonts w:eastAsiaTheme="minorEastAsia"/>
                <w:sz w:val="20"/>
              </w:rPr>
            </w:pPr>
            <w:r w:rsidRPr="00B97173">
              <w:rPr>
                <w:rFonts w:eastAsiaTheme="minorEastAsia"/>
                <w:sz w:val="20"/>
              </w:rPr>
              <w:t>Current strategy works well</w:t>
            </w:r>
          </w:p>
        </w:tc>
        <w:tc>
          <w:tcPr>
            <w:tcW w:w="4736" w:type="dxa"/>
          </w:tcPr>
          <w:p w:rsidR="00B97CC4" w:rsidRPr="00D057A5" w:rsidRDefault="00D057A5" w:rsidP="00D057A5">
            <w:pPr>
              <w:pStyle w:val="Altairbullet"/>
              <w:ind w:left="317"/>
              <w:jc w:val="left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Board works quite effectively now within the new structure </w:t>
            </w:r>
          </w:p>
          <w:p w:rsidR="00B97CC4" w:rsidRPr="00D057A5" w:rsidRDefault="00D057A5" w:rsidP="00D057A5">
            <w:pPr>
              <w:pStyle w:val="Altairbullet"/>
              <w:ind w:left="317"/>
              <w:jc w:val="left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Good balance that allows effective scrutiny and oversight</w:t>
            </w:r>
          </w:p>
          <w:p w:rsidR="00B97CC4" w:rsidRPr="00D057A5" w:rsidRDefault="00D057A5" w:rsidP="00D057A5">
            <w:pPr>
              <w:pStyle w:val="Altairbullet"/>
              <w:ind w:left="317"/>
              <w:jc w:val="left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Subgroups used for specialist areas are far more </w:t>
            </w:r>
          </w:p>
          <w:p w:rsidR="00B97CC4" w:rsidRPr="00D057A5" w:rsidRDefault="00D057A5" w:rsidP="00D057A5">
            <w:pPr>
              <w:pStyle w:val="Altairbullet"/>
              <w:ind w:left="317"/>
              <w:jc w:val="left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Right amount of business at each Board/Committee meeting, so not underused or overloaded </w:t>
            </w:r>
          </w:p>
          <w:p w:rsidR="00252D44" w:rsidRPr="00D057A5" w:rsidRDefault="00D057A5" w:rsidP="00D057A5">
            <w:pPr>
              <w:pStyle w:val="Altairbullet"/>
              <w:ind w:left="317"/>
              <w:jc w:val="left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Hexagon keeps subcommittees to a minimum which is a good thing </w:t>
            </w:r>
          </w:p>
        </w:tc>
        <w:tc>
          <w:tcPr>
            <w:tcW w:w="1217" w:type="dxa"/>
          </w:tcPr>
          <w:p w:rsidR="00252D44" w:rsidRPr="008E4A27" w:rsidRDefault="00252D44" w:rsidP="00252D44">
            <w:pPr>
              <w:pStyle w:val="Altairbullet"/>
              <w:numPr>
                <w:ilvl w:val="0"/>
                <w:numId w:val="0"/>
              </w:numPr>
              <w:jc w:val="left"/>
            </w:pPr>
          </w:p>
        </w:tc>
      </w:tr>
      <w:tr w:rsidR="00252D44" w:rsidTr="00252D44"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would improve your score?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692F65" w:themeFill="accent1"/>
          </w:tcPr>
          <w:p w:rsidR="00252D44" w:rsidRPr="00447EA9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barriers?</w:t>
            </w:r>
          </w:p>
        </w:tc>
      </w:tr>
      <w:tr w:rsidR="00252D44" w:rsidTr="00252D44">
        <w:trPr>
          <w:trHeight w:val="986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I think the addition of an Operations committee would assist the work of the Board by separating out issues relating to customer/resident services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Sub groups can lack specific structure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A bit ‘loose’, but approach to working groups looking at specific areas is a good way to deal with issues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Regular review of the effectiveness of the committees 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Being more flexible about the number of meetings 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Could consider an operations/customer services committee 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Review of committees 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Need to review sub-committees and key roles </w:t>
            </w:r>
          </w:p>
          <w:p w:rsidR="00B97CC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Consider committee for resident engagement/satisfaction/performance </w:t>
            </w:r>
          </w:p>
          <w:p w:rsidR="00252D44" w:rsidRPr="00D057A5" w:rsidRDefault="00D057A5" w:rsidP="00D057A5">
            <w:pPr>
              <w:pStyle w:val="Altairbullet"/>
              <w:ind w:left="314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Could a sub-committee on operational issues help free up the agenda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B97CC4" w:rsidRPr="00D057A5" w:rsidRDefault="00D057A5" w:rsidP="00D05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>Operational ability to plan and produce reports to variable timescales</w:t>
            </w:r>
          </w:p>
          <w:p w:rsidR="00252D44" w:rsidRPr="00D057A5" w:rsidRDefault="00D057A5" w:rsidP="00D057A5">
            <w:pPr>
              <w:pStyle w:val="Altairbullet"/>
              <w:ind w:left="409"/>
              <w:rPr>
                <w:rFonts w:eastAsiaTheme="minorEastAsia"/>
                <w:sz w:val="20"/>
              </w:rPr>
            </w:pPr>
            <w:r w:rsidRPr="00D057A5">
              <w:rPr>
                <w:rFonts w:eastAsiaTheme="minorEastAsia"/>
                <w:sz w:val="20"/>
              </w:rPr>
              <w:t xml:space="preserve">None </w:t>
            </w:r>
          </w:p>
        </w:tc>
      </w:tr>
      <w:tr w:rsidR="00252D44" w:rsidTr="00252D44">
        <w:trPr>
          <w:trHeight w:val="333"/>
        </w:trPr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44" w:rsidRPr="00AA4C58" w:rsidRDefault="00252D44" w:rsidP="00252D44">
            <w:pPr>
              <w:pStyle w:val="Altairbullet"/>
              <w:numPr>
                <w:ilvl w:val="0"/>
                <w:numId w:val="0"/>
              </w:numPr>
              <w:ind w:left="709" w:hanging="360"/>
              <w:rPr>
                <w:rFonts w:eastAsiaTheme="minorEastAsia"/>
                <w:sz w:val="20"/>
              </w:rPr>
            </w:pPr>
          </w:p>
        </w:tc>
      </w:tr>
      <w:tr w:rsidR="00252D44" w:rsidTr="00252D44">
        <w:tc>
          <w:tcPr>
            <w:tcW w:w="14737" w:type="dxa"/>
            <w:gridSpan w:val="6"/>
            <w:shd w:val="clear" w:color="auto" w:fill="0C91AC" w:themeFill="accent3"/>
          </w:tcPr>
          <w:p w:rsidR="00252D44" w:rsidRPr="00AA4C58" w:rsidRDefault="00252D44" w:rsidP="00252D4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AA4C58">
              <w:rPr>
                <w:rFonts w:ascii="Arial" w:hAnsi="Arial" w:cs="Arial"/>
                <w:color w:val="FFFFFF" w:themeColor="background1"/>
              </w:rPr>
              <w:t>Key themes</w:t>
            </w:r>
          </w:p>
        </w:tc>
      </w:tr>
      <w:tr w:rsidR="00252D44" w:rsidTr="00252D44">
        <w:trPr>
          <w:trHeight w:val="85"/>
        </w:trPr>
        <w:tc>
          <w:tcPr>
            <w:tcW w:w="14737" w:type="dxa"/>
            <w:gridSpan w:val="6"/>
          </w:tcPr>
          <w:p w:rsidR="00252D44" w:rsidRDefault="00D05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Agendas – feedback from committees</w:t>
            </w:r>
          </w:p>
          <w:p w:rsidR="00D057A5" w:rsidRPr="00AA4C58" w:rsidRDefault="00D057A5" w:rsidP="00252D44">
            <w:pPr>
              <w:pStyle w:val="Altairbullet"/>
              <w:ind w:left="314"/>
              <w:rPr>
                <w:sz w:val="20"/>
              </w:rPr>
            </w:pPr>
            <w:r>
              <w:rPr>
                <w:sz w:val="20"/>
              </w:rPr>
              <w:t>Operational committees</w:t>
            </w:r>
          </w:p>
        </w:tc>
      </w:tr>
    </w:tbl>
    <w:p w:rsidR="00D057A5" w:rsidRDefault="00D057A5" w:rsidP="00B63134">
      <w:pPr>
        <w:pStyle w:val="Altairbodytext"/>
        <w:rPr>
          <w:b/>
          <w:color w:val="692F65" w:themeColor="accent1"/>
        </w:rPr>
      </w:pPr>
    </w:p>
    <w:p w:rsidR="00D057A5" w:rsidRDefault="00D057A5">
      <w:pPr>
        <w:spacing w:after="160" w:line="259" w:lineRule="auto"/>
        <w:rPr>
          <w:rFonts w:ascii="Arial" w:hAnsi="Arial" w:cs="Arial"/>
          <w:b/>
          <w:color w:val="692F65" w:themeColor="accent1"/>
        </w:rPr>
      </w:pPr>
      <w:r>
        <w:rPr>
          <w:b/>
          <w:color w:val="692F65" w:themeColor="accent1"/>
        </w:rPr>
        <w:br w:type="page"/>
      </w:r>
    </w:p>
    <w:p w:rsidR="00252D44" w:rsidRDefault="00D057A5" w:rsidP="00D057A5">
      <w:pPr>
        <w:pStyle w:val="Altairheading"/>
      </w:pPr>
      <w:r>
        <w:lastRenderedPageBreak/>
        <w:t>Collective board appraisal</w:t>
      </w:r>
    </w:p>
    <w:p w:rsidR="00D057A5" w:rsidRDefault="00D057A5" w:rsidP="00D057A5">
      <w:pPr>
        <w:pStyle w:val="Altairbullet"/>
      </w:pPr>
      <w:r>
        <w:t>Training</w:t>
      </w:r>
    </w:p>
    <w:p w:rsidR="00D057A5" w:rsidRDefault="00D057A5" w:rsidP="00D057A5">
      <w:pPr>
        <w:pStyle w:val="Altairbullet"/>
      </w:pPr>
      <w:r>
        <w:t>Reporting – clear/succinct</w:t>
      </w:r>
    </w:p>
    <w:p w:rsidR="00D057A5" w:rsidRDefault="00D057A5" w:rsidP="00D057A5">
      <w:pPr>
        <w:pStyle w:val="Altairbullet"/>
      </w:pPr>
      <w:r>
        <w:t>Agendas – what comes to the Board</w:t>
      </w:r>
    </w:p>
    <w:p w:rsidR="00D057A5" w:rsidRDefault="00D057A5" w:rsidP="00D057A5">
      <w:pPr>
        <w:pStyle w:val="Altairbullet"/>
      </w:pPr>
      <w:proofErr w:type="spellStart"/>
      <w:r>
        <w:t>VfM</w:t>
      </w:r>
      <w:proofErr w:type="spellEnd"/>
    </w:p>
    <w:p w:rsidR="00D057A5" w:rsidRDefault="00D057A5" w:rsidP="00D057A5">
      <w:pPr>
        <w:pStyle w:val="Altairbullet"/>
      </w:pPr>
      <w:r>
        <w:t>LBM/over-reliance?</w:t>
      </w:r>
    </w:p>
    <w:p w:rsidR="00D057A5" w:rsidRPr="00B63134" w:rsidRDefault="00D057A5" w:rsidP="00D057A5">
      <w:pPr>
        <w:pStyle w:val="Altairbullet"/>
      </w:pPr>
      <w:r>
        <w:t>Operations Committee/delegations</w:t>
      </w:r>
    </w:p>
    <w:p w:rsidR="00B63134" w:rsidRPr="00B63134" w:rsidRDefault="00B63134" w:rsidP="00B63134">
      <w:pPr>
        <w:pStyle w:val="Altairbodytext"/>
        <w:rPr>
          <w:b/>
          <w:color w:val="692F65" w:themeColor="accent1"/>
        </w:rPr>
      </w:pPr>
    </w:p>
    <w:sectPr w:rsidR="00B63134" w:rsidRPr="00B63134" w:rsidSect="00B63134">
      <w:headerReference w:type="default" r:id="rId11"/>
      <w:pgSz w:w="16838" w:h="11906" w:orient="landscape"/>
      <w:pgMar w:top="1440" w:right="283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E1" w:rsidRDefault="00DD48E1" w:rsidP="00DA7408">
      <w:r>
        <w:separator/>
      </w:r>
    </w:p>
  </w:endnote>
  <w:endnote w:type="continuationSeparator" w:id="0">
    <w:p w:rsidR="00DD48E1" w:rsidRDefault="00DD48E1" w:rsidP="00DA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09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7A5" w:rsidRDefault="00D05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D44" w:rsidRDefault="0025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E1" w:rsidRDefault="00DD48E1" w:rsidP="00DA7408">
      <w:r>
        <w:separator/>
      </w:r>
    </w:p>
  </w:footnote>
  <w:footnote w:type="continuationSeparator" w:id="0">
    <w:p w:rsidR="00DD48E1" w:rsidRDefault="00DD48E1" w:rsidP="00DA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44" w:rsidRPr="001173F4" w:rsidRDefault="00252D44" w:rsidP="00DA7408">
    <w:pPr>
      <w:pStyle w:val="Header"/>
      <w:ind w:left="-1418"/>
      <w:rPr>
        <w:noProof/>
        <w:sz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832320" behindDoc="1" locked="0" layoutInCell="1" allowOverlap="1" wp14:anchorId="247A10C2" wp14:editId="79E1B7F7">
          <wp:simplePos x="0" y="0"/>
          <wp:positionH relativeFrom="page">
            <wp:align>left</wp:align>
          </wp:positionH>
          <wp:positionV relativeFrom="paragraph">
            <wp:posOffset>198120</wp:posOffset>
          </wp:positionV>
          <wp:extent cx="1285875" cy="963930"/>
          <wp:effectExtent l="0" t="0" r="9525" b="7620"/>
          <wp:wrapThrough wrapText="bothSides">
            <wp:wrapPolygon edited="0">
              <wp:start x="0" y="0"/>
              <wp:lineTo x="0" y="21344"/>
              <wp:lineTo x="21440" y="21344"/>
              <wp:lineTo x="21440" y="0"/>
              <wp:lineTo x="0" y="0"/>
            </wp:wrapPolygon>
          </wp:wrapThrough>
          <wp:docPr id="4" name="Picture 4" descr="C:\Users\Nina\AppData\Local\Microsoft\Windows\INetCache\Content.Word\Altair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Altair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3F4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1DDA170" wp14:editId="2E86E78E">
              <wp:simplePos x="0" y="0"/>
              <wp:positionH relativeFrom="column">
                <wp:posOffset>-2466975</wp:posOffset>
              </wp:positionH>
              <wp:positionV relativeFrom="paragraph">
                <wp:posOffset>-452120</wp:posOffset>
              </wp:positionV>
              <wp:extent cx="12192000" cy="4000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400050"/>
                      </a:xfrm>
                      <a:prstGeom prst="rect">
                        <a:avLst/>
                      </a:prstGeom>
                      <a:solidFill>
                        <a:srgbClr val="692F6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252D44" w:rsidRDefault="00252D44" w:rsidP="001173F4"/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DDA170" id="Rectangle 2" o:spid="_x0000_s1026" style="position:absolute;left:0;text-align:left;margin-left:-194.25pt;margin-top:-35.6pt;width:960pt;height:31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" fillcolor="#692f65" stroked="f">
              <v:textbox inset="2.88pt,2.88pt,2.88pt,2.88pt">
                <w:txbxContent>
                  <w:p w:rsidR="00252D44" w:rsidRDefault="00252D44" w:rsidP="001173F4"/>
                </w:txbxContent>
              </v:textbox>
            </v:rect>
          </w:pict>
        </mc:Fallback>
      </mc:AlternateContent>
    </w:r>
    <w:r w:rsidRPr="001173F4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86E1054" wp14:editId="0175138D">
              <wp:simplePos x="0" y="0"/>
              <wp:positionH relativeFrom="column">
                <wp:posOffset>-1238250</wp:posOffset>
              </wp:positionH>
              <wp:positionV relativeFrom="paragraph">
                <wp:posOffset>-52070</wp:posOffset>
              </wp:positionV>
              <wp:extent cx="12192000" cy="190500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1905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435BD9" id="Rectangle 2" o:spid="_x0000_s1026" style="position:absolute;margin-left:-97.5pt;margin-top:-4.1pt;width:960pt;height: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" fillcolor="#b2b2b2" stroked="f">
              <v:textbox inset="2.88pt,2.88pt,2.88pt,2.88pt"/>
            </v:rect>
          </w:pict>
        </mc:Fallback>
      </mc:AlternateContent>
    </w:r>
  </w:p>
  <w:p w:rsidR="00252D44" w:rsidRPr="001173F4" w:rsidRDefault="00252D44" w:rsidP="00DA7408">
    <w:pPr>
      <w:pStyle w:val="Header"/>
      <w:ind w:left="-1418"/>
      <w:rPr>
        <w:noProof/>
        <w:sz w:val="12"/>
        <w:lang w:eastAsia="en-GB"/>
      </w:rPr>
    </w:pPr>
  </w:p>
  <w:p w:rsidR="00252D44" w:rsidRDefault="00252D44" w:rsidP="00DA7408">
    <w:pPr>
      <w:pStyle w:val="Header"/>
      <w:ind w:left="-1418"/>
    </w:pPr>
    <w:r w:rsidRPr="00F27122"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4" w:rsidRDefault="00162C94" w:rsidP="00162C94">
    <w:pPr>
      <w:pStyle w:val="Header"/>
      <w:tabs>
        <w:tab w:val="clear" w:pos="4513"/>
        <w:tab w:val="clear" w:pos="9026"/>
        <w:tab w:val="left" w:pos="1845"/>
        <w:tab w:val="left" w:pos="6285"/>
        <w:tab w:val="left" w:pos="7740"/>
      </w:tabs>
    </w:pPr>
    <w:r>
      <w:rPr>
        <w:noProof/>
        <w:lang w:eastAsia="en-GB"/>
      </w:rPr>
      <w:drawing>
        <wp:anchor distT="0" distB="0" distL="114300" distR="114300" simplePos="0" relativeHeight="251839488" behindDoc="1" locked="0" layoutInCell="1" allowOverlap="1" wp14:anchorId="0D77A2FF" wp14:editId="41B4D845">
          <wp:simplePos x="0" y="0"/>
          <wp:positionH relativeFrom="page">
            <wp:align>left</wp:align>
          </wp:positionH>
          <wp:positionV relativeFrom="paragraph">
            <wp:posOffset>580390</wp:posOffset>
          </wp:positionV>
          <wp:extent cx="1799590" cy="1352550"/>
          <wp:effectExtent l="0" t="0" r="0" b="0"/>
          <wp:wrapNone/>
          <wp:docPr id="2" name="Picture 2" descr="C:\Users\Nina\AppData\Local\Microsoft\Windows\INetCache\Content.Word\Altair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Altair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5E2CC57" wp14:editId="78C60E6D">
              <wp:simplePos x="0" y="0"/>
              <wp:positionH relativeFrom="page">
                <wp:posOffset>-228600</wp:posOffset>
              </wp:positionH>
              <wp:positionV relativeFrom="paragraph">
                <wp:posOffset>248920</wp:posOffset>
              </wp:positionV>
              <wp:extent cx="10734675" cy="215900"/>
              <wp:effectExtent l="0" t="0" r="9525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4675" cy="2159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086550" id="Rectangle 17" o:spid="_x0000_s1026" style="position:absolute;margin-left:-18pt;margin-top:19.6pt;width:845.25pt;height:1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" fillcolor="#b2b2b2" stroked="f">
              <v:textbox inset="2.88pt,2.88pt,2.88pt,2.88pt"/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47F18DC1" wp14:editId="18D80E9D">
              <wp:simplePos x="0" y="0"/>
              <wp:positionH relativeFrom="page">
                <wp:posOffset>-495300</wp:posOffset>
              </wp:positionH>
              <wp:positionV relativeFrom="paragraph">
                <wp:posOffset>-470535</wp:posOffset>
              </wp:positionV>
              <wp:extent cx="10934700" cy="719455"/>
              <wp:effectExtent l="0" t="0" r="19050" b="234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34700" cy="719455"/>
                      </a:xfrm>
                      <a:prstGeom prst="rect">
                        <a:avLst/>
                      </a:prstGeom>
                      <a:solidFill>
                        <a:srgbClr val="692F65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877743" id="Rectangle 1" o:spid="_x0000_s1026" style="position:absolute;margin-left:-39pt;margin-top:-37.05pt;width:861pt;height:56.6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" fillcolor="#692f65" strokecolor="window" strokeweight="2pt">
              <v:path arrowok="t"/>
              <w10:wrap anchorx="page"/>
            </v:rect>
          </w:pict>
        </mc:Fallback>
      </mc:AlternateConten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44" w:rsidRPr="001173F4" w:rsidRDefault="00252D44" w:rsidP="00DA7408">
    <w:pPr>
      <w:pStyle w:val="Header"/>
      <w:ind w:left="-1418"/>
      <w:rPr>
        <w:noProof/>
        <w:sz w:val="28"/>
        <w:lang w:eastAsia="en-GB"/>
      </w:rPr>
    </w:pPr>
    <w:r w:rsidRPr="001173F4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0A9C1EAF" wp14:editId="2251DCDE">
              <wp:simplePos x="0" y="0"/>
              <wp:positionH relativeFrom="column">
                <wp:posOffset>-2470069</wp:posOffset>
              </wp:positionH>
              <wp:positionV relativeFrom="paragraph">
                <wp:posOffset>-450215</wp:posOffset>
              </wp:positionV>
              <wp:extent cx="12231585" cy="400050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31585" cy="400050"/>
                      </a:xfrm>
                      <a:prstGeom prst="rect">
                        <a:avLst/>
                      </a:prstGeom>
                      <a:solidFill>
                        <a:srgbClr val="692F6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252D44" w:rsidRDefault="00252D44" w:rsidP="001173F4"/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9C1EAF" id="_x0000_s1027" style="position:absolute;left:0;text-align:left;margin-left:-194.5pt;margin-top:-35.45pt;width:963.1pt;height:3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" fillcolor="#692f65" stroked="f">
              <v:textbox inset="2.88pt,2.88pt,2.88pt,2.88pt">
                <w:txbxContent>
                  <w:p w:rsidR="00252D44" w:rsidRDefault="00252D44" w:rsidP="001173F4"/>
                </w:txbxContent>
              </v:textbox>
            </v:rect>
          </w:pict>
        </mc:Fallback>
      </mc:AlternateContent>
    </w:r>
    <w:r w:rsidRPr="001173F4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992FA74" wp14:editId="569F0AC2">
              <wp:simplePos x="0" y="0"/>
              <wp:positionH relativeFrom="column">
                <wp:posOffset>-1238250</wp:posOffset>
              </wp:positionH>
              <wp:positionV relativeFrom="paragraph">
                <wp:posOffset>-52070</wp:posOffset>
              </wp:positionV>
              <wp:extent cx="12192000" cy="190500"/>
              <wp:effectExtent l="0" t="0" r="0" b="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1905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CF10FE" id="Rectangle 2" o:spid="_x0000_s1026" style="position:absolute;margin-left:-97.5pt;margin-top:-4.1pt;width:960pt;height:1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" fillcolor="#b2b2b2" stroked="f">
              <v:textbox inset="2.88pt,2.88pt,2.88pt,2.88pt"/>
            </v:rect>
          </w:pict>
        </mc:Fallback>
      </mc:AlternateContent>
    </w:r>
  </w:p>
  <w:p w:rsidR="00252D44" w:rsidRPr="001173F4" w:rsidRDefault="00252D44" w:rsidP="00DA7408">
    <w:pPr>
      <w:pStyle w:val="Header"/>
      <w:ind w:left="-1418"/>
      <w:rPr>
        <w:noProof/>
        <w:sz w:val="12"/>
        <w:lang w:eastAsia="en-GB"/>
      </w:rPr>
    </w:pPr>
  </w:p>
  <w:p w:rsidR="00252D44" w:rsidRDefault="00252D44" w:rsidP="00DA7408">
    <w:pPr>
      <w:pStyle w:val="Header"/>
      <w:ind w:left="-1418"/>
    </w:pPr>
    <w:r w:rsidRPr="00F27122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91E"/>
    <w:multiLevelType w:val="hybridMultilevel"/>
    <w:tmpl w:val="5FA268D6"/>
    <w:lvl w:ilvl="0" w:tplc="395043AC">
      <w:start w:val="1"/>
      <w:numFmt w:val="bullet"/>
      <w:pStyle w:val="Altairbullet"/>
      <w:lvlText w:val=""/>
      <w:lvlJc w:val="left"/>
      <w:pPr>
        <w:ind w:left="1854" w:hanging="360"/>
      </w:pPr>
      <w:rPr>
        <w:rFonts w:ascii="Wingdings" w:hAnsi="Wingdings" w:hint="default"/>
        <w:color w:val="692F65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63327BF"/>
    <w:multiLevelType w:val="multilevel"/>
    <w:tmpl w:val="1B6ECE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Altairsub-heading1"/>
      <w:lvlText w:val="%1.%2"/>
      <w:lvlJc w:val="left"/>
      <w:pPr>
        <w:ind w:left="644" w:hanging="360"/>
      </w:pPr>
      <w:rPr>
        <w:color w:val="939393"/>
      </w:rPr>
    </w:lvl>
    <w:lvl w:ilvl="2">
      <w:start w:val="1"/>
      <w:numFmt w:val="decimal"/>
      <w:pStyle w:val="Altairsub-heading2"/>
      <w:lvlText w:val="%1.%2.%3"/>
      <w:lvlJc w:val="left"/>
      <w:pPr>
        <w:ind w:left="1440" w:hanging="720"/>
      </w:pPr>
      <w:rPr>
        <w:color w:val="939393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7845378F"/>
    <w:multiLevelType w:val="multilevel"/>
    <w:tmpl w:val="FC784B22"/>
    <w:lvl w:ilvl="0">
      <w:start w:val="1"/>
      <w:numFmt w:val="decimal"/>
      <w:pStyle w:val="Altairheading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7D7D7D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E"/>
    <w:rsid w:val="00032F8F"/>
    <w:rsid w:val="00062A71"/>
    <w:rsid w:val="0009229C"/>
    <w:rsid w:val="000C5DB8"/>
    <w:rsid w:val="001173F4"/>
    <w:rsid w:val="00122F78"/>
    <w:rsid w:val="00150CEE"/>
    <w:rsid w:val="00162C94"/>
    <w:rsid w:val="0016738D"/>
    <w:rsid w:val="001A4037"/>
    <w:rsid w:val="001C6817"/>
    <w:rsid w:val="001F3BC1"/>
    <w:rsid w:val="002174D3"/>
    <w:rsid w:val="002324F2"/>
    <w:rsid w:val="00252D44"/>
    <w:rsid w:val="00267370"/>
    <w:rsid w:val="00267BCC"/>
    <w:rsid w:val="002D0464"/>
    <w:rsid w:val="002E09BF"/>
    <w:rsid w:val="00337D61"/>
    <w:rsid w:val="003762A0"/>
    <w:rsid w:val="003B5E4F"/>
    <w:rsid w:val="003D1BED"/>
    <w:rsid w:val="003D2F1D"/>
    <w:rsid w:val="003F023B"/>
    <w:rsid w:val="00411464"/>
    <w:rsid w:val="00442BB6"/>
    <w:rsid w:val="00447EA9"/>
    <w:rsid w:val="004705D0"/>
    <w:rsid w:val="00472BDD"/>
    <w:rsid w:val="004E7636"/>
    <w:rsid w:val="00534D22"/>
    <w:rsid w:val="0054491E"/>
    <w:rsid w:val="005765B9"/>
    <w:rsid w:val="005C7AB8"/>
    <w:rsid w:val="00677BEC"/>
    <w:rsid w:val="006C1666"/>
    <w:rsid w:val="006E78FF"/>
    <w:rsid w:val="006F4188"/>
    <w:rsid w:val="0077281E"/>
    <w:rsid w:val="007B5F05"/>
    <w:rsid w:val="007C2760"/>
    <w:rsid w:val="008C31D8"/>
    <w:rsid w:val="008C48D3"/>
    <w:rsid w:val="008E4A27"/>
    <w:rsid w:val="008F2A80"/>
    <w:rsid w:val="008F3942"/>
    <w:rsid w:val="00923EBF"/>
    <w:rsid w:val="00947D5A"/>
    <w:rsid w:val="00960605"/>
    <w:rsid w:val="009A6D00"/>
    <w:rsid w:val="009C7EFA"/>
    <w:rsid w:val="009D2E4C"/>
    <w:rsid w:val="00A230CC"/>
    <w:rsid w:val="00A640AB"/>
    <w:rsid w:val="00A85992"/>
    <w:rsid w:val="00A869BF"/>
    <w:rsid w:val="00AA4C58"/>
    <w:rsid w:val="00AE46E9"/>
    <w:rsid w:val="00AF51CD"/>
    <w:rsid w:val="00AF5C97"/>
    <w:rsid w:val="00B37A70"/>
    <w:rsid w:val="00B62545"/>
    <w:rsid w:val="00B63134"/>
    <w:rsid w:val="00B97173"/>
    <w:rsid w:val="00B97CC4"/>
    <w:rsid w:val="00BF5318"/>
    <w:rsid w:val="00C1087F"/>
    <w:rsid w:val="00C11AFE"/>
    <w:rsid w:val="00C614F4"/>
    <w:rsid w:val="00C82AA0"/>
    <w:rsid w:val="00CA0F10"/>
    <w:rsid w:val="00CC0E6C"/>
    <w:rsid w:val="00CD2F44"/>
    <w:rsid w:val="00CF14AD"/>
    <w:rsid w:val="00D057A5"/>
    <w:rsid w:val="00D1403E"/>
    <w:rsid w:val="00D15005"/>
    <w:rsid w:val="00D37ED6"/>
    <w:rsid w:val="00D50C8C"/>
    <w:rsid w:val="00D53352"/>
    <w:rsid w:val="00D72687"/>
    <w:rsid w:val="00D75AFA"/>
    <w:rsid w:val="00DA7408"/>
    <w:rsid w:val="00DC4037"/>
    <w:rsid w:val="00DD48E1"/>
    <w:rsid w:val="00E010D2"/>
    <w:rsid w:val="00E1279E"/>
    <w:rsid w:val="00E32600"/>
    <w:rsid w:val="00E35AF5"/>
    <w:rsid w:val="00E5784C"/>
    <w:rsid w:val="00E64584"/>
    <w:rsid w:val="00E76A41"/>
    <w:rsid w:val="00E8227D"/>
    <w:rsid w:val="00E8735C"/>
    <w:rsid w:val="00EE4D30"/>
    <w:rsid w:val="00F13C2E"/>
    <w:rsid w:val="00F25D1E"/>
    <w:rsid w:val="00F27122"/>
    <w:rsid w:val="00F60052"/>
    <w:rsid w:val="00FC67A5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4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C48D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0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74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tairheadingChar">
    <w:name w:val="Altair heading Char"/>
    <w:basedOn w:val="DefaultParagraphFont"/>
    <w:link w:val="Altairheading"/>
    <w:locked/>
    <w:rsid w:val="00E8735C"/>
    <w:rPr>
      <w:rFonts w:ascii="Arial" w:eastAsia="Times New Roman" w:hAnsi="Arial" w:cs="Arial"/>
      <w:color w:val="692F65"/>
      <w:kern w:val="28"/>
      <w:sz w:val="32"/>
      <w:szCs w:val="24"/>
    </w:rPr>
  </w:style>
  <w:style w:type="paragraph" w:customStyle="1" w:styleId="Altairheading">
    <w:name w:val="Altair heading"/>
    <w:basedOn w:val="Normal"/>
    <w:link w:val="AltairheadingChar"/>
    <w:qFormat/>
    <w:rsid w:val="00E8735C"/>
    <w:pPr>
      <w:widowControl w:val="0"/>
      <w:numPr>
        <w:numId w:val="1"/>
      </w:numPr>
      <w:spacing w:after="240"/>
      <w:ind w:left="425" w:hanging="425"/>
      <w:outlineLvl w:val="0"/>
    </w:pPr>
    <w:rPr>
      <w:rFonts w:ascii="Arial" w:eastAsia="Times New Roman" w:hAnsi="Arial" w:cs="Arial"/>
      <w:color w:val="692F65"/>
      <w:kern w:val="28"/>
      <w:sz w:val="32"/>
      <w:szCs w:val="24"/>
    </w:rPr>
  </w:style>
  <w:style w:type="character" w:customStyle="1" w:styleId="AltairbodytextChar">
    <w:name w:val="Altair body text Char"/>
    <w:link w:val="Altairbodytext"/>
    <w:locked/>
    <w:rsid w:val="00E8735C"/>
    <w:rPr>
      <w:rFonts w:ascii="Arial" w:hAnsi="Arial" w:cs="Arial"/>
    </w:rPr>
  </w:style>
  <w:style w:type="paragraph" w:customStyle="1" w:styleId="Altairbodytext">
    <w:name w:val="Altair body text"/>
    <w:basedOn w:val="Normal"/>
    <w:link w:val="AltairbodytextChar"/>
    <w:qFormat/>
    <w:rsid w:val="00E8735C"/>
    <w:pPr>
      <w:spacing w:after="240" w:line="276" w:lineRule="auto"/>
    </w:pPr>
    <w:rPr>
      <w:rFonts w:ascii="Arial" w:hAnsi="Arial" w:cs="Arial"/>
    </w:rPr>
  </w:style>
  <w:style w:type="character" w:customStyle="1" w:styleId="Altairsub-heading1Char">
    <w:name w:val="Altair sub-heading 1 Char"/>
    <w:basedOn w:val="DefaultParagraphFont"/>
    <w:link w:val="Altairsub-heading1"/>
    <w:locked/>
    <w:rsid w:val="00E8735C"/>
    <w:rPr>
      <w:rFonts w:ascii="Arial" w:eastAsia="Times New Roman" w:hAnsi="Arial" w:cs="Arial"/>
      <w:color w:val="7D7D7D"/>
      <w:kern w:val="28"/>
      <w:sz w:val="28"/>
      <w:szCs w:val="24"/>
    </w:rPr>
  </w:style>
  <w:style w:type="paragraph" w:customStyle="1" w:styleId="Altairsub-heading1">
    <w:name w:val="Altair sub-heading 1"/>
    <w:basedOn w:val="Normal"/>
    <w:link w:val="Altairsub-heading1Char"/>
    <w:qFormat/>
    <w:rsid w:val="00E8735C"/>
    <w:pPr>
      <w:keepNext/>
      <w:numPr>
        <w:ilvl w:val="1"/>
        <w:numId w:val="2"/>
      </w:numPr>
      <w:spacing w:before="360" w:after="120"/>
      <w:ind w:left="567" w:hanging="635"/>
      <w:outlineLvl w:val="1"/>
    </w:pPr>
    <w:rPr>
      <w:rFonts w:ascii="Arial" w:eastAsia="Times New Roman" w:hAnsi="Arial" w:cs="Arial"/>
      <w:color w:val="7D7D7D"/>
      <w:kern w:val="28"/>
      <w:sz w:val="28"/>
      <w:szCs w:val="24"/>
    </w:rPr>
  </w:style>
  <w:style w:type="paragraph" w:customStyle="1" w:styleId="Altairsub-heading2">
    <w:name w:val="Altair sub-heading 2"/>
    <w:basedOn w:val="Altairsub-heading1"/>
    <w:qFormat/>
    <w:rsid w:val="00E8735C"/>
    <w:pPr>
      <w:numPr>
        <w:ilvl w:val="2"/>
      </w:numPr>
      <w:tabs>
        <w:tab w:val="num" w:pos="360"/>
      </w:tabs>
      <w:ind w:left="709" w:hanging="504"/>
    </w:pPr>
    <w:rPr>
      <w:color w:val="692F65"/>
      <w:sz w:val="24"/>
    </w:rPr>
  </w:style>
  <w:style w:type="character" w:customStyle="1" w:styleId="AltairbulletChar">
    <w:name w:val="Altair bullet Char"/>
    <w:link w:val="Altairbullet"/>
    <w:locked/>
    <w:rsid w:val="00E8735C"/>
    <w:rPr>
      <w:rFonts w:ascii="Arial" w:eastAsia="Times New Roman" w:hAnsi="Arial" w:cs="Arial"/>
    </w:rPr>
  </w:style>
  <w:style w:type="paragraph" w:customStyle="1" w:styleId="Altairbullet">
    <w:name w:val="Altair bullet"/>
    <w:basedOn w:val="Normal"/>
    <w:link w:val="AltairbulletChar"/>
    <w:qFormat/>
    <w:rsid w:val="00E8735C"/>
    <w:pPr>
      <w:numPr>
        <w:numId w:val="3"/>
      </w:numPr>
      <w:spacing w:before="60" w:after="60"/>
      <w:ind w:left="709"/>
      <w:jc w:val="both"/>
      <w:outlineLvl w:val="1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8C48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8C48D3"/>
  </w:style>
  <w:style w:type="paragraph" w:styleId="ListParagraph">
    <w:name w:val="List Paragraph"/>
    <w:basedOn w:val="Normal"/>
    <w:uiPriority w:val="34"/>
    <w:qFormat/>
    <w:rsid w:val="008C4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B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13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4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C48D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0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74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tairheadingChar">
    <w:name w:val="Altair heading Char"/>
    <w:basedOn w:val="DefaultParagraphFont"/>
    <w:link w:val="Altairheading"/>
    <w:locked/>
    <w:rsid w:val="00E8735C"/>
    <w:rPr>
      <w:rFonts w:ascii="Arial" w:eastAsia="Times New Roman" w:hAnsi="Arial" w:cs="Arial"/>
      <w:color w:val="692F65"/>
      <w:kern w:val="28"/>
      <w:sz w:val="32"/>
      <w:szCs w:val="24"/>
    </w:rPr>
  </w:style>
  <w:style w:type="paragraph" w:customStyle="1" w:styleId="Altairheading">
    <w:name w:val="Altair heading"/>
    <w:basedOn w:val="Normal"/>
    <w:link w:val="AltairheadingChar"/>
    <w:qFormat/>
    <w:rsid w:val="00E8735C"/>
    <w:pPr>
      <w:widowControl w:val="0"/>
      <w:numPr>
        <w:numId w:val="1"/>
      </w:numPr>
      <w:spacing w:after="240"/>
      <w:ind w:left="425" w:hanging="425"/>
      <w:outlineLvl w:val="0"/>
    </w:pPr>
    <w:rPr>
      <w:rFonts w:ascii="Arial" w:eastAsia="Times New Roman" w:hAnsi="Arial" w:cs="Arial"/>
      <w:color w:val="692F65"/>
      <w:kern w:val="28"/>
      <w:sz w:val="32"/>
      <w:szCs w:val="24"/>
    </w:rPr>
  </w:style>
  <w:style w:type="character" w:customStyle="1" w:styleId="AltairbodytextChar">
    <w:name w:val="Altair body text Char"/>
    <w:link w:val="Altairbodytext"/>
    <w:locked/>
    <w:rsid w:val="00E8735C"/>
    <w:rPr>
      <w:rFonts w:ascii="Arial" w:hAnsi="Arial" w:cs="Arial"/>
    </w:rPr>
  </w:style>
  <w:style w:type="paragraph" w:customStyle="1" w:styleId="Altairbodytext">
    <w:name w:val="Altair body text"/>
    <w:basedOn w:val="Normal"/>
    <w:link w:val="AltairbodytextChar"/>
    <w:qFormat/>
    <w:rsid w:val="00E8735C"/>
    <w:pPr>
      <w:spacing w:after="240" w:line="276" w:lineRule="auto"/>
    </w:pPr>
    <w:rPr>
      <w:rFonts w:ascii="Arial" w:hAnsi="Arial" w:cs="Arial"/>
    </w:rPr>
  </w:style>
  <w:style w:type="character" w:customStyle="1" w:styleId="Altairsub-heading1Char">
    <w:name w:val="Altair sub-heading 1 Char"/>
    <w:basedOn w:val="DefaultParagraphFont"/>
    <w:link w:val="Altairsub-heading1"/>
    <w:locked/>
    <w:rsid w:val="00E8735C"/>
    <w:rPr>
      <w:rFonts w:ascii="Arial" w:eastAsia="Times New Roman" w:hAnsi="Arial" w:cs="Arial"/>
      <w:color w:val="7D7D7D"/>
      <w:kern w:val="28"/>
      <w:sz w:val="28"/>
      <w:szCs w:val="24"/>
    </w:rPr>
  </w:style>
  <w:style w:type="paragraph" w:customStyle="1" w:styleId="Altairsub-heading1">
    <w:name w:val="Altair sub-heading 1"/>
    <w:basedOn w:val="Normal"/>
    <w:link w:val="Altairsub-heading1Char"/>
    <w:qFormat/>
    <w:rsid w:val="00E8735C"/>
    <w:pPr>
      <w:keepNext/>
      <w:numPr>
        <w:ilvl w:val="1"/>
        <w:numId w:val="2"/>
      </w:numPr>
      <w:spacing w:before="360" w:after="120"/>
      <w:ind w:left="567" w:hanging="635"/>
      <w:outlineLvl w:val="1"/>
    </w:pPr>
    <w:rPr>
      <w:rFonts w:ascii="Arial" w:eastAsia="Times New Roman" w:hAnsi="Arial" w:cs="Arial"/>
      <w:color w:val="7D7D7D"/>
      <w:kern w:val="28"/>
      <w:sz w:val="28"/>
      <w:szCs w:val="24"/>
    </w:rPr>
  </w:style>
  <w:style w:type="paragraph" w:customStyle="1" w:styleId="Altairsub-heading2">
    <w:name w:val="Altair sub-heading 2"/>
    <w:basedOn w:val="Altairsub-heading1"/>
    <w:qFormat/>
    <w:rsid w:val="00E8735C"/>
    <w:pPr>
      <w:numPr>
        <w:ilvl w:val="2"/>
      </w:numPr>
      <w:tabs>
        <w:tab w:val="num" w:pos="360"/>
      </w:tabs>
      <w:ind w:left="709" w:hanging="504"/>
    </w:pPr>
    <w:rPr>
      <w:color w:val="692F65"/>
      <w:sz w:val="24"/>
    </w:rPr>
  </w:style>
  <w:style w:type="character" w:customStyle="1" w:styleId="AltairbulletChar">
    <w:name w:val="Altair bullet Char"/>
    <w:link w:val="Altairbullet"/>
    <w:locked/>
    <w:rsid w:val="00E8735C"/>
    <w:rPr>
      <w:rFonts w:ascii="Arial" w:eastAsia="Times New Roman" w:hAnsi="Arial" w:cs="Arial"/>
    </w:rPr>
  </w:style>
  <w:style w:type="paragraph" w:customStyle="1" w:styleId="Altairbullet">
    <w:name w:val="Altair bullet"/>
    <w:basedOn w:val="Normal"/>
    <w:link w:val="AltairbulletChar"/>
    <w:qFormat/>
    <w:rsid w:val="00E8735C"/>
    <w:pPr>
      <w:numPr>
        <w:numId w:val="3"/>
      </w:numPr>
      <w:spacing w:before="60" w:after="60"/>
      <w:ind w:left="709"/>
      <w:jc w:val="both"/>
      <w:outlineLvl w:val="1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8C48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8C48D3"/>
  </w:style>
  <w:style w:type="paragraph" w:styleId="ListParagraph">
    <w:name w:val="List Paragraph"/>
    <w:basedOn w:val="Normal"/>
    <w:uiPriority w:val="34"/>
    <w:qFormat/>
    <w:rsid w:val="008C4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B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13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4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Templates\A4%20briefing.Press%20release\150910%20A4%20briefing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Altair">
      <a:dk1>
        <a:sysClr val="windowText" lastClr="000000"/>
      </a:dk1>
      <a:lt1>
        <a:sysClr val="window" lastClr="FFFFFF"/>
      </a:lt1>
      <a:dk2>
        <a:srgbClr val="44546A"/>
      </a:dk2>
      <a:lt2>
        <a:srgbClr val="B2B2B2"/>
      </a:lt2>
      <a:accent1>
        <a:srgbClr val="692F65"/>
      </a:accent1>
      <a:accent2>
        <a:srgbClr val="94D94F"/>
      </a:accent2>
      <a:accent3>
        <a:srgbClr val="0C91AC"/>
      </a:accent3>
      <a:accent4>
        <a:srgbClr val="F0A230"/>
      </a:accent4>
      <a:accent5>
        <a:srgbClr val="CF4D56"/>
      </a:accent5>
      <a:accent6>
        <a:srgbClr val="B2B2B2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150910 A4 briefing document template</Template>
  <TotalTime>1</TotalTime>
  <Pages>25</Pages>
  <Words>3426</Words>
  <Characters>19534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Lebeter</dc:creator>
  <cp:lastModifiedBy>Valerie Sharpe</cp:lastModifiedBy>
  <cp:revision>2</cp:revision>
  <cp:lastPrinted>2015-06-30T16:59:00Z</cp:lastPrinted>
  <dcterms:created xsi:type="dcterms:W3CDTF">2016-11-30T09:03:00Z</dcterms:created>
  <dcterms:modified xsi:type="dcterms:W3CDTF">2016-11-30T09:03:00Z</dcterms:modified>
</cp:coreProperties>
</file>