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8E" w:rsidRPr="002F658E" w:rsidRDefault="002F658E" w:rsidP="002F658E">
      <w:pPr>
        <w:jc w:val="right"/>
        <w:rPr>
          <w:rFonts w:ascii="Arial" w:hAnsi="Arial" w:cs="Arial"/>
          <w:b/>
          <w:sz w:val="28"/>
          <w:szCs w:val="24"/>
        </w:rPr>
      </w:pPr>
      <w:bookmarkStart w:id="0" w:name="_GoBack"/>
      <w:bookmarkEnd w:id="0"/>
      <w:r w:rsidRPr="002F658E">
        <w:rPr>
          <w:rFonts w:ascii="Arial" w:hAnsi="Arial" w:cs="Arial"/>
          <w:b/>
          <w:sz w:val="28"/>
          <w:szCs w:val="24"/>
        </w:rPr>
        <w:t>Appendix B</w:t>
      </w:r>
    </w:p>
    <w:p w:rsidR="002F658E" w:rsidRPr="002F658E" w:rsidRDefault="002F658E">
      <w:pPr>
        <w:rPr>
          <w:rFonts w:ascii="Arial" w:hAnsi="Arial" w:cs="Arial"/>
          <w:b/>
          <w:sz w:val="24"/>
          <w:szCs w:val="24"/>
        </w:rPr>
      </w:pPr>
      <w:r w:rsidRPr="002F658E">
        <w:rPr>
          <w:rFonts w:ascii="Arial" w:hAnsi="Arial" w:cs="Arial"/>
          <w:b/>
          <w:sz w:val="24"/>
          <w:szCs w:val="24"/>
        </w:rPr>
        <w:t>Board Members Away-Day – Action Plan</w:t>
      </w:r>
    </w:p>
    <w:p w:rsidR="002F658E" w:rsidRDefault="002F658E"/>
    <w:tbl>
      <w:tblPr>
        <w:tblStyle w:val="TableGrid"/>
        <w:tblW w:w="14283" w:type="dxa"/>
        <w:tblInd w:w="0" w:type="dxa"/>
        <w:tblLayout w:type="fixed"/>
        <w:tblLook w:val="04A0" w:firstRow="1" w:lastRow="0" w:firstColumn="1" w:lastColumn="0" w:noHBand="0" w:noVBand="1"/>
      </w:tblPr>
      <w:tblGrid>
        <w:gridCol w:w="3085"/>
        <w:gridCol w:w="1701"/>
        <w:gridCol w:w="5103"/>
        <w:gridCol w:w="992"/>
        <w:gridCol w:w="709"/>
        <w:gridCol w:w="425"/>
        <w:gridCol w:w="2268"/>
      </w:tblGrid>
      <w:tr w:rsidR="002F658E" w:rsidRPr="00F31996" w:rsidTr="002F658E">
        <w:tc>
          <w:tcPr>
            <w:tcW w:w="3085" w:type="dxa"/>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Topic</w:t>
            </w:r>
          </w:p>
        </w:tc>
        <w:tc>
          <w:tcPr>
            <w:tcW w:w="7796" w:type="dxa"/>
            <w:gridSpan w:val="3"/>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Action</w:t>
            </w:r>
          </w:p>
        </w:tc>
        <w:tc>
          <w:tcPr>
            <w:tcW w:w="1134" w:type="dxa"/>
            <w:gridSpan w:val="2"/>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Lead</w:t>
            </w:r>
          </w:p>
        </w:tc>
        <w:tc>
          <w:tcPr>
            <w:tcW w:w="2268" w:type="dxa"/>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Timescale</w:t>
            </w:r>
          </w:p>
          <w:p w:rsidR="002F658E" w:rsidRPr="00F31996" w:rsidRDefault="002F658E" w:rsidP="00E51E56">
            <w:pPr>
              <w:jc w:val="both"/>
              <w:rPr>
                <w:rFonts w:ascii="Arial" w:hAnsi="Arial" w:cs="Arial"/>
                <w:b/>
                <w:sz w:val="22"/>
                <w:szCs w:val="22"/>
              </w:rPr>
            </w:pPr>
          </w:p>
        </w:tc>
      </w:tr>
      <w:tr w:rsidR="002F658E" w:rsidRPr="00F31996" w:rsidTr="002F658E">
        <w:tc>
          <w:tcPr>
            <w:tcW w:w="3085" w:type="dxa"/>
            <w:tcBorders>
              <w:bottom w:val="nil"/>
            </w:tcBorders>
          </w:tcPr>
          <w:p w:rsidR="002F658E" w:rsidRPr="00F31996" w:rsidRDefault="002F658E" w:rsidP="00E51E56">
            <w:pPr>
              <w:jc w:val="both"/>
              <w:rPr>
                <w:rFonts w:ascii="Arial" w:hAnsi="Arial" w:cs="Arial"/>
                <w:sz w:val="22"/>
                <w:szCs w:val="22"/>
              </w:rPr>
            </w:pPr>
            <w:r w:rsidRPr="00F31996">
              <w:rPr>
                <w:rFonts w:ascii="Arial" w:hAnsi="Arial" w:cs="Arial"/>
                <w:sz w:val="22"/>
                <w:szCs w:val="22"/>
              </w:rPr>
              <w:t>Post-Brexit Impact on Development</w:t>
            </w:r>
          </w:p>
        </w:tc>
        <w:tc>
          <w:tcPr>
            <w:tcW w:w="7796" w:type="dxa"/>
            <w:gridSpan w:val="3"/>
            <w:tcBorders>
              <w:bottom w:val="nil"/>
            </w:tcBorders>
          </w:tcPr>
          <w:p w:rsidR="002F658E" w:rsidRPr="00C10B6E" w:rsidRDefault="002F658E" w:rsidP="00E51E56">
            <w:pPr>
              <w:pStyle w:val="ListParagraph"/>
              <w:numPr>
                <w:ilvl w:val="0"/>
                <w:numId w:val="1"/>
              </w:numPr>
              <w:jc w:val="both"/>
              <w:rPr>
                <w:rFonts w:ascii="Arial" w:hAnsi="Arial" w:cs="Arial"/>
                <w:sz w:val="22"/>
                <w:szCs w:val="22"/>
              </w:rPr>
            </w:pPr>
            <w:r w:rsidRPr="00C10B6E">
              <w:rPr>
                <w:rFonts w:ascii="Arial" w:hAnsi="Arial" w:cs="Arial"/>
                <w:sz w:val="22"/>
                <w:szCs w:val="22"/>
              </w:rPr>
              <w:t xml:space="preserve">A further report will need to be prepared for the Board outlining any proposals to bid to the GLA for </w:t>
            </w:r>
            <w:r w:rsidR="00334661" w:rsidRPr="00C10B6E">
              <w:rPr>
                <w:rFonts w:ascii="Arial" w:hAnsi="Arial" w:cs="Arial"/>
                <w:sz w:val="22"/>
                <w:szCs w:val="22"/>
              </w:rPr>
              <w:t>a</w:t>
            </w:r>
            <w:r w:rsidRPr="00C10B6E">
              <w:rPr>
                <w:rFonts w:ascii="Arial" w:hAnsi="Arial" w:cs="Arial"/>
                <w:sz w:val="22"/>
                <w:szCs w:val="22"/>
              </w:rPr>
              <w:t xml:space="preserve"> 2018/21 programme. This will need to be developed in the context of the tenure mix of the programme, the level of grant funding, particularly any changes in the level of grant funding for rented housing proposed by the Government and Mayor. Any bids should be evaluated against the impact in the Business Plan on loan covenants, cash flow, and exposure to sales risk in the post-Brexit environment.</w:t>
            </w:r>
          </w:p>
          <w:p w:rsidR="002F658E" w:rsidRPr="00F31996" w:rsidRDefault="002F658E" w:rsidP="00E51E56">
            <w:pPr>
              <w:pStyle w:val="ListParagraph"/>
              <w:jc w:val="both"/>
              <w:rPr>
                <w:rFonts w:ascii="Arial" w:hAnsi="Arial" w:cs="Arial"/>
                <w:sz w:val="22"/>
                <w:szCs w:val="22"/>
              </w:rPr>
            </w:pPr>
          </w:p>
        </w:tc>
        <w:tc>
          <w:tcPr>
            <w:tcW w:w="1134" w:type="dxa"/>
            <w:gridSpan w:val="2"/>
            <w:tcBorders>
              <w:bottom w:val="nil"/>
            </w:tcBorders>
          </w:tcPr>
          <w:p w:rsidR="002F658E" w:rsidRPr="00F31996" w:rsidRDefault="002F658E" w:rsidP="00E51E56">
            <w:pPr>
              <w:jc w:val="both"/>
              <w:rPr>
                <w:rFonts w:ascii="Arial" w:hAnsi="Arial" w:cs="Arial"/>
                <w:sz w:val="22"/>
                <w:szCs w:val="22"/>
              </w:rPr>
            </w:pPr>
            <w:r w:rsidRPr="00F31996">
              <w:rPr>
                <w:rFonts w:ascii="Arial" w:hAnsi="Arial" w:cs="Arial"/>
                <w:sz w:val="22"/>
                <w:szCs w:val="22"/>
              </w:rPr>
              <w:t>KH/JK</w:t>
            </w:r>
          </w:p>
          <w:p w:rsidR="002F658E" w:rsidRPr="00F31996" w:rsidRDefault="002F658E" w:rsidP="00E51E56">
            <w:pPr>
              <w:jc w:val="both"/>
              <w:rPr>
                <w:rFonts w:ascii="Arial" w:hAnsi="Arial" w:cs="Arial"/>
                <w:sz w:val="22"/>
                <w:szCs w:val="22"/>
              </w:rPr>
            </w:pPr>
          </w:p>
          <w:p w:rsidR="002F658E" w:rsidRDefault="002F658E" w:rsidP="00E51E56">
            <w:pPr>
              <w:jc w:val="both"/>
              <w:rPr>
                <w:rFonts w:ascii="Arial" w:hAnsi="Arial" w:cs="Arial"/>
                <w:sz w:val="22"/>
                <w:szCs w:val="22"/>
              </w:rPr>
            </w:pPr>
            <w:r w:rsidRPr="00F31996">
              <w:rPr>
                <w:rFonts w:ascii="Arial" w:hAnsi="Arial" w:cs="Arial"/>
                <w:sz w:val="22"/>
                <w:szCs w:val="22"/>
              </w:rPr>
              <w:t>PN/DBW</w:t>
            </w:r>
          </w:p>
          <w:p w:rsidR="002F658E" w:rsidRDefault="002F658E" w:rsidP="00E51E56">
            <w:pPr>
              <w:jc w:val="both"/>
              <w:rPr>
                <w:rFonts w:ascii="Arial" w:hAnsi="Arial" w:cs="Arial"/>
                <w:sz w:val="22"/>
                <w:szCs w:val="22"/>
              </w:rPr>
            </w:pPr>
          </w:p>
          <w:p w:rsidR="002F658E" w:rsidRDefault="002F658E" w:rsidP="00E51E56">
            <w:pPr>
              <w:jc w:val="both"/>
              <w:rPr>
                <w:rFonts w:ascii="Arial" w:hAnsi="Arial" w:cs="Arial"/>
                <w:sz w:val="22"/>
                <w:szCs w:val="22"/>
              </w:rPr>
            </w:pPr>
          </w:p>
          <w:p w:rsidR="002F658E" w:rsidRDefault="002F658E" w:rsidP="00E51E56">
            <w:pPr>
              <w:jc w:val="both"/>
              <w:rPr>
                <w:rFonts w:ascii="Arial" w:hAnsi="Arial" w:cs="Arial"/>
                <w:sz w:val="22"/>
                <w:szCs w:val="22"/>
              </w:rPr>
            </w:pPr>
          </w:p>
          <w:p w:rsidR="002F658E" w:rsidRDefault="002F658E" w:rsidP="00E51E56">
            <w:pPr>
              <w:jc w:val="both"/>
              <w:rPr>
                <w:rFonts w:ascii="Arial" w:hAnsi="Arial" w:cs="Arial"/>
                <w:sz w:val="22"/>
                <w:szCs w:val="22"/>
              </w:rPr>
            </w:pPr>
          </w:p>
          <w:p w:rsidR="002F658E" w:rsidRDefault="002F658E" w:rsidP="00E51E56">
            <w:pPr>
              <w:jc w:val="both"/>
              <w:rPr>
                <w:rFonts w:ascii="Arial" w:hAnsi="Arial" w:cs="Arial"/>
                <w:sz w:val="22"/>
                <w:szCs w:val="22"/>
              </w:rPr>
            </w:pPr>
          </w:p>
          <w:p w:rsidR="002F658E" w:rsidRPr="00F31996" w:rsidRDefault="002F658E" w:rsidP="00E51E56">
            <w:pPr>
              <w:jc w:val="both"/>
              <w:rPr>
                <w:rFonts w:ascii="Arial" w:hAnsi="Arial" w:cs="Arial"/>
                <w:sz w:val="22"/>
                <w:szCs w:val="22"/>
              </w:rPr>
            </w:pPr>
          </w:p>
        </w:tc>
        <w:tc>
          <w:tcPr>
            <w:tcW w:w="2268" w:type="dxa"/>
            <w:tcBorders>
              <w:bottom w:val="nil"/>
            </w:tcBorders>
          </w:tcPr>
          <w:p w:rsidR="002F658E" w:rsidRPr="00F31996" w:rsidRDefault="002F658E" w:rsidP="00E51E56">
            <w:pPr>
              <w:jc w:val="both"/>
              <w:rPr>
                <w:rFonts w:ascii="Arial" w:hAnsi="Arial" w:cs="Arial"/>
                <w:sz w:val="22"/>
                <w:szCs w:val="22"/>
              </w:rPr>
            </w:pPr>
            <w:r w:rsidRPr="00F31996">
              <w:rPr>
                <w:rFonts w:ascii="Arial" w:hAnsi="Arial" w:cs="Arial"/>
                <w:sz w:val="22"/>
                <w:szCs w:val="22"/>
              </w:rPr>
              <w:t>Probably early 2017, depending on when bid prospectus is issued.</w:t>
            </w:r>
          </w:p>
        </w:tc>
      </w:tr>
      <w:tr w:rsidR="002F658E" w:rsidRPr="00F31996" w:rsidTr="002F658E">
        <w:tc>
          <w:tcPr>
            <w:tcW w:w="3085" w:type="dxa"/>
            <w:tcBorders>
              <w:top w:val="nil"/>
            </w:tcBorders>
          </w:tcPr>
          <w:p w:rsidR="002F658E" w:rsidRPr="00F31996" w:rsidRDefault="002F658E" w:rsidP="00E51E56">
            <w:pPr>
              <w:jc w:val="both"/>
              <w:rPr>
                <w:rFonts w:ascii="Arial" w:hAnsi="Arial" w:cs="Arial"/>
                <w:sz w:val="22"/>
                <w:szCs w:val="22"/>
              </w:rPr>
            </w:pPr>
          </w:p>
        </w:tc>
        <w:tc>
          <w:tcPr>
            <w:tcW w:w="7796" w:type="dxa"/>
            <w:gridSpan w:val="3"/>
            <w:tcBorders>
              <w:top w:val="nil"/>
            </w:tcBorders>
          </w:tcPr>
          <w:p w:rsidR="002F658E" w:rsidRPr="00C10B6E" w:rsidRDefault="002F658E" w:rsidP="00E51E56">
            <w:pPr>
              <w:pStyle w:val="ListParagraph"/>
              <w:numPr>
                <w:ilvl w:val="0"/>
                <w:numId w:val="1"/>
              </w:numPr>
              <w:jc w:val="both"/>
              <w:rPr>
                <w:rFonts w:ascii="Arial" w:hAnsi="Arial" w:cs="Arial"/>
                <w:sz w:val="22"/>
                <w:szCs w:val="22"/>
              </w:rPr>
            </w:pPr>
            <w:r w:rsidRPr="00C10B6E">
              <w:rPr>
                <w:rFonts w:ascii="Arial" w:hAnsi="Arial" w:cs="Arial"/>
                <w:sz w:val="22"/>
                <w:szCs w:val="22"/>
              </w:rPr>
              <w:t>The Innovation Working Group will consider procurement innovation partnership working, and the merits of pursuing market rents</w:t>
            </w:r>
            <w:r w:rsidR="003B72F3">
              <w:rPr>
                <w:rFonts w:ascii="Arial" w:hAnsi="Arial" w:cs="Arial"/>
                <w:sz w:val="22"/>
                <w:szCs w:val="22"/>
              </w:rPr>
              <w:t xml:space="preserve"> as a further method of generating cross-subsidy</w:t>
            </w:r>
            <w:r w:rsidRPr="00C10B6E">
              <w:rPr>
                <w:rFonts w:ascii="Arial" w:hAnsi="Arial" w:cs="Arial"/>
                <w:sz w:val="22"/>
                <w:szCs w:val="22"/>
              </w:rPr>
              <w:t>.</w:t>
            </w:r>
          </w:p>
          <w:p w:rsidR="002F658E" w:rsidRPr="00C10B6E" w:rsidRDefault="002F658E" w:rsidP="00E51E56">
            <w:pPr>
              <w:pStyle w:val="ListParagraph"/>
              <w:jc w:val="both"/>
              <w:rPr>
                <w:rFonts w:ascii="Arial" w:hAnsi="Arial" w:cs="Arial"/>
                <w:sz w:val="22"/>
                <w:szCs w:val="22"/>
              </w:rPr>
            </w:pPr>
          </w:p>
        </w:tc>
        <w:tc>
          <w:tcPr>
            <w:tcW w:w="1134" w:type="dxa"/>
            <w:gridSpan w:val="2"/>
            <w:tcBorders>
              <w:top w:val="nil"/>
            </w:tcBorders>
          </w:tcPr>
          <w:p w:rsidR="002F658E" w:rsidRPr="00F31996" w:rsidRDefault="002F658E" w:rsidP="00E51E56">
            <w:pPr>
              <w:jc w:val="both"/>
              <w:rPr>
                <w:rFonts w:ascii="Arial" w:hAnsi="Arial" w:cs="Arial"/>
                <w:sz w:val="22"/>
                <w:szCs w:val="22"/>
              </w:rPr>
            </w:pPr>
            <w:r>
              <w:rPr>
                <w:rFonts w:ascii="Arial" w:hAnsi="Arial" w:cs="Arial"/>
                <w:sz w:val="22"/>
                <w:szCs w:val="22"/>
              </w:rPr>
              <w:t>IWG Members</w:t>
            </w:r>
          </w:p>
        </w:tc>
        <w:tc>
          <w:tcPr>
            <w:tcW w:w="2268" w:type="dxa"/>
            <w:tcBorders>
              <w:top w:val="nil"/>
            </w:tcBorders>
          </w:tcPr>
          <w:p w:rsidR="002F658E" w:rsidRPr="00F31996" w:rsidRDefault="002F658E" w:rsidP="00E51E56">
            <w:pPr>
              <w:jc w:val="both"/>
              <w:rPr>
                <w:rFonts w:ascii="Arial" w:hAnsi="Arial" w:cs="Arial"/>
                <w:sz w:val="22"/>
                <w:szCs w:val="22"/>
              </w:rPr>
            </w:pPr>
            <w:r>
              <w:rPr>
                <w:rFonts w:ascii="Arial" w:hAnsi="Arial" w:cs="Arial"/>
                <w:sz w:val="22"/>
                <w:szCs w:val="22"/>
              </w:rPr>
              <w:t>Ongoing as per IWG meeting timetable</w:t>
            </w:r>
          </w:p>
        </w:tc>
      </w:tr>
      <w:tr w:rsidR="002F658E" w:rsidRPr="00F31996" w:rsidTr="002F658E">
        <w:tc>
          <w:tcPr>
            <w:tcW w:w="3085" w:type="dxa"/>
          </w:tcPr>
          <w:p w:rsidR="002F658E" w:rsidRPr="002F658E" w:rsidRDefault="002F658E" w:rsidP="00E51E56">
            <w:pPr>
              <w:jc w:val="both"/>
              <w:rPr>
                <w:rFonts w:ascii="Arial" w:hAnsi="Arial" w:cs="Arial"/>
                <w:sz w:val="22"/>
                <w:szCs w:val="22"/>
              </w:rPr>
            </w:pPr>
            <w:r w:rsidRPr="002F658E">
              <w:rPr>
                <w:rFonts w:ascii="Arial" w:hAnsi="Arial" w:cs="Arial"/>
                <w:sz w:val="22"/>
                <w:szCs w:val="22"/>
              </w:rPr>
              <w:t>Preparation for an In-Depth Assessment - Document preparation check-list prepared and check that existing documentation.</w:t>
            </w:r>
          </w:p>
          <w:p w:rsidR="002F658E" w:rsidRPr="002F658E" w:rsidRDefault="002F658E" w:rsidP="00E51E56">
            <w:pPr>
              <w:jc w:val="both"/>
              <w:rPr>
                <w:rFonts w:ascii="Arial" w:hAnsi="Arial" w:cs="Arial"/>
                <w:sz w:val="22"/>
                <w:szCs w:val="22"/>
              </w:rPr>
            </w:pPr>
          </w:p>
        </w:tc>
        <w:tc>
          <w:tcPr>
            <w:tcW w:w="7796" w:type="dxa"/>
            <w:gridSpan w:val="3"/>
          </w:tcPr>
          <w:p w:rsidR="002F658E" w:rsidRDefault="002F658E" w:rsidP="003B72F3">
            <w:pPr>
              <w:pStyle w:val="ListParagraph"/>
              <w:numPr>
                <w:ilvl w:val="0"/>
                <w:numId w:val="2"/>
              </w:numPr>
              <w:jc w:val="both"/>
              <w:rPr>
                <w:rFonts w:ascii="Arial" w:hAnsi="Arial" w:cs="Arial"/>
                <w:sz w:val="22"/>
                <w:szCs w:val="22"/>
              </w:rPr>
            </w:pPr>
            <w:r w:rsidRPr="002F658E">
              <w:rPr>
                <w:rFonts w:ascii="Arial" w:hAnsi="Arial" w:cs="Arial"/>
                <w:sz w:val="22"/>
                <w:szCs w:val="22"/>
              </w:rPr>
              <w:t xml:space="preserve">Preparation of various briefing sheets for Board Members, including areas such as Value for Money, Risk Management Framework and Risk Appetite, Managing risks relating to outright sale and the Hexagon/Horniman connection, preparing for Welfare Reform, robustness of Business Plan in relation to Stock Improvement provisions, one-offs, </w:t>
            </w:r>
            <w:r w:rsidR="003B72F3">
              <w:rPr>
                <w:rFonts w:ascii="Arial" w:hAnsi="Arial" w:cs="Arial"/>
                <w:sz w:val="22"/>
                <w:szCs w:val="22"/>
              </w:rPr>
              <w:t>(</w:t>
            </w:r>
            <w:r w:rsidRPr="002F658E">
              <w:rPr>
                <w:rFonts w:ascii="Arial" w:hAnsi="Arial" w:cs="Arial"/>
                <w:sz w:val="22"/>
                <w:szCs w:val="22"/>
              </w:rPr>
              <w:t xml:space="preserve">including Brickfield Cottages and compliance with Rent Standard), and </w:t>
            </w:r>
            <w:r w:rsidR="003B72F3">
              <w:rPr>
                <w:rFonts w:ascii="Arial" w:hAnsi="Arial" w:cs="Arial"/>
                <w:sz w:val="22"/>
                <w:szCs w:val="22"/>
              </w:rPr>
              <w:t xml:space="preserve">Board </w:t>
            </w:r>
            <w:r w:rsidRPr="002F658E">
              <w:rPr>
                <w:rFonts w:ascii="Arial" w:hAnsi="Arial" w:cs="Arial"/>
                <w:sz w:val="22"/>
                <w:szCs w:val="22"/>
              </w:rPr>
              <w:t xml:space="preserve">skills succession planning. </w:t>
            </w:r>
          </w:p>
          <w:p w:rsidR="003B72F3" w:rsidRPr="002F658E" w:rsidRDefault="003B72F3" w:rsidP="003B72F3">
            <w:pPr>
              <w:pStyle w:val="ListParagraph"/>
              <w:jc w:val="both"/>
              <w:rPr>
                <w:rFonts w:ascii="Arial" w:hAnsi="Arial" w:cs="Arial"/>
                <w:sz w:val="22"/>
                <w:szCs w:val="22"/>
              </w:rPr>
            </w:pPr>
          </w:p>
        </w:tc>
        <w:tc>
          <w:tcPr>
            <w:tcW w:w="1134"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PN/TMc</w:t>
            </w:r>
          </w:p>
        </w:tc>
        <w:tc>
          <w:tcPr>
            <w:tcW w:w="2268" w:type="dxa"/>
          </w:tcPr>
          <w:p w:rsidR="002F658E" w:rsidRPr="002F658E" w:rsidRDefault="002F658E" w:rsidP="00E51E56">
            <w:pPr>
              <w:jc w:val="both"/>
              <w:rPr>
                <w:rFonts w:ascii="Arial" w:hAnsi="Arial" w:cs="Arial"/>
                <w:sz w:val="22"/>
                <w:szCs w:val="22"/>
              </w:rPr>
            </w:pPr>
            <w:r w:rsidRPr="002F658E">
              <w:rPr>
                <w:rFonts w:ascii="Arial" w:hAnsi="Arial" w:cs="Arial"/>
                <w:sz w:val="22"/>
                <w:szCs w:val="22"/>
              </w:rPr>
              <w:t>Already started and ongoing</w:t>
            </w:r>
            <w:r w:rsidR="003B72F3">
              <w:rPr>
                <w:rFonts w:ascii="Arial" w:hAnsi="Arial" w:cs="Arial"/>
                <w:sz w:val="22"/>
                <w:szCs w:val="22"/>
              </w:rPr>
              <w:t xml:space="preserve"> until IDA</w:t>
            </w:r>
          </w:p>
        </w:tc>
      </w:tr>
      <w:tr w:rsidR="002F658E" w:rsidRPr="00F31996" w:rsidTr="002F658E">
        <w:tc>
          <w:tcPr>
            <w:tcW w:w="3085" w:type="dxa"/>
          </w:tcPr>
          <w:p w:rsidR="002F658E" w:rsidRPr="00F31996" w:rsidRDefault="002F658E" w:rsidP="00E51E56">
            <w:pPr>
              <w:jc w:val="both"/>
              <w:rPr>
                <w:rFonts w:ascii="Arial" w:hAnsi="Arial" w:cs="Arial"/>
                <w:sz w:val="22"/>
                <w:szCs w:val="22"/>
              </w:rPr>
            </w:pPr>
          </w:p>
        </w:tc>
        <w:tc>
          <w:tcPr>
            <w:tcW w:w="7796" w:type="dxa"/>
            <w:gridSpan w:val="3"/>
          </w:tcPr>
          <w:p w:rsidR="002F658E" w:rsidRDefault="002F658E" w:rsidP="00E51E56">
            <w:pPr>
              <w:pStyle w:val="ListParagraph"/>
              <w:numPr>
                <w:ilvl w:val="0"/>
                <w:numId w:val="2"/>
              </w:numPr>
              <w:jc w:val="both"/>
              <w:rPr>
                <w:rFonts w:ascii="Arial" w:hAnsi="Arial" w:cs="Arial"/>
                <w:sz w:val="22"/>
                <w:szCs w:val="22"/>
              </w:rPr>
            </w:pPr>
            <w:r>
              <w:rPr>
                <w:rFonts w:ascii="Arial" w:hAnsi="Arial" w:cs="Arial"/>
                <w:sz w:val="22"/>
                <w:szCs w:val="22"/>
              </w:rPr>
              <w:t xml:space="preserve">Board to revisit the merger discussion document put to the Board in March 2014 to ensure the current position is refreshed and </w:t>
            </w:r>
            <w:r w:rsidR="003B72F3">
              <w:rPr>
                <w:rFonts w:ascii="Arial" w:hAnsi="Arial" w:cs="Arial"/>
                <w:sz w:val="22"/>
                <w:szCs w:val="22"/>
              </w:rPr>
              <w:t xml:space="preserve">kept </w:t>
            </w:r>
            <w:r>
              <w:rPr>
                <w:rFonts w:ascii="Arial" w:hAnsi="Arial" w:cs="Arial"/>
                <w:sz w:val="22"/>
                <w:szCs w:val="22"/>
              </w:rPr>
              <w:t>up to date.</w:t>
            </w:r>
          </w:p>
          <w:p w:rsidR="002F658E" w:rsidRDefault="002F658E" w:rsidP="00E51E56">
            <w:pPr>
              <w:pStyle w:val="ListParagraph"/>
              <w:jc w:val="both"/>
              <w:rPr>
                <w:rFonts w:ascii="Arial" w:hAnsi="Arial" w:cs="Arial"/>
                <w:sz w:val="22"/>
                <w:szCs w:val="22"/>
              </w:rPr>
            </w:pPr>
          </w:p>
          <w:p w:rsidR="002F658E" w:rsidRDefault="002F658E" w:rsidP="00E51E56">
            <w:pPr>
              <w:pStyle w:val="ListParagraph"/>
              <w:jc w:val="both"/>
              <w:rPr>
                <w:rFonts w:ascii="Arial" w:hAnsi="Arial" w:cs="Arial"/>
                <w:sz w:val="22"/>
                <w:szCs w:val="22"/>
              </w:rPr>
            </w:pPr>
          </w:p>
          <w:p w:rsidR="002F658E" w:rsidRDefault="002F658E" w:rsidP="00E51E56">
            <w:pPr>
              <w:pStyle w:val="ListParagraph"/>
              <w:jc w:val="both"/>
              <w:rPr>
                <w:rFonts w:ascii="Arial" w:hAnsi="Arial" w:cs="Arial"/>
                <w:sz w:val="22"/>
                <w:szCs w:val="22"/>
              </w:rPr>
            </w:pPr>
          </w:p>
          <w:p w:rsidR="003B72F3" w:rsidRDefault="003B72F3" w:rsidP="00E51E56">
            <w:pPr>
              <w:pStyle w:val="ListParagraph"/>
              <w:jc w:val="both"/>
              <w:rPr>
                <w:rFonts w:ascii="Arial" w:hAnsi="Arial" w:cs="Arial"/>
                <w:sz w:val="22"/>
                <w:szCs w:val="22"/>
              </w:rPr>
            </w:pPr>
          </w:p>
          <w:p w:rsidR="003B72F3" w:rsidRDefault="003B72F3" w:rsidP="00E51E56">
            <w:pPr>
              <w:pStyle w:val="ListParagraph"/>
              <w:jc w:val="both"/>
              <w:rPr>
                <w:rFonts w:ascii="Arial" w:hAnsi="Arial" w:cs="Arial"/>
                <w:sz w:val="22"/>
                <w:szCs w:val="22"/>
              </w:rPr>
            </w:pPr>
          </w:p>
          <w:p w:rsidR="002F658E" w:rsidRPr="00C10B6E" w:rsidRDefault="002F658E" w:rsidP="00E51E56">
            <w:pPr>
              <w:pStyle w:val="ListParagraph"/>
              <w:jc w:val="both"/>
              <w:rPr>
                <w:rFonts w:ascii="Arial" w:hAnsi="Arial" w:cs="Arial"/>
                <w:sz w:val="22"/>
                <w:szCs w:val="22"/>
              </w:rPr>
            </w:pPr>
          </w:p>
        </w:tc>
        <w:tc>
          <w:tcPr>
            <w:tcW w:w="1134" w:type="dxa"/>
            <w:gridSpan w:val="2"/>
          </w:tcPr>
          <w:p w:rsidR="002F658E" w:rsidRPr="00F31996" w:rsidRDefault="002F658E" w:rsidP="00E51E56">
            <w:pPr>
              <w:jc w:val="both"/>
              <w:rPr>
                <w:rFonts w:ascii="Arial" w:hAnsi="Arial" w:cs="Arial"/>
                <w:sz w:val="22"/>
                <w:szCs w:val="22"/>
              </w:rPr>
            </w:pPr>
            <w:r>
              <w:rPr>
                <w:rFonts w:ascii="Arial" w:hAnsi="Arial" w:cs="Arial"/>
                <w:sz w:val="22"/>
                <w:szCs w:val="22"/>
              </w:rPr>
              <w:t>TMc/RC</w:t>
            </w:r>
          </w:p>
        </w:tc>
        <w:tc>
          <w:tcPr>
            <w:tcW w:w="2268" w:type="dxa"/>
          </w:tcPr>
          <w:p w:rsidR="002F658E" w:rsidRPr="00F31996" w:rsidRDefault="002F658E" w:rsidP="00E51E56">
            <w:pPr>
              <w:jc w:val="both"/>
              <w:rPr>
                <w:rFonts w:ascii="Arial" w:hAnsi="Arial" w:cs="Arial"/>
                <w:sz w:val="22"/>
                <w:szCs w:val="22"/>
              </w:rPr>
            </w:pPr>
            <w:r>
              <w:rPr>
                <w:rFonts w:ascii="Arial" w:hAnsi="Arial" w:cs="Arial"/>
                <w:sz w:val="22"/>
                <w:szCs w:val="22"/>
              </w:rPr>
              <w:t>May 2017</w:t>
            </w:r>
          </w:p>
        </w:tc>
      </w:tr>
      <w:tr w:rsidR="002F658E" w:rsidTr="002F658E">
        <w:tc>
          <w:tcPr>
            <w:tcW w:w="14283" w:type="dxa"/>
            <w:gridSpan w:val="7"/>
          </w:tcPr>
          <w:p w:rsidR="002F658E" w:rsidRPr="002F658E" w:rsidRDefault="002F658E" w:rsidP="00E51E56">
            <w:pPr>
              <w:jc w:val="both"/>
              <w:rPr>
                <w:rFonts w:ascii="Arial" w:hAnsi="Arial" w:cs="Arial"/>
                <w:b/>
                <w:sz w:val="24"/>
                <w:szCs w:val="24"/>
              </w:rPr>
            </w:pPr>
            <w:r w:rsidRPr="002F658E">
              <w:rPr>
                <w:rFonts w:ascii="Arial" w:hAnsi="Arial" w:cs="Arial"/>
                <w:b/>
                <w:sz w:val="24"/>
                <w:szCs w:val="24"/>
              </w:rPr>
              <w:lastRenderedPageBreak/>
              <w:t>Collective Board appraisal</w:t>
            </w:r>
          </w:p>
          <w:p w:rsidR="002F658E" w:rsidRDefault="002F658E" w:rsidP="00E51E56">
            <w:pPr>
              <w:jc w:val="both"/>
              <w:rPr>
                <w:rFonts w:ascii="Arial" w:hAnsi="Arial" w:cs="Arial"/>
                <w:sz w:val="22"/>
                <w:szCs w:val="22"/>
              </w:rPr>
            </w:pPr>
          </w:p>
        </w:tc>
      </w:tr>
      <w:tr w:rsidR="002F658E" w:rsidRPr="00F31996" w:rsidTr="003B72F3">
        <w:tc>
          <w:tcPr>
            <w:tcW w:w="4786" w:type="dxa"/>
            <w:gridSpan w:val="2"/>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Topic</w:t>
            </w:r>
          </w:p>
        </w:tc>
        <w:tc>
          <w:tcPr>
            <w:tcW w:w="5103" w:type="dxa"/>
          </w:tcPr>
          <w:p w:rsidR="002F658E" w:rsidRPr="00F31996" w:rsidRDefault="003B72F3" w:rsidP="00E51E56">
            <w:pPr>
              <w:jc w:val="both"/>
              <w:rPr>
                <w:rFonts w:ascii="Arial" w:hAnsi="Arial" w:cs="Arial"/>
                <w:b/>
                <w:sz w:val="22"/>
                <w:szCs w:val="22"/>
              </w:rPr>
            </w:pPr>
            <w:r>
              <w:rPr>
                <w:rFonts w:ascii="Arial" w:hAnsi="Arial" w:cs="Arial"/>
                <w:b/>
                <w:sz w:val="22"/>
                <w:szCs w:val="22"/>
              </w:rPr>
              <w:t>Action</w:t>
            </w:r>
          </w:p>
        </w:tc>
        <w:tc>
          <w:tcPr>
            <w:tcW w:w="1701" w:type="dxa"/>
            <w:gridSpan w:val="2"/>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Lead</w:t>
            </w:r>
          </w:p>
        </w:tc>
        <w:tc>
          <w:tcPr>
            <w:tcW w:w="2693" w:type="dxa"/>
            <w:gridSpan w:val="2"/>
          </w:tcPr>
          <w:p w:rsidR="002F658E" w:rsidRPr="00F31996" w:rsidRDefault="002F658E" w:rsidP="00E51E56">
            <w:pPr>
              <w:jc w:val="both"/>
              <w:rPr>
                <w:rFonts w:ascii="Arial" w:hAnsi="Arial" w:cs="Arial"/>
                <w:b/>
                <w:sz w:val="22"/>
                <w:szCs w:val="22"/>
              </w:rPr>
            </w:pPr>
            <w:r w:rsidRPr="00F31996">
              <w:rPr>
                <w:rFonts w:ascii="Arial" w:hAnsi="Arial" w:cs="Arial"/>
                <w:b/>
                <w:sz w:val="22"/>
                <w:szCs w:val="22"/>
              </w:rPr>
              <w:t>Timescale</w:t>
            </w:r>
          </w:p>
          <w:p w:rsidR="002F658E" w:rsidRPr="00F31996" w:rsidRDefault="002F658E" w:rsidP="00E51E56">
            <w:pPr>
              <w:jc w:val="both"/>
              <w:rPr>
                <w:rFonts w:ascii="Arial" w:hAnsi="Arial" w:cs="Arial"/>
                <w:b/>
                <w:sz w:val="22"/>
                <w:szCs w:val="22"/>
              </w:rPr>
            </w:pPr>
          </w:p>
        </w:tc>
      </w:tr>
      <w:tr w:rsidR="002F658E" w:rsidTr="003B72F3">
        <w:tc>
          <w:tcPr>
            <w:tcW w:w="4786" w:type="dxa"/>
            <w:gridSpan w:val="2"/>
          </w:tcPr>
          <w:p w:rsidR="002F658E" w:rsidRPr="002F658E" w:rsidRDefault="003B72F3" w:rsidP="003B72F3">
            <w:pPr>
              <w:jc w:val="both"/>
              <w:rPr>
                <w:rFonts w:ascii="Arial" w:hAnsi="Arial" w:cs="Arial"/>
                <w:sz w:val="22"/>
                <w:szCs w:val="22"/>
              </w:rPr>
            </w:pPr>
            <w:r>
              <w:rPr>
                <w:rFonts w:ascii="Arial" w:hAnsi="Arial" w:cs="Arial"/>
                <w:sz w:val="22"/>
                <w:szCs w:val="22"/>
              </w:rPr>
              <w:t>Ensure Value for Money is central to Board discussions and understanding.</w:t>
            </w:r>
          </w:p>
        </w:tc>
        <w:tc>
          <w:tcPr>
            <w:tcW w:w="5103" w:type="dxa"/>
          </w:tcPr>
          <w:p w:rsidR="003B72F3" w:rsidRPr="002F658E" w:rsidRDefault="003B72F3" w:rsidP="003B72F3">
            <w:pPr>
              <w:jc w:val="both"/>
              <w:rPr>
                <w:rFonts w:ascii="Arial" w:hAnsi="Arial" w:cs="Arial"/>
                <w:sz w:val="22"/>
                <w:szCs w:val="22"/>
              </w:rPr>
            </w:pPr>
            <w:r w:rsidRPr="002F658E">
              <w:rPr>
                <w:rFonts w:ascii="Arial" w:hAnsi="Arial" w:cs="Arial"/>
                <w:sz w:val="22"/>
                <w:szCs w:val="22"/>
              </w:rPr>
              <w:t>Review the format of the V</w:t>
            </w:r>
            <w:r>
              <w:rPr>
                <w:rFonts w:ascii="Arial" w:hAnsi="Arial" w:cs="Arial"/>
                <w:sz w:val="22"/>
                <w:szCs w:val="22"/>
              </w:rPr>
              <w:t>F</w:t>
            </w:r>
            <w:r w:rsidRPr="002F658E">
              <w:rPr>
                <w:rFonts w:ascii="Arial" w:hAnsi="Arial" w:cs="Arial"/>
                <w:sz w:val="22"/>
                <w:szCs w:val="22"/>
              </w:rPr>
              <w:t xml:space="preserve">M Strategy and reports on progress. </w:t>
            </w:r>
          </w:p>
          <w:p w:rsidR="002F658E" w:rsidRPr="002F658E" w:rsidRDefault="002F658E" w:rsidP="00E51E56">
            <w:pPr>
              <w:pStyle w:val="ListParagraph"/>
              <w:jc w:val="both"/>
              <w:rPr>
                <w:rFonts w:ascii="Arial" w:hAnsi="Arial" w:cs="Arial"/>
                <w:sz w:val="22"/>
                <w:szCs w:val="22"/>
              </w:rPr>
            </w:pP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PN/ML</w:t>
            </w:r>
          </w:p>
        </w:tc>
        <w:tc>
          <w:tcPr>
            <w:tcW w:w="2693" w:type="dxa"/>
            <w:gridSpan w:val="2"/>
          </w:tcPr>
          <w:p w:rsidR="002F658E" w:rsidRDefault="002F658E" w:rsidP="00E51E56">
            <w:pPr>
              <w:jc w:val="both"/>
              <w:rPr>
                <w:rFonts w:ascii="Arial" w:hAnsi="Arial" w:cs="Arial"/>
                <w:sz w:val="22"/>
                <w:szCs w:val="22"/>
              </w:rPr>
            </w:pPr>
            <w:r w:rsidRPr="002F658E">
              <w:rPr>
                <w:rFonts w:ascii="Arial" w:hAnsi="Arial" w:cs="Arial"/>
                <w:sz w:val="22"/>
                <w:szCs w:val="22"/>
              </w:rPr>
              <w:t>New VFM annual strategy for March Board, then September 2017 for Self-Assessment.</w:t>
            </w:r>
          </w:p>
          <w:p w:rsidR="002F658E" w:rsidRPr="002F658E" w:rsidRDefault="002F658E" w:rsidP="00E51E56">
            <w:pPr>
              <w:jc w:val="both"/>
              <w:rPr>
                <w:rFonts w:ascii="Arial" w:hAnsi="Arial" w:cs="Arial"/>
                <w:sz w:val="22"/>
                <w:szCs w:val="22"/>
              </w:rPr>
            </w:pPr>
          </w:p>
        </w:tc>
      </w:tr>
      <w:tr w:rsidR="002F658E" w:rsidTr="003B72F3">
        <w:tc>
          <w:tcPr>
            <w:tcW w:w="4786" w:type="dxa"/>
            <w:gridSpan w:val="2"/>
          </w:tcPr>
          <w:p w:rsidR="002F658E" w:rsidRPr="002F658E" w:rsidRDefault="003B72F3" w:rsidP="003B72F3">
            <w:pPr>
              <w:jc w:val="both"/>
              <w:rPr>
                <w:rFonts w:ascii="Arial" w:hAnsi="Arial" w:cs="Arial"/>
                <w:sz w:val="22"/>
                <w:szCs w:val="22"/>
              </w:rPr>
            </w:pPr>
            <w:r>
              <w:rPr>
                <w:rFonts w:ascii="Arial" w:hAnsi="Arial" w:cs="Arial"/>
                <w:sz w:val="22"/>
                <w:szCs w:val="22"/>
              </w:rPr>
              <w:t>Create consistency in Lead Board Member engagement.</w:t>
            </w:r>
          </w:p>
        </w:tc>
        <w:tc>
          <w:tcPr>
            <w:tcW w:w="5103" w:type="dxa"/>
          </w:tcPr>
          <w:p w:rsidR="003B72F3" w:rsidRDefault="003B72F3" w:rsidP="003B72F3">
            <w:pPr>
              <w:jc w:val="both"/>
              <w:rPr>
                <w:rFonts w:ascii="Arial" w:hAnsi="Arial" w:cs="Arial"/>
                <w:sz w:val="22"/>
                <w:szCs w:val="22"/>
              </w:rPr>
            </w:pPr>
            <w:r w:rsidRPr="002F658E">
              <w:rPr>
                <w:rFonts w:ascii="Arial" w:hAnsi="Arial" w:cs="Arial"/>
                <w:sz w:val="22"/>
                <w:szCs w:val="22"/>
              </w:rPr>
              <w:t xml:space="preserve">LBMs to liaise with their respective Director in drafting any relevant reports, and LBM to take primary responsibility for </w:t>
            </w:r>
            <w:r>
              <w:rPr>
                <w:rFonts w:ascii="Arial" w:hAnsi="Arial" w:cs="Arial"/>
                <w:sz w:val="22"/>
                <w:szCs w:val="22"/>
              </w:rPr>
              <w:t xml:space="preserve">Board </w:t>
            </w:r>
            <w:r w:rsidRPr="002F658E">
              <w:rPr>
                <w:rFonts w:ascii="Arial" w:hAnsi="Arial" w:cs="Arial"/>
                <w:sz w:val="22"/>
                <w:szCs w:val="22"/>
              </w:rPr>
              <w:t xml:space="preserve">reporting. </w:t>
            </w:r>
          </w:p>
          <w:p w:rsidR="004A104A" w:rsidRDefault="004A104A" w:rsidP="003B72F3">
            <w:pPr>
              <w:jc w:val="both"/>
              <w:rPr>
                <w:rFonts w:ascii="Arial" w:hAnsi="Arial" w:cs="Arial"/>
                <w:sz w:val="22"/>
                <w:szCs w:val="22"/>
              </w:rPr>
            </w:pPr>
          </w:p>
          <w:p w:rsidR="004A104A" w:rsidRPr="002F658E" w:rsidRDefault="004A104A" w:rsidP="003B72F3">
            <w:pPr>
              <w:jc w:val="both"/>
              <w:rPr>
                <w:rFonts w:ascii="Arial" w:hAnsi="Arial" w:cs="Arial"/>
                <w:sz w:val="22"/>
                <w:szCs w:val="22"/>
              </w:rPr>
            </w:pPr>
            <w:r>
              <w:rPr>
                <w:rFonts w:ascii="Arial" w:hAnsi="Arial" w:cs="Arial"/>
                <w:sz w:val="22"/>
                <w:szCs w:val="22"/>
              </w:rPr>
              <w:t xml:space="preserve">Review the topic areas currently in place for LBM’s to ensure continued relevance to evolving context. </w:t>
            </w:r>
          </w:p>
          <w:p w:rsidR="002F658E" w:rsidRPr="002F658E" w:rsidRDefault="002F658E" w:rsidP="00E51E56">
            <w:pPr>
              <w:jc w:val="both"/>
              <w:rPr>
                <w:rFonts w:ascii="Arial" w:hAnsi="Arial" w:cs="Arial"/>
                <w:sz w:val="22"/>
                <w:szCs w:val="22"/>
              </w:rPr>
            </w:pPr>
          </w:p>
        </w:tc>
        <w:tc>
          <w:tcPr>
            <w:tcW w:w="1701" w:type="dxa"/>
            <w:gridSpan w:val="2"/>
          </w:tcPr>
          <w:p w:rsidR="002F658E" w:rsidRDefault="002F658E" w:rsidP="00E51E56">
            <w:pPr>
              <w:jc w:val="both"/>
              <w:rPr>
                <w:rFonts w:ascii="Arial" w:hAnsi="Arial" w:cs="Arial"/>
                <w:sz w:val="22"/>
                <w:szCs w:val="22"/>
              </w:rPr>
            </w:pPr>
            <w:r w:rsidRPr="002F658E">
              <w:rPr>
                <w:rFonts w:ascii="Arial" w:hAnsi="Arial" w:cs="Arial"/>
                <w:sz w:val="22"/>
                <w:szCs w:val="22"/>
              </w:rPr>
              <w:t>Director/LBM.</w:t>
            </w:r>
          </w:p>
          <w:p w:rsidR="004A104A" w:rsidRDefault="004A104A" w:rsidP="00E51E56">
            <w:pPr>
              <w:jc w:val="both"/>
              <w:rPr>
                <w:rFonts w:ascii="Arial" w:hAnsi="Arial" w:cs="Arial"/>
                <w:sz w:val="22"/>
                <w:szCs w:val="22"/>
              </w:rPr>
            </w:pPr>
          </w:p>
          <w:p w:rsidR="004A104A" w:rsidRDefault="004A104A" w:rsidP="00E51E56">
            <w:pPr>
              <w:jc w:val="both"/>
              <w:rPr>
                <w:rFonts w:ascii="Arial" w:hAnsi="Arial" w:cs="Arial"/>
                <w:sz w:val="22"/>
                <w:szCs w:val="22"/>
              </w:rPr>
            </w:pPr>
          </w:p>
          <w:p w:rsidR="004A104A" w:rsidRDefault="004A104A" w:rsidP="00E51E56">
            <w:pPr>
              <w:jc w:val="both"/>
              <w:rPr>
                <w:rFonts w:ascii="Arial" w:hAnsi="Arial" w:cs="Arial"/>
                <w:sz w:val="22"/>
                <w:szCs w:val="22"/>
              </w:rPr>
            </w:pPr>
          </w:p>
          <w:p w:rsidR="004A104A" w:rsidRPr="002F658E" w:rsidRDefault="004A104A" w:rsidP="00E51E56">
            <w:pPr>
              <w:jc w:val="both"/>
              <w:rPr>
                <w:rFonts w:ascii="Arial" w:hAnsi="Arial" w:cs="Arial"/>
                <w:sz w:val="22"/>
                <w:szCs w:val="22"/>
              </w:rPr>
            </w:pPr>
            <w:r>
              <w:rPr>
                <w:rFonts w:ascii="Arial" w:hAnsi="Arial" w:cs="Arial"/>
                <w:sz w:val="22"/>
                <w:szCs w:val="22"/>
              </w:rPr>
              <w:t xml:space="preserve">CE/Board </w:t>
            </w:r>
          </w:p>
        </w:tc>
        <w:tc>
          <w:tcPr>
            <w:tcW w:w="2693" w:type="dxa"/>
            <w:gridSpan w:val="2"/>
          </w:tcPr>
          <w:p w:rsidR="002F658E" w:rsidRDefault="002F658E" w:rsidP="00E51E56">
            <w:pPr>
              <w:jc w:val="both"/>
              <w:rPr>
                <w:rFonts w:ascii="Arial" w:hAnsi="Arial" w:cs="Arial"/>
                <w:sz w:val="22"/>
                <w:szCs w:val="22"/>
              </w:rPr>
            </w:pPr>
            <w:r w:rsidRPr="002F658E">
              <w:rPr>
                <w:rFonts w:ascii="Arial" w:hAnsi="Arial" w:cs="Arial"/>
                <w:sz w:val="22"/>
                <w:szCs w:val="22"/>
              </w:rPr>
              <w:t>Ongoing</w:t>
            </w:r>
          </w:p>
          <w:p w:rsidR="004A104A" w:rsidRDefault="004A104A" w:rsidP="00E51E56">
            <w:pPr>
              <w:jc w:val="both"/>
              <w:rPr>
                <w:rFonts w:ascii="Arial" w:hAnsi="Arial" w:cs="Arial"/>
                <w:sz w:val="22"/>
                <w:szCs w:val="22"/>
              </w:rPr>
            </w:pPr>
          </w:p>
          <w:p w:rsidR="004A104A" w:rsidRDefault="004A104A" w:rsidP="00E51E56">
            <w:pPr>
              <w:jc w:val="both"/>
              <w:rPr>
                <w:rFonts w:ascii="Arial" w:hAnsi="Arial" w:cs="Arial"/>
                <w:sz w:val="22"/>
                <w:szCs w:val="22"/>
              </w:rPr>
            </w:pPr>
          </w:p>
          <w:p w:rsidR="004A104A" w:rsidRDefault="004A104A" w:rsidP="00E51E56">
            <w:pPr>
              <w:jc w:val="both"/>
              <w:rPr>
                <w:rFonts w:ascii="Arial" w:hAnsi="Arial" w:cs="Arial"/>
                <w:sz w:val="22"/>
                <w:szCs w:val="22"/>
              </w:rPr>
            </w:pPr>
          </w:p>
          <w:p w:rsidR="004A104A" w:rsidRPr="002F658E" w:rsidRDefault="004A104A" w:rsidP="00E51E56">
            <w:pPr>
              <w:jc w:val="both"/>
              <w:rPr>
                <w:rFonts w:ascii="Arial" w:hAnsi="Arial" w:cs="Arial"/>
                <w:sz w:val="22"/>
                <w:szCs w:val="22"/>
              </w:rPr>
            </w:pPr>
            <w:r>
              <w:rPr>
                <w:rFonts w:ascii="Arial" w:hAnsi="Arial" w:cs="Arial"/>
                <w:sz w:val="22"/>
                <w:szCs w:val="22"/>
              </w:rPr>
              <w:t>March 2017</w:t>
            </w:r>
          </w:p>
        </w:tc>
      </w:tr>
      <w:tr w:rsidR="002F658E" w:rsidTr="003B72F3">
        <w:tc>
          <w:tcPr>
            <w:tcW w:w="4786" w:type="dxa"/>
            <w:gridSpan w:val="2"/>
          </w:tcPr>
          <w:p w:rsidR="002F658E" w:rsidRPr="002F658E" w:rsidRDefault="003B72F3" w:rsidP="00E51E56">
            <w:pPr>
              <w:jc w:val="both"/>
              <w:rPr>
                <w:rFonts w:ascii="Arial" w:hAnsi="Arial" w:cs="Arial"/>
                <w:sz w:val="22"/>
                <w:szCs w:val="22"/>
              </w:rPr>
            </w:pPr>
            <w:r>
              <w:rPr>
                <w:rFonts w:ascii="Arial" w:hAnsi="Arial" w:cs="Arial"/>
                <w:sz w:val="22"/>
                <w:szCs w:val="22"/>
              </w:rPr>
              <w:t>Ensure Board skills evolve to match changing objectives.</w:t>
            </w:r>
          </w:p>
        </w:tc>
        <w:tc>
          <w:tcPr>
            <w:tcW w:w="5103" w:type="dxa"/>
          </w:tcPr>
          <w:p w:rsidR="003B72F3" w:rsidRPr="002F658E" w:rsidRDefault="003B72F3" w:rsidP="003B72F3">
            <w:pPr>
              <w:jc w:val="both"/>
              <w:rPr>
                <w:rFonts w:ascii="Arial" w:hAnsi="Arial" w:cs="Arial"/>
                <w:sz w:val="22"/>
                <w:szCs w:val="22"/>
              </w:rPr>
            </w:pPr>
            <w:r w:rsidRPr="002F658E">
              <w:rPr>
                <w:rFonts w:ascii="Arial" w:hAnsi="Arial" w:cs="Arial"/>
                <w:sz w:val="22"/>
                <w:szCs w:val="22"/>
              </w:rPr>
              <w:t>Look at bringing on commercial skills for housing for outright sale onto Horniman Board in the first instance and on the main Board as vacancies arise.</w:t>
            </w:r>
          </w:p>
          <w:p w:rsidR="002F658E" w:rsidRPr="002F658E" w:rsidRDefault="002F658E" w:rsidP="00E51E56">
            <w:pPr>
              <w:jc w:val="both"/>
              <w:rPr>
                <w:rFonts w:ascii="Arial" w:hAnsi="Arial" w:cs="Arial"/>
                <w:sz w:val="22"/>
                <w:szCs w:val="22"/>
              </w:rPr>
            </w:pP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TMc/RC</w:t>
            </w:r>
          </w:p>
        </w:tc>
        <w:tc>
          <w:tcPr>
            <w:tcW w:w="2693"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Q4 2016/17 for Horniman, June 2017 for Hexagon.</w:t>
            </w:r>
          </w:p>
        </w:tc>
      </w:tr>
      <w:tr w:rsidR="002F658E" w:rsidTr="003B72F3">
        <w:tc>
          <w:tcPr>
            <w:tcW w:w="4786" w:type="dxa"/>
            <w:gridSpan w:val="2"/>
          </w:tcPr>
          <w:p w:rsidR="002F658E" w:rsidRPr="002F658E" w:rsidRDefault="003B72F3" w:rsidP="00E51E56">
            <w:pPr>
              <w:jc w:val="both"/>
              <w:rPr>
                <w:rFonts w:ascii="Arial" w:hAnsi="Arial" w:cs="Arial"/>
                <w:sz w:val="22"/>
                <w:szCs w:val="22"/>
              </w:rPr>
            </w:pPr>
            <w:r>
              <w:rPr>
                <w:rFonts w:ascii="Arial" w:hAnsi="Arial" w:cs="Arial"/>
                <w:sz w:val="22"/>
                <w:szCs w:val="22"/>
              </w:rPr>
              <w:t>Ensure Board focus is strategic.</w:t>
            </w:r>
          </w:p>
        </w:tc>
        <w:tc>
          <w:tcPr>
            <w:tcW w:w="5103" w:type="dxa"/>
          </w:tcPr>
          <w:p w:rsidR="003B72F3" w:rsidRPr="002F658E" w:rsidRDefault="003B72F3" w:rsidP="003B72F3">
            <w:pPr>
              <w:jc w:val="both"/>
              <w:rPr>
                <w:rFonts w:ascii="Arial" w:hAnsi="Arial" w:cs="Arial"/>
                <w:sz w:val="22"/>
                <w:szCs w:val="22"/>
              </w:rPr>
            </w:pPr>
            <w:r w:rsidRPr="002F658E">
              <w:rPr>
                <w:rFonts w:ascii="Arial" w:hAnsi="Arial" w:cs="Arial"/>
                <w:sz w:val="22"/>
                <w:szCs w:val="22"/>
              </w:rPr>
              <w:t xml:space="preserve">Ensure that all Board papers are strategically focused so that Board Members can engage in discussion on the key issues. </w:t>
            </w:r>
          </w:p>
          <w:p w:rsidR="002F658E" w:rsidRPr="002F658E" w:rsidRDefault="002F658E" w:rsidP="00E51E56">
            <w:pPr>
              <w:jc w:val="both"/>
              <w:rPr>
                <w:rFonts w:ascii="Arial" w:hAnsi="Arial" w:cs="Arial"/>
                <w:sz w:val="22"/>
                <w:szCs w:val="22"/>
              </w:rPr>
            </w:pP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LBMs &amp; Executive</w:t>
            </w:r>
          </w:p>
        </w:tc>
        <w:tc>
          <w:tcPr>
            <w:tcW w:w="2693"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Ongoing.</w:t>
            </w:r>
          </w:p>
        </w:tc>
      </w:tr>
      <w:tr w:rsidR="002F658E" w:rsidTr="003B72F3">
        <w:tc>
          <w:tcPr>
            <w:tcW w:w="4786" w:type="dxa"/>
            <w:gridSpan w:val="2"/>
          </w:tcPr>
          <w:p w:rsidR="002F658E" w:rsidRPr="002F658E" w:rsidRDefault="003B72F3" w:rsidP="003B72F3">
            <w:pPr>
              <w:jc w:val="both"/>
              <w:rPr>
                <w:rFonts w:ascii="Arial" w:hAnsi="Arial" w:cs="Arial"/>
                <w:sz w:val="22"/>
                <w:szCs w:val="22"/>
              </w:rPr>
            </w:pPr>
            <w:r>
              <w:rPr>
                <w:rFonts w:ascii="Arial" w:hAnsi="Arial" w:cs="Arial"/>
                <w:sz w:val="22"/>
                <w:szCs w:val="22"/>
              </w:rPr>
              <w:t>Ensure right balance between strategy and operations is achieved.</w:t>
            </w:r>
          </w:p>
        </w:tc>
        <w:tc>
          <w:tcPr>
            <w:tcW w:w="5103" w:type="dxa"/>
          </w:tcPr>
          <w:p w:rsidR="003B72F3" w:rsidRPr="002F658E" w:rsidRDefault="003B72F3" w:rsidP="003B72F3">
            <w:pPr>
              <w:jc w:val="both"/>
              <w:rPr>
                <w:rFonts w:ascii="Arial" w:hAnsi="Arial" w:cs="Arial"/>
                <w:sz w:val="22"/>
                <w:szCs w:val="22"/>
              </w:rPr>
            </w:pPr>
            <w:r w:rsidRPr="002F658E">
              <w:rPr>
                <w:rFonts w:ascii="Arial" w:hAnsi="Arial" w:cs="Arial"/>
                <w:sz w:val="22"/>
                <w:szCs w:val="22"/>
              </w:rPr>
              <w:t>Ensure the Board has more time to focus on KPIs allowing time for discussion, by examining the options of either streamlining the format of the reports or by investigating the pros and cons of developing a ‘Value &amp; Performance’ sub-committee looking at spend and performance</w:t>
            </w:r>
            <w:r w:rsidR="00334661">
              <w:rPr>
                <w:rFonts w:ascii="Arial" w:hAnsi="Arial" w:cs="Arial"/>
                <w:sz w:val="22"/>
                <w:szCs w:val="22"/>
              </w:rPr>
              <w:t xml:space="preserve"> in a decision report for the Board</w:t>
            </w:r>
            <w:r w:rsidRPr="002F658E">
              <w:rPr>
                <w:rFonts w:ascii="Arial" w:hAnsi="Arial" w:cs="Arial"/>
                <w:sz w:val="22"/>
                <w:szCs w:val="22"/>
              </w:rPr>
              <w:t>.</w:t>
            </w:r>
          </w:p>
          <w:p w:rsidR="002F658E" w:rsidRPr="002F658E" w:rsidRDefault="002F658E" w:rsidP="00E51E56">
            <w:pPr>
              <w:jc w:val="both"/>
              <w:rPr>
                <w:rFonts w:ascii="Arial" w:hAnsi="Arial" w:cs="Arial"/>
                <w:sz w:val="22"/>
                <w:szCs w:val="22"/>
              </w:rPr>
            </w:pP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ML/TMc</w:t>
            </w:r>
            <w:r w:rsidR="00334661">
              <w:rPr>
                <w:rFonts w:ascii="Arial" w:hAnsi="Arial" w:cs="Arial"/>
                <w:sz w:val="22"/>
                <w:szCs w:val="22"/>
              </w:rPr>
              <w:t>/RC</w:t>
            </w:r>
          </w:p>
        </w:tc>
        <w:tc>
          <w:tcPr>
            <w:tcW w:w="2693" w:type="dxa"/>
            <w:gridSpan w:val="2"/>
          </w:tcPr>
          <w:p w:rsidR="00334661" w:rsidRPr="002F658E" w:rsidRDefault="00334661" w:rsidP="00E51E56">
            <w:pPr>
              <w:jc w:val="both"/>
              <w:rPr>
                <w:rFonts w:ascii="Arial" w:hAnsi="Arial" w:cs="Arial"/>
                <w:sz w:val="22"/>
                <w:szCs w:val="22"/>
              </w:rPr>
            </w:pPr>
            <w:r>
              <w:rPr>
                <w:rFonts w:ascii="Arial" w:hAnsi="Arial" w:cs="Arial"/>
                <w:sz w:val="22"/>
                <w:szCs w:val="22"/>
              </w:rPr>
              <w:t>Report to the Board in March 2017</w:t>
            </w:r>
          </w:p>
        </w:tc>
      </w:tr>
      <w:tr w:rsidR="002F658E" w:rsidTr="003B72F3">
        <w:tc>
          <w:tcPr>
            <w:tcW w:w="4786" w:type="dxa"/>
            <w:gridSpan w:val="2"/>
          </w:tcPr>
          <w:p w:rsidR="002F658E" w:rsidRPr="002F658E" w:rsidRDefault="003B72F3" w:rsidP="003B72F3">
            <w:pPr>
              <w:jc w:val="both"/>
              <w:rPr>
                <w:rFonts w:ascii="Arial" w:hAnsi="Arial" w:cs="Arial"/>
                <w:sz w:val="22"/>
                <w:szCs w:val="22"/>
              </w:rPr>
            </w:pPr>
            <w:r w:rsidRPr="002F658E">
              <w:rPr>
                <w:rFonts w:ascii="Arial" w:hAnsi="Arial" w:cs="Arial"/>
                <w:sz w:val="22"/>
                <w:szCs w:val="22"/>
              </w:rPr>
              <w:lastRenderedPageBreak/>
              <w:t>Improve communication between Horniman and Hexagon</w:t>
            </w:r>
            <w:r>
              <w:rPr>
                <w:rFonts w:ascii="Arial" w:hAnsi="Arial" w:cs="Arial"/>
                <w:sz w:val="22"/>
                <w:szCs w:val="22"/>
              </w:rPr>
              <w:t>.</w:t>
            </w:r>
          </w:p>
        </w:tc>
        <w:tc>
          <w:tcPr>
            <w:tcW w:w="5103" w:type="dxa"/>
          </w:tcPr>
          <w:p w:rsidR="003B72F3" w:rsidRPr="002F658E" w:rsidRDefault="003B72F3" w:rsidP="003B72F3">
            <w:pPr>
              <w:jc w:val="both"/>
              <w:rPr>
                <w:rFonts w:ascii="Arial" w:hAnsi="Arial" w:cs="Arial"/>
                <w:sz w:val="22"/>
                <w:szCs w:val="22"/>
              </w:rPr>
            </w:pPr>
            <w:r>
              <w:rPr>
                <w:rFonts w:ascii="Arial" w:hAnsi="Arial" w:cs="Arial"/>
                <w:sz w:val="22"/>
                <w:szCs w:val="22"/>
              </w:rPr>
              <w:t>En</w:t>
            </w:r>
            <w:r w:rsidRPr="002F658E">
              <w:rPr>
                <w:rFonts w:ascii="Arial" w:hAnsi="Arial" w:cs="Arial"/>
                <w:sz w:val="22"/>
                <w:szCs w:val="22"/>
              </w:rPr>
              <w:t>sur</w:t>
            </w:r>
            <w:r>
              <w:rPr>
                <w:rFonts w:ascii="Arial" w:hAnsi="Arial" w:cs="Arial"/>
                <w:sz w:val="22"/>
                <w:szCs w:val="22"/>
              </w:rPr>
              <w:t>e</w:t>
            </w:r>
            <w:r w:rsidRPr="002F658E">
              <w:rPr>
                <w:rFonts w:ascii="Arial" w:hAnsi="Arial" w:cs="Arial"/>
                <w:sz w:val="22"/>
                <w:szCs w:val="22"/>
              </w:rPr>
              <w:t xml:space="preserve"> all Horniman minutes are provided to the Hexagon Board.</w:t>
            </w:r>
          </w:p>
          <w:p w:rsidR="002F658E" w:rsidRPr="002F658E" w:rsidRDefault="002F658E" w:rsidP="00E51E56">
            <w:pPr>
              <w:jc w:val="both"/>
              <w:rPr>
                <w:rFonts w:ascii="Arial" w:hAnsi="Arial" w:cs="Arial"/>
                <w:sz w:val="22"/>
                <w:szCs w:val="22"/>
              </w:rPr>
            </w:pP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TMc.</w:t>
            </w:r>
          </w:p>
        </w:tc>
        <w:tc>
          <w:tcPr>
            <w:tcW w:w="2693"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With immediate effect.</w:t>
            </w:r>
          </w:p>
        </w:tc>
      </w:tr>
      <w:tr w:rsidR="004A104A" w:rsidTr="003B72F3">
        <w:tc>
          <w:tcPr>
            <w:tcW w:w="4786" w:type="dxa"/>
            <w:gridSpan w:val="2"/>
          </w:tcPr>
          <w:p w:rsidR="004A104A" w:rsidRDefault="004A104A" w:rsidP="00334661">
            <w:pPr>
              <w:jc w:val="both"/>
              <w:rPr>
                <w:rFonts w:ascii="Arial" w:hAnsi="Arial" w:cs="Arial"/>
                <w:sz w:val="22"/>
                <w:szCs w:val="22"/>
              </w:rPr>
            </w:pPr>
            <w:r>
              <w:rPr>
                <w:rFonts w:ascii="Arial" w:hAnsi="Arial" w:cs="Arial"/>
                <w:sz w:val="22"/>
                <w:szCs w:val="22"/>
              </w:rPr>
              <w:t xml:space="preserve">Ensure resident engagement with the Board continues to evolve in a positive way. </w:t>
            </w:r>
          </w:p>
        </w:tc>
        <w:tc>
          <w:tcPr>
            <w:tcW w:w="5103" w:type="dxa"/>
          </w:tcPr>
          <w:p w:rsidR="004A104A" w:rsidRPr="003B72F3" w:rsidRDefault="00334661" w:rsidP="003B72F3">
            <w:pPr>
              <w:jc w:val="both"/>
              <w:rPr>
                <w:rFonts w:ascii="Arial" w:hAnsi="Arial" w:cs="Arial"/>
                <w:sz w:val="22"/>
                <w:szCs w:val="22"/>
              </w:rPr>
            </w:pPr>
            <w:r>
              <w:rPr>
                <w:rFonts w:ascii="Arial" w:hAnsi="Arial" w:cs="Arial"/>
                <w:sz w:val="22"/>
                <w:szCs w:val="22"/>
              </w:rPr>
              <w:t>Work with the Residents Forum following their consultants review to create a more effective consultation forum re: strategy and policy</w:t>
            </w:r>
          </w:p>
        </w:tc>
        <w:tc>
          <w:tcPr>
            <w:tcW w:w="1701" w:type="dxa"/>
            <w:gridSpan w:val="2"/>
          </w:tcPr>
          <w:p w:rsidR="004A104A" w:rsidRPr="002F658E" w:rsidRDefault="00334661" w:rsidP="00E51E56">
            <w:pPr>
              <w:jc w:val="both"/>
              <w:rPr>
                <w:rFonts w:ascii="Arial" w:hAnsi="Arial" w:cs="Arial"/>
                <w:sz w:val="22"/>
                <w:szCs w:val="22"/>
              </w:rPr>
            </w:pPr>
            <w:r>
              <w:rPr>
                <w:rFonts w:ascii="Arial" w:hAnsi="Arial" w:cs="Arial"/>
                <w:sz w:val="22"/>
                <w:szCs w:val="22"/>
              </w:rPr>
              <w:t>CM/RMC</w:t>
            </w:r>
          </w:p>
        </w:tc>
        <w:tc>
          <w:tcPr>
            <w:tcW w:w="2693" w:type="dxa"/>
            <w:gridSpan w:val="2"/>
          </w:tcPr>
          <w:p w:rsidR="004A104A" w:rsidRPr="002F658E" w:rsidRDefault="00334661" w:rsidP="00E51E56">
            <w:pPr>
              <w:jc w:val="both"/>
              <w:rPr>
                <w:rFonts w:ascii="Arial" w:hAnsi="Arial" w:cs="Arial"/>
                <w:sz w:val="22"/>
                <w:szCs w:val="22"/>
              </w:rPr>
            </w:pPr>
            <w:r>
              <w:rPr>
                <w:rFonts w:ascii="Arial" w:hAnsi="Arial" w:cs="Arial"/>
                <w:sz w:val="22"/>
                <w:szCs w:val="22"/>
              </w:rPr>
              <w:t>Completed by March 2017</w:t>
            </w:r>
          </w:p>
        </w:tc>
      </w:tr>
      <w:tr w:rsidR="002F658E" w:rsidTr="003B72F3">
        <w:tc>
          <w:tcPr>
            <w:tcW w:w="4786" w:type="dxa"/>
            <w:gridSpan w:val="2"/>
          </w:tcPr>
          <w:p w:rsidR="002F658E" w:rsidRPr="002F658E" w:rsidRDefault="003B72F3" w:rsidP="00E51E56">
            <w:pPr>
              <w:jc w:val="both"/>
              <w:rPr>
                <w:rFonts w:ascii="Arial" w:hAnsi="Arial" w:cs="Arial"/>
                <w:sz w:val="22"/>
                <w:szCs w:val="22"/>
              </w:rPr>
            </w:pPr>
            <w:r>
              <w:rPr>
                <w:rFonts w:ascii="Arial" w:hAnsi="Arial" w:cs="Arial"/>
                <w:sz w:val="22"/>
                <w:szCs w:val="22"/>
              </w:rPr>
              <w:t>Ensure all Board Members contribute to m</w:t>
            </w:r>
            <w:r w:rsidR="002F658E" w:rsidRPr="002F658E">
              <w:rPr>
                <w:rFonts w:ascii="Arial" w:hAnsi="Arial" w:cs="Arial"/>
                <w:sz w:val="22"/>
                <w:szCs w:val="22"/>
              </w:rPr>
              <w:t xml:space="preserve">anaging </w:t>
            </w:r>
            <w:r>
              <w:rPr>
                <w:rFonts w:ascii="Arial" w:hAnsi="Arial" w:cs="Arial"/>
                <w:sz w:val="22"/>
                <w:szCs w:val="22"/>
              </w:rPr>
              <w:t>r</w:t>
            </w:r>
            <w:r w:rsidR="002F658E" w:rsidRPr="002F658E">
              <w:rPr>
                <w:rFonts w:ascii="Arial" w:hAnsi="Arial" w:cs="Arial"/>
                <w:sz w:val="22"/>
                <w:szCs w:val="22"/>
              </w:rPr>
              <w:t>isk.</w:t>
            </w:r>
          </w:p>
        </w:tc>
        <w:tc>
          <w:tcPr>
            <w:tcW w:w="5103" w:type="dxa"/>
          </w:tcPr>
          <w:p w:rsidR="002F658E" w:rsidRPr="003B72F3" w:rsidRDefault="003B72F3" w:rsidP="003B72F3">
            <w:pPr>
              <w:jc w:val="both"/>
              <w:rPr>
                <w:rFonts w:ascii="Arial" w:hAnsi="Arial" w:cs="Arial"/>
                <w:sz w:val="22"/>
                <w:szCs w:val="22"/>
              </w:rPr>
            </w:pPr>
            <w:r w:rsidRPr="003B72F3">
              <w:rPr>
                <w:rFonts w:ascii="Arial" w:hAnsi="Arial" w:cs="Arial"/>
                <w:sz w:val="22"/>
                <w:szCs w:val="22"/>
              </w:rPr>
              <w:t>Ensure all Board Members are properly trained where there are gaps identified</w:t>
            </w:r>
            <w:r>
              <w:rPr>
                <w:rFonts w:ascii="Arial" w:hAnsi="Arial" w:cs="Arial"/>
                <w:sz w:val="22"/>
                <w:szCs w:val="22"/>
              </w:rPr>
              <w:t>.</w:t>
            </w:r>
          </w:p>
        </w:tc>
        <w:tc>
          <w:tcPr>
            <w:tcW w:w="1701"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RC/IW/TMc</w:t>
            </w:r>
          </w:p>
        </w:tc>
        <w:tc>
          <w:tcPr>
            <w:tcW w:w="2693" w:type="dxa"/>
            <w:gridSpan w:val="2"/>
          </w:tcPr>
          <w:p w:rsidR="002F658E" w:rsidRPr="002F658E" w:rsidRDefault="002F658E" w:rsidP="00E51E56">
            <w:pPr>
              <w:jc w:val="both"/>
              <w:rPr>
                <w:rFonts w:ascii="Arial" w:hAnsi="Arial" w:cs="Arial"/>
                <w:sz w:val="22"/>
                <w:szCs w:val="22"/>
              </w:rPr>
            </w:pPr>
            <w:r w:rsidRPr="002F658E">
              <w:rPr>
                <w:rFonts w:ascii="Arial" w:hAnsi="Arial" w:cs="Arial"/>
                <w:sz w:val="22"/>
                <w:szCs w:val="22"/>
              </w:rPr>
              <w:t>Each summer via Performance Reviews.</w:t>
            </w:r>
          </w:p>
        </w:tc>
      </w:tr>
    </w:tbl>
    <w:p w:rsidR="004F5F30" w:rsidRDefault="006E0EAC"/>
    <w:sectPr w:rsidR="004F5F30" w:rsidSect="002F65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163"/>
    <w:multiLevelType w:val="hybridMultilevel"/>
    <w:tmpl w:val="2E607686"/>
    <w:lvl w:ilvl="0" w:tplc="2098BEE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B86CF8"/>
    <w:multiLevelType w:val="hybridMultilevel"/>
    <w:tmpl w:val="CA3A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8E"/>
    <w:rsid w:val="002F658E"/>
    <w:rsid w:val="00334661"/>
    <w:rsid w:val="003B72F3"/>
    <w:rsid w:val="004A104A"/>
    <w:rsid w:val="006E0EAC"/>
    <w:rsid w:val="00CF1171"/>
    <w:rsid w:val="00DA24E8"/>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58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58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2016-11-21T15:36:00Z</cp:lastPrinted>
  <dcterms:created xsi:type="dcterms:W3CDTF">2016-12-02T11:08:00Z</dcterms:created>
  <dcterms:modified xsi:type="dcterms:W3CDTF">2016-12-02T11:08:00Z</dcterms:modified>
</cp:coreProperties>
</file>