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2"/>
        <w:gridCol w:w="4873"/>
        <w:gridCol w:w="1512"/>
        <w:gridCol w:w="1417"/>
        <w:gridCol w:w="2410"/>
        <w:gridCol w:w="1450"/>
      </w:tblGrid>
      <w:tr w:rsidR="006E3298" w:rsidRPr="008955F5" w:rsidTr="004E196F">
        <w:trPr>
          <w:tblHeader/>
        </w:trPr>
        <w:tc>
          <w:tcPr>
            <w:tcW w:w="2512" w:type="dxa"/>
          </w:tcPr>
          <w:p w:rsidR="006E3298" w:rsidRPr="008955F5" w:rsidRDefault="006E3298">
            <w:pPr>
              <w:rPr>
                <w:b/>
              </w:rPr>
            </w:pPr>
            <w:r w:rsidRPr="008955F5">
              <w:rPr>
                <w:b/>
              </w:rPr>
              <w:t>Governance and Financial Viability Standard</w:t>
            </w:r>
          </w:p>
        </w:tc>
        <w:tc>
          <w:tcPr>
            <w:tcW w:w="4873" w:type="dxa"/>
          </w:tcPr>
          <w:p w:rsidR="006E3298" w:rsidRPr="008955F5" w:rsidRDefault="006E3298" w:rsidP="00C24B42">
            <w:pPr>
              <w:rPr>
                <w:b/>
              </w:rPr>
            </w:pPr>
            <w:r w:rsidRPr="008955F5">
              <w:rPr>
                <w:b/>
              </w:rPr>
              <w:t xml:space="preserve">Governance and Financial Viability Standard code of practice (which “amplifies” the requirements in the Standard) (n.b. the numbering below refers to paragraphs as numbered in the Code) </w:t>
            </w:r>
          </w:p>
        </w:tc>
        <w:tc>
          <w:tcPr>
            <w:tcW w:w="1512" w:type="dxa"/>
          </w:tcPr>
          <w:p w:rsidR="006E3298" w:rsidRPr="008955F5" w:rsidRDefault="00C47BD9">
            <w:pPr>
              <w:rPr>
                <w:b/>
              </w:rPr>
            </w:pPr>
            <w:r w:rsidRPr="008955F5">
              <w:rPr>
                <w:b/>
              </w:rPr>
              <w:t>Fully, P</w:t>
            </w:r>
            <w:r w:rsidR="006E3298" w:rsidRPr="008955F5">
              <w:rPr>
                <w:b/>
              </w:rPr>
              <w:t xml:space="preserve">artially, or </w:t>
            </w:r>
            <w:r w:rsidRPr="008955F5">
              <w:rPr>
                <w:b/>
              </w:rPr>
              <w:t>N</w:t>
            </w:r>
            <w:r w:rsidR="006E3298" w:rsidRPr="008955F5">
              <w:rPr>
                <w:b/>
              </w:rPr>
              <w:t>on- compliant rating</w:t>
            </w:r>
            <w:r w:rsidR="001D6EF6" w:rsidRPr="008955F5">
              <w:rPr>
                <w:b/>
              </w:rPr>
              <w:t xml:space="preserve"> (F,</w:t>
            </w:r>
            <w:r w:rsidR="0041065E" w:rsidRPr="008955F5">
              <w:rPr>
                <w:b/>
              </w:rPr>
              <w:t xml:space="preserve"> P, N) </w:t>
            </w:r>
          </w:p>
        </w:tc>
        <w:tc>
          <w:tcPr>
            <w:tcW w:w="1417" w:type="dxa"/>
          </w:tcPr>
          <w:p w:rsidR="006E3298" w:rsidRPr="008955F5" w:rsidRDefault="001D6EF6">
            <w:pPr>
              <w:rPr>
                <w:b/>
              </w:rPr>
            </w:pPr>
            <w:r w:rsidRPr="008955F5">
              <w:rPr>
                <w:b/>
              </w:rPr>
              <w:t>Explanation i</w:t>
            </w:r>
            <w:r w:rsidR="006E3298" w:rsidRPr="008955F5">
              <w:rPr>
                <w:b/>
              </w:rPr>
              <w:t xml:space="preserve">f any possible </w:t>
            </w:r>
            <w:r w:rsidR="00C47BD9" w:rsidRPr="008955F5">
              <w:rPr>
                <w:b/>
              </w:rPr>
              <w:t>Gaps in assuring C</w:t>
            </w:r>
            <w:r w:rsidR="006E3298" w:rsidRPr="008955F5">
              <w:rPr>
                <w:b/>
              </w:rPr>
              <w:t xml:space="preserve">ompliance </w:t>
            </w:r>
          </w:p>
        </w:tc>
        <w:tc>
          <w:tcPr>
            <w:tcW w:w="2410" w:type="dxa"/>
          </w:tcPr>
          <w:p w:rsidR="006E3298" w:rsidRPr="008955F5" w:rsidRDefault="00C47BD9">
            <w:pPr>
              <w:rPr>
                <w:b/>
              </w:rPr>
            </w:pPr>
            <w:r w:rsidRPr="008955F5">
              <w:rPr>
                <w:b/>
              </w:rPr>
              <w:t>Sources of Evidence of C</w:t>
            </w:r>
            <w:r w:rsidR="006E3298" w:rsidRPr="008955F5">
              <w:rPr>
                <w:b/>
              </w:rPr>
              <w:t>ompliance</w:t>
            </w:r>
            <w:r w:rsidRPr="008955F5">
              <w:rPr>
                <w:b/>
              </w:rPr>
              <w:t xml:space="preserve"> </w:t>
            </w:r>
            <w:r w:rsidR="001D6EF6" w:rsidRPr="008955F5">
              <w:rPr>
                <w:b/>
              </w:rPr>
              <w:t xml:space="preserve">(Internal and External) </w:t>
            </w:r>
            <w:r w:rsidR="006E3298" w:rsidRPr="008955F5">
              <w:rPr>
                <w:b/>
              </w:rPr>
              <w:t xml:space="preserve"> </w:t>
            </w:r>
          </w:p>
        </w:tc>
        <w:tc>
          <w:tcPr>
            <w:tcW w:w="1450" w:type="dxa"/>
          </w:tcPr>
          <w:p w:rsidR="0041065E" w:rsidRPr="008955F5" w:rsidRDefault="006E3298">
            <w:pPr>
              <w:rPr>
                <w:b/>
              </w:rPr>
            </w:pPr>
            <w:r w:rsidRPr="008955F5">
              <w:rPr>
                <w:b/>
              </w:rPr>
              <w:t>Level of Assurance</w:t>
            </w:r>
            <w:r w:rsidR="001D6EF6" w:rsidRPr="008955F5">
              <w:rPr>
                <w:b/>
              </w:rPr>
              <w:t>:</w:t>
            </w:r>
          </w:p>
          <w:p w:rsidR="006E3298" w:rsidRPr="008955F5" w:rsidRDefault="001D6EF6">
            <w:pPr>
              <w:rPr>
                <w:b/>
              </w:rPr>
            </w:pPr>
            <w:r w:rsidRPr="008955F5">
              <w:rPr>
                <w:b/>
              </w:rPr>
              <w:t>High, Medium, Limited, or None (</w:t>
            </w:r>
            <w:r w:rsidR="0041065E" w:rsidRPr="008955F5">
              <w:rPr>
                <w:b/>
              </w:rPr>
              <w:t>H,M,L,N)</w:t>
            </w:r>
            <w:r w:rsidR="006E3298" w:rsidRPr="008955F5">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t>1 Required outcomes</w:t>
            </w:r>
          </w:p>
        </w:tc>
        <w:tc>
          <w:tcPr>
            <w:tcW w:w="4873" w:type="dxa"/>
          </w:tcPr>
          <w:p w:rsidR="006E3298" w:rsidRPr="003B3C77" w:rsidRDefault="006E3298">
            <w:pPr>
              <w:rPr>
                <w:b/>
                <w:sz w:val="24"/>
                <w:szCs w:val="24"/>
              </w:rPr>
            </w:pPr>
            <w:r w:rsidRPr="003B3C77">
              <w:rPr>
                <w:b/>
                <w:sz w:val="24"/>
                <w:szCs w:val="24"/>
              </w:rPr>
              <w:t>Required outcomes</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831DD0">
        <w:trPr>
          <w:trHeight w:val="628"/>
        </w:trPr>
        <w:tc>
          <w:tcPr>
            <w:tcW w:w="2512" w:type="dxa"/>
          </w:tcPr>
          <w:p w:rsidR="006E3298" w:rsidRPr="003F64FA" w:rsidRDefault="006E3298">
            <w:pPr>
              <w:rPr>
                <w:b/>
              </w:rPr>
            </w:pPr>
            <w:r w:rsidRPr="003F64FA">
              <w:rPr>
                <w:b/>
                <w:color w:val="000000" w:themeColor="text1"/>
              </w:rPr>
              <w:t>1.1 Governance</w:t>
            </w:r>
          </w:p>
        </w:tc>
        <w:tc>
          <w:tcPr>
            <w:tcW w:w="4873" w:type="dxa"/>
          </w:tcPr>
          <w:p w:rsidR="006E3298" w:rsidRPr="00C47BD9" w:rsidRDefault="006E3298">
            <w:r w:rsidRPr="00C47BD9">
              <w:t>Paragraph 1.1: governance required outcome</w:t>
            </w:r>
          </w:p>
          <w:p w:rsidR="006E3298" w:rsidRPr="002B0492" w:rsidRDefault="006E3298">
            <w:pPr>
              <w:rPr>
                <w:u w:val="single"/>
              </w:rPr>
            </w:pP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Registered providers shall ensure effective governance arrangements that deliver their aims, objectives and intended outcomes for tenants and potential tenants in an effective, transparent and accountable manner. Governance arrangements shall ensure registered providers: (a) adhere to all relevant law (b) comply with their governing documents and all regulatory requirements (c) are accountable to tenants, the regulator and relevant stakeholders (d) </w:t>
            </w:r>
            <w:r>
              <w:lastRenderedPageBreak/>
              <w:t>safeguard taxpayers’ interests and the reputation of the sector (e) have an effective risk management and internal controls assurance framework (f) protect social housing assets</w:t>
            </w:r>
          </w:p>
        </w:tc>
        <w:tc>
          <w:tcPr>
            <w:tcW w:w="4873" w:type="dxa"/>
          </w:tcPr>
          <w:p w:rsidR="006E3298" w:rsidRDefault="006E3298">
            <w:r>
              <w:lastRenderedPageBreak/>
              <w:t xml:space="preserve">6 The required outcome for governance ensures the delivery of a registered provider’s objectives, including being responsible holders and stewards of social housing assets. The regulator considers the reference to compliance with ‘all relevant law’ in the first bullet point encompasses legislation (including secondary legislation), and common law. In ensuring compliance registered providers should have regard to relevant statutory guidance. To meet the required outcome on adherence to all relevant law boards should take reasonable measures to assure themselves of their compliance. </w:t>
            </w:r>
          </w:p>
          <w:p w:rsidR="006E3298" w:rsidRDefault="006E3298"/>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943741" w:rsidRDefault="00943741"/>
          <w:p w:rsidR="00831DD0" w:rsidRDefault="00831DD0"/>
          <w:p w:rsidR="00831DD0" w:rsidRDefault="00831DD0"/>
          <w:p w:rsidR="00831DD0" w:rsidRDefault="00831DD0"/>
          <w:p w:rsidR="00831DD0" w:rsidRDefault="00831DD0"/>
          <w:p w:rsidR="00831DD0" w:rsidRDefault="00831DD0"/>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0C4353" w:rsidRDefault="000C4353"/>
          <w:p w:rsidR="006E3298" w:rsidRDefault="006E3298">
            <w:r>
              <w:t>7 The fourth bullet point concerns reputation. Reputation is key in maintaining confidence in the sector. The social housing sector has benefited from being part of a regulated sector with low lending rates combined with the availability of public investment. Registered providers should ensure that they manage their businesses and their risks in such a way that they do not negatively impact on the reputation of the sector.</w:t>
            </w:r>
          </w:p>
          <w:p w:rsidR="008955F5" w:rsidRDefault="008955F5"/>
        </w:tc>
        <w:tc>
          <w:tcPr>
            <w:tcW w:w="1512" w:type="dxa"/>
          </w:tcPr>
          <w:p w:rsidR="006E3298" w:rsidRPr="008F7A8E" w:rsidRDefault="008F7A8E">
            <w:pPr>
              <w:rPr>
                <w:b/>
              </w:rPr>
            </w:pPr>
            <w:r w:rsidRPr="008F7A8E">
              <w:rPr>
                <w:b/>
              </w:rPr>
              <w:lastRenderedPageBreak/>
              <w:t>F</w:t>
            </w:r>
          </w:p>
        </w:tc>
        <w:tc>
          <w:tcPr>
            <w:tcW w:w="1417" w:type="dxa"/>
          </w:tcPr>
          <w:p w:rsidR="006E3298" w:rsidRPr="000C4353" w:rsidRDefault="000C4353">
            <w:pPr>
              <w:rPr>
                <w:b/>
              </w:rPr>
            </w:pPr>
            <w:r w:rsidRPr="000C4353">
              <w:rPr>
                <w:b/>
              </w:rPr>
              <w:t xml:space="preserve">None </w:t>
            </w:r>
          </w:p>
        </w:tc>
        <w:tc>
          <w:tcPr>
            <w:tcW w:w="2410" w:type="dxa"/>
          </w:tcPr>
          <w:p w:rsidR="00831DD0" w:rsidRPr="00831DD0" w:rsidRDefault="00831DD0">
            <w:pPr>
              <w:rPr>
                <w:b/>
              </w:rPr>
            </w:pPr>
            <w:r w:rsidRPr="00831DD0">
              <w:rPr>
                <w:b/>
              </w:rPr>
              <w:t xml:space="preserve">Internal </w:t>
            </w:r>
          </w:p>
          <w:p w:rsidR="00943741" w:rsidRDefault="008F7A8E">
            <w:r>
              <w:t xml:space="preserve">The Audit and Risk Committee and then the full Board agreed a methodology for monitoring compliance with “all relevant law” during 2015/16 which they deemed to constitute “reasonable measures”. This involved first developing a comprehensive list of “all relevant law” which was developed in conjunction with our L8 HA peers in London. This list was circulated to all Board members, Directors, and Managers to determine </w:t>
            </w:r>
            <w:r>
              <w:lastRenderedPageBreak/>
              <w:t xml:space="preserve">whether anyone was aware of any failures to comply with “all relevant law” during 2015/16. The vast majority of the returns indicated no known breach of relevant law. The process did identify a small number of areas where there had been some minor/technical breaches. This included a </w:t>
            </w:r>
            <w:r w:rsidR="00943741">
              <w:t xml:space="preserve">minor </w:t>
            </w:r>
            <w:r>
              <w:t>technical breach of a planning condition</w:t>
            </w:r>
            <w:r w:rsidR="00943741">
              <w:t xml:space="preserve"> relating to the use of a bin store (Town </w:t>
            </w:r>
            <w:r w:rsidR="008E23C0">
              <w:t>and Country</w:t>
            </w:r>
            <w:r w:rsidR="00943741">
              <w:t xml:space="preserve"> Planning Act 1990), some work plan delays from 15-16 to 16-17 to complete a programme of temperature testing of water in all our shared housing (Legionella L8 Code of Practice), a </w:t>
            </w:r>
            <w:r w:rsidR="00943741">
              <w:lastRenderedPageBreak/>
              <w:t xml:space="preserve">failure to destroy some old archive materials (Data Protection Act 1998), and lastly, a technical breach of copyright law arising from </w:t>
            </w:r>
            <w:r w:rsidR="008E23C0">
              <w:t>the photocopying</w:t>
            </w:r>
            <w:r w:rsidR="00943741">
              <w:t xml:space="preserve"> of trade journal article in a Board report. None of these minor/technical issues were deemed by the Board to be incompatible with meeting the Regulatory Governance standard.  </w:t>
            </w:r>
          </w:p>
          <w:p w:rsidR="00831DD0" w:rsidRDefault="00831DD0"/>
          <w:p w:rsidR="00831DD0" w:rsidRDefault="00831DD0">
            <w:pPr>
              <w:rPr>
                <w:b/>
              </w:rPr>
            </w:pPr>
            <w:r w:rsidRPr="00831DD0">
              <w:rPr>
                <w:b/>
              </w:rPr>
              <w:t>External</w:t>
            </w:r>
          </w:p>
          <w:p w:rsidR="00831DD0" w:rsidRPr="00831DD0" w:rsidRDefault="00831DD0">
            <w:r>
              <w:t xml:space="preserve">The Audit and Risk Committee receive regular reports on “compliance “ from the Internal Auditors and these reports cover several areas where we have important legal </w:t>
            </w:r>
            <w:r>
              <w:lastRenderedPageBreak/>
              <w:t>obligations to discharge, including Gas Safety,</w:t>
            </w:r>
            <w:r w:rsidR="000C4353">
              <w:t xml:space="preserve"> Water checks, Fire Risk Assessments, Asbestos checks, and DBS checks. Many of these areas are also separately reported on quarterly to the full Board via the Performance Indicator (PI) Board report     </w:t>
            </w:r>
            <w:r>
              <w:t xml:space="preserve"> </w:t>
            </w:r>
          </w:p>
          <w:p w:rsidR="00943741" w:rsidRDefault="00943741"/>
          <w:p w:rsidR="00831DD0" w:rsidRDefault="00831DD0"/>
          <w:p w:rsidR="000C4353" w:rsidRDefault="000C4353">
            <w:pPr>
              <w:rPr>
                <w:b/>
              </w:rPr>
            </w:pPr>
          </w:p>
          <w:p w:rsidR="000C4353" w:rsidRDefault="000C4353">
            <w:pPr>
              <w:rPr>
                <w:b/>
              </w:rPr>
            </w:pPr>
          </w:p>
          <w:p w:rsidR="00831DD0" w:rsidRPr="00831DD0" w:rsidRDefault="00831DD0">
            <w:pPr>
              <w:rPr>
                <w:b/>
              </w:rPr>
            </w:pPr>
            <w:r w:rsidRPr="00831DD0">
              <w:rPr>
                <w:b/>
              </w:rPr>
              <w:t xml:space="preserve">Internal </w:t>
            </w:r>
          </w:p>
          <w:p w:rsidR="006E3298" w:rsidRDefault="00943741">
            <w:r>
              <w:t xml:space="preserve">Hexagon has </w:t>
            </w:r>
            <w:r w:rsidR="00402F70">
              <w:t xml:space="preserve">positively </w:t>
            </w:r>
            <w:r>
              <w:t xml:space="preserve">managed its business and risks during 2015/16 in such a way as to avoid any negative </w:t>
            </w:r>
            <w:r w:rsidR="00402F70">
              <w:t xml:space="preserve">impact on the reputation of the sector. </w:t>
            </w:r>
            <w:r>
              <w:t xml:space="preserve">   </w:t>
            </w:r>
            <w:r w:rsidR="008F7A8E">
              <w:t xml:space="preserve">     </w:t>
            </w:r>
          </w:p>
        </w:tc>
        <w:tc>
          <w:tcPr>
            <w:tcW w:w="1450" w:type="dxa"/>
          </w:tcPr>
          <w:p w:rsidR="006E3298" w:rsidRDefault="00831DD0">
            <w:pPr>
              <w:rPr>
                <w:b/>
              </w:rPr>
            </w:pPr>
            <w:r w:rsidRPr="00831DD0">
              <w:rPr>
                <w:b/>
              </w:rPr>
              <w:lastRenderedPageBreak/>
              <w:t>M</w:t>
            </w:r>
          </w:p>
          <w:p w:rsidR="00831DD0" w:rsidRDefault="00831DD0">
            <w:pPr>
              <w:rPr>
                <w:b/>
              </w:rPr>
            </w:pPr>
          </w:p>
          <w:p w:rsidR="00831DD0" w:rsidRPr="00831DD0" w:rsidRDefault="00831DD0" w:rsidP="00831DD0"/>
        </w:tc>
      </w:tr>
      <w:tr w:rsidR="006E3298" w:rsidTr="00402F70">
        <w:tc>
          <w:tcPr>
            <w:tcW w:w="2512" w:type="dxa"/>
          </w:tcPr>
          <w:p w:rsidR="006E3298" w:rsidRPr="002B454F" w:rsidRDefault="006E3298">
            <w:pPr>
              <w:rPr>
                <w:b/>
              </w:rPr>
            </w:pPr>
            <w:r w:rsidRPr="002B454F">
              <w:rPr>
                <w:b/>
              </w:rPr>
              <w:lastRenderedPageBreak/>
              <w:t>1.2 Financial viability</w:t>
            </w:r>
          </w:p>
        </w:tc>
        <w:tc>
          <w:tcPr>
            <w:tcW w:w="4873" w:type="dxa"/>
          </w:tcPr>
          <w:p w:rsidR="006E3298" w:rsidRPr="00DF5409" w:rsidRDefault="006E3298" w:rsidP="002B0492">
            <w:r w:rsidRPr="00DF5409">
              <w:t xml:space="preserve">Paragraph 1.2: financial viability required outcome </w:t>
            </w:r>
          </w:p>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lastRenderedPageBreak/>
              <w:t>Registered providers shall manage their resources effectively to ensure their viability is maintained while ensuring that social housing assets are not put at undue risk</w:t>
            </w:r>
          </w:p>
        </w:tc>
        <w:tc>
          <w:tcPr>
            <w:tcW w:w="4873" w:type="dxa"/>
          </w:tcPr>
          <w:p w:rsidR="006E3298" w:rsidRDefault="006E3298">
            <w:r>
              <w:t xml:space="preserve">8 Registered providers should take all such steps as are reasonably necessary to ensure that any activities they undertake do not place social housing assets, activities relating to the provision of social housing or their own financial viability at undue risk. The regulator recognises that registered providers should have the flexibility to consider risks in light of their individual circumstances. Boards of registered providers have the responsibility to satisfy themselves and provide assurance to the regulator that: </w:t>
            </w:r>
            <w:r>
              <w:sym w:font="Symbol" w:char="F0B7"/>
            </w:r>
            <w:r>
              <w:t xml:space="preserve"> they have considered the requirement appropriately in relation to their own external and internal operating environment </w:t>
            </w:r>
            <w:r>
              <w:sym w:font="Symbol" w:char="F0B7"/>
            </w:r>
            <w:r>
              <w:t xml:space="preserve"> they are satisfied they will comply with regulatory requirements now and in the foreseeable future </w:t>
            </w:r>
          </w:p>
          <w:p w:rsidR="006E3298" w:rsidRDefault="006E3298"/>
          <w:p w:rsidR="006E3298" w:rsidRDefault="006E3298">
            <w:r>
              <w:t xml:space="preserve">9 Examples of what the regulator considers to be unacceptable outcomes resulting from social housing assets being put at undue risk are outlined below. These examples are not intended to be exhaustive but rather to give context to registered providers in considering the risks within their business: </w:t>
            </w:r>
            <w:r>
              <w:sym w:font="Symbol" w:char="F0B7"/>
            </w:r>
            <w:r>
              <w:t xml:space="preserve"> loss of social housing assets and/or tenants losing their home or the benefits of being </w:t>
            </w:r>
            <w:bookmarkStart w:id="0" w:name="_GoBack"/>
            <w:bookmarkEnd w:id="0"/>
            <w:r>
              <w:lastRenderedPageBreak/>
              <w:t xml:space="preserve">within a regulated sector due to lenders or others enforcing their security or insolvency </w:t>
            </w:r>
            <w:r>
              <w:sym w:font="Symbol" w:char="F0B7"/>
            </w:r>
            <w:r>
              <w:t xml:space="preserve"> loss of social housing assets where the sale of those assets is the result of poor business planning and decisions or where the reason for the sale is to make good an unplanned cash shortfall </w:t>
            </w:r>
          </w:p>
          <w:p w:rsidR="006E3298" w:rsidRDefault="006E3298"/>
          <w:p w:rsidR="006E3298" w:rsidRDefault="006E3298">
            <w:r>
              <w:t>10 The regulator recognises every business decision will carry risk and sometimes those risks will crystallise. There is, however, a difference between managed risk and uncontrolled loss. The regulator expects boards to manage the business to promote the former and avoid the latter. In addition, the regulator does not intend that all social housing assets should remain in the sector for ever. However, the value in the assets should not be lost to the sector. Under the Value for Money Standard, registered providers are expected to consider how to make best use of their assets.</w:t>
            </w:r>
          </w:p>
        </w:tc>
        <w:tc>
          <w:tcPr>
            <w:tcW w:w="1512" w:type="dxa"/>
          </w:tcPr>
          <w:p w:rsidR="006E3298" w:rsidRPr="00960844" w:rsidRDefault="00C106B8">
            <w:pPr>
              <w:rPr>
                <w:b/>
              </w:rPr>
            </w:pPr>
            <w:r w:rsidRPr="00960844">
              <w:rPr>
                <w:b/>
              </w:rPr>
              <w:lastRenderedPageBreak/>
              <w:t>F</w:t>
            </w:r>
          </w:p>
        </w:tc>
        <w:tc>
          <w:tcPr>
            <w:tcW w:w="1417" w:type="dxa"/>
          </w:tcPr>
          <w:p w:rsidR="006E3298" w:rsidRPr="00960844" w:rsidRDefault="00C106B8">
            <w:pPr>
              <w:rPr>
                <w:b/>
              </w:rPr>
            </w:pPr>
            <w:r w:rsidRPr="00960844">
              <w:rPr>
                <w:b/>
              </w:rPr>
              <w:t xml:space="preserve">None </w:t>
            </w:r>
          </w:p>
        </w:tc>
        <w:tc>
          <w:tcPr>
            <w:tcW w:w="2410" w:type="dxa"/>
          </w:tcPr>
          <w:p w:rsidR="00CB1773" w:rsidRPr="00CB1773" w:rsidRDefault="00CB1773">
            <w:pPr>
              <w:rPr>
                <w:b/>
              </w:rPr>
            </w:pPr>
            <w:r w:rsidRPr="00CB1773">
              <w:rPr>
                <w:b/>
              </w:rPr>
              <w:t xml:space="preserve">Internal </w:t>
            </w:r>
          </w:p>
          <w:p w:rsidR="00C106B8" w:rsidRDefault="006E2746">
            <w:r>
              <w:t>I</w:t>
            </w:r>
            <w:r w:rsidR="00C106B8">
              <w:t>n respect of borrowings to support investment in housing for outright sale</w:t>
            </w:r>
            <w:r>
              <w:t xml:space="preserve"> (as delivered via Horniman HA)</w:t>
            </w:r>
            <w:r w:rsidR="00CB1773">
              <w:t xml:space="preserve">, </w:t>
            </w:r>
            <w:r w:rsidR="00C106B8">
              <w:t xml:space="preserve">the Board have </w:t>
            </w:r>
            <w:r w:rsidR="008E23C0">
              <w:t>explicitly defined</w:t>
            </w:r>
            <w:r w:rsidR="00C106B8">
              <w:t xml:space="preserve"> their financial “risk appetite” and this has resulted in a </w:t>
            </w:r>
            <w:r w:rsidR="00CB1773">
              <w:t>Board approved limit</w:t>
            </w:r>
            <w:r w:rsidR="00C106B8">
              <w:t xml:space="preserve"> on the investment allow</w:t>
            </w:r>
            <w:r w:rsidR="00CB1773">
              <w:t>ed at any given time of £10.5m.</w:t>
            </w:r>
          </w:p>
          <w:p w:rsidR="00C106B8" w:rsidRDefault="00C106B8"/>
          <w:p w:rsidR="003777A6" w:rsidRDefault="00CB1773">
            <w:r>
              <w:t xml:space="preserve">This financial risk appetite and </w:t>
            </w:r>
            <w:r w:rsidR="006E2746">
              <w:t xml:space="preserve">a related </w:t>
            </w:r>
            <w:r>
              <w:t>cap on investment</w:t>
            </w:r>
            <w:r w:rsidR="006E2746">
              <w:t xml:space="preserve"> in turn has informed </w:t>
            </w:r>
            <w:r w:rsidR="003777A6">
              <w:t xml:space="preserve">the </w:t>
            </w:r>
            <w:r w:rsidR="00C106B8">
              <w:t>Board</w:t>
            </w:r>
            <w:r w:rsidR="006E2746">
              <w:t>’s</w:t>
            </w:r>
            <w:r w:rsidR="00C106B8">
              <w:t xml:space="preserve"> view about </w:t>
            </w:r>
            <w:r w:rsidR="003777A6">
              <w:t xml:space="preserve">an absolute limit </w:t>
            </w:r>
            <w:r w:rsidR="00C106B8">
              <w:t xml:space="preserve">to the level of “capital at risk” which the Board </w:t>
            </w:r>
            <w:r>
              <w:t xml:space="preserve">applies to the combined sale and land banking </w:t>
            </w:r>
            <w:r>
              <w:lastRenderedPageBreak/>
              <w:t xml:space="preserve">activity. </w:t>
            </w:r>
            <w:r w:rsidR="003777A6">
              <w:t xml:space="preserve">The Board have set the limit at £5.7m and the actual position is reported back on a quarterly basis to ensure compliance. </w:t>
            </w:r>
          </w:p>
          <w:p w:rsidR="003777A6" w:rsidRDefault="003777A6"/>
          <w:p w:rsidR="003777A6" w:rsidRDefault="003777A6">
            <w:r>
              <w:t>The Association has never lost a tenanted charged property to a</w:t>
            </w:r>
            <w:r w:rsidR="006E2746">
              <w:t xml:space="preserve"> lender and this remains a</w:t>
            </w:r>
            <w:r>
              <w:t xml:space="preserve"> Board objective</w:t>
            </w:r>
            <w:r w:rsidR="006E2746">
              <w:t>,</w:t>
            </w:r>
            <w:r>
              <w:t xml:space="preserve"> as spelled out in the Regulatory guidance. </w:t>
            </w:r>
          </w:p>
          <w:p w:rsidR="003777A6" w:rsidRDefault="003777A6"/>
          <w:p w:rsidR="006E3298" w:rsidRDefault="003777A6">
            <w:r>
              <w:t xml:space="preserve">The Board has approved a </w:t>
            </w:r>
            <w:r w:rsidR="006E2746">
              <w:t xml:space="preserve">3 year Value for Money strategy </w:t>
            </w:r>
            <w:r w:rsidR="008E23C0">
              <w:t>and they</w:t>
            </w:r>
            <w:r w:rsidR="006E2746">
              <w:t xml:space="preserve"> </w:t>
            </w:r>
            <w:r>
              <w:t xml:space="preserve">receive an annual report on progress. </w:t>
            </w:r>
            <w:r w:rsidR="00F705C4">
              <w:t>The results are summarised in our annual financial statements and published in more detail on our website to ensure transparency.</w:t>
            </w:r>
          </w:p>
          <w:p w:rsidR="00024306" w:rsidRDefault="00024306"/>
          <w:p w:rsidR="008955F5" w:rsidRDefault="008955F5"/>
          <w:p w:rsidR="00024306" w:rsidRPr="00C106B8" w:rsidRDefault="00024306" w:rsidP="00024306">
            <w:pPr>
              <w:rPr>
                <w:b/>
              </w:rPr>
            </w:pPr>
            <w:r w:rsidRPr="00C106B8">
              <w:rPr>
                <w:b/>
              </w:rPr>
              <w:t>External</w:t>
            </w:r>
            <w:r>
              <w:rPr>
                <w:b/>
              </w:rPr>
              <w:t xml:space="preserve"> </w:t>
            </w:r>
            <w:r w:rsidRPr="00C106B8">
              <w:rPr>
                <w:b/>
              </w:rPr>
              <w:t xml:space="preserve"> </w:t>
            </w:r>
          </w:p>
          <w:p w:rsidR="00024306" w:rsidRDefault="00024306" w:rsidP="00024306"/>
          <w:p w:rsidR="00024306" w:rsidRDefault="00024306" w:rsidP="00024306">
            <w:r>
              <w:t>The Regulator has assessed Hexagon as  G1, which means they currently believe we meet their Financial Viability Regulatory requirements.</w:t>
            </w:r>
          </w:p>
          <w:p w:rsidR="00024306" w:rsidRDefault="00024306" w:rsidP="00024306"/>
          <w:p w:rsidR="00024306" w:rsidRDefault="00024306" w:rsidP="00024306">
            <w:r>
              <w:t xml:space="preserve">The External auditors sign off the accounts in the context of a going concern statement that externally validates the Board’s view that financial viability remains stable for the next year. </w:t>
            </w:r>
          </w:p>
          <w:p w:rsidR="001172D4" w:rsidRDefault="001172D4" w:rsidP="00024306"/>
          <w:p w:rsidR="001172D4" w:rsidRDefault="001172D4" w:rsidP="00024306">
            <w:r>
              <w:t xml:space="preserve">The Internal Auditors have provided two training sessions to Audit and Risk </w:t>
            </w:r>
            <w:r>
              <w:lastRenderedPageBreak/>
              <w:t xml:space="preserve">Committee members that has resulted in the Board’s definition of risk appetite and contributed to the agreed framework for managing such risks.  </w:t>
            </w:r>
          </w:p>
          <w:p w:rsidR="00024306" w:rsidRDefault="00024306"/>
          <w:p w:rsidR="00024306" w:rsidRDefault="00024306"/>
        </w:tc>
        <w:tc>
          <w:tcPr>
            <w:tcW w:w="1450" w:type="dxa"/>
          </w:tcPr>
          <w:p w:rsidR="006E3298" w:rsidRPr="00960844" w:rsidRDefault="003777A6">
            <w:pPr>
              <w:rPr>
                <w:b/>
              </w:rPr>
            </w:pPr>
            <w:r w:rsidRPr="00960844">
              <w:rPr>
                <w:b/>
              </w:rPr>
              <w:lastRenderedPageBreak/>
              <w:t>H</w:t>
            </w:r>
            <w:r w:rsidR="00C106B8" w:rsidRPr="00960844">
              <w:rPr>
                <w:b/>
              </w:rPr>
              <w:t xml:space="preserve"> </w:t>
            </w:r>
          </w:p>
        </w:tc>
      </w:tr>
      <w:tr w:rsidR="006E3298" w:rsidTr="00402F70">
        <w:tc>
          <w:tcPr>
            <w:tcW w:w="2512" w:type="dxa"/>
          </w:tcPr>
          <w:p w:rsidR="006E3298" w:rsidRPr="003F64FA" w:rsidRDefault="006E3298">
            <w:pPr>
              <w:rPr>
                <w:b/>
                <w:sz w:val="24"/>
                <w:szCs w:val="24"/>
              </w:rPr>
            </w:pPr>
            <w:r w:rsidRPr="003F64FA">
              <w:rPr>
                <w:b/>
                <w:sz w:val="24"/>
                <w:szCs w:val="24"/>
              </w:rPr>
              <w:lastRenderedPageBreak/>
              <w:t>2 Specific expectations applicable to all registered providers</w:t>
            </w:r>
          </w:p>
        </w:tc>
        <w:tc>
          <w:tcPr>
            <w:tcW w:w="4873" w:type="dxa"/>
          </w:tcPr>
          <w:p w:rsidR="006E3298" w:rsidRDefault="006E3298">
            <w:r>
              <w:t>11 The specific expectations set out in the Standard are obligations with which registered providers must comply. Registered providers must demonstrate compliance with both the required outcomes and the specific expectations in the Standard. This section of the Code will help registered providers understand what the regulator is looking for when considering compliance with the Standard.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 xml:space="preserve">2.1 Registered providers shall adopt and comply with an appropriate code of governance. Governance arrangements should establish and maintain clear roles, </w:t>
            </w:r>
            <w:r>
              <w:lastRenderedPageBreak/>
              <w:t>responsibilities and accountabilities for the board, chair and chief executive and ensure appropriate probity arrangements are in place. Areas of non-compliance with their chosen code of governance should be explained. Registered providers should assess the effectiveness of their governance arrangements at least once a year.</w:t>
            </w:r>
          </w:p>
        </w:tc>
        <w:tc>
          <w:tcPr>
            <w:tcW w:w="4873" w:type="dxa"/>
          </w:tcPr>
          <w:p w:rsidR="006E3298" w:rsidRDefault="006E3298">
            <w:r>
              <w:lastRenderedPageBreak/>
              <w:t xml:space="preserve">Paragraph 2.1: expectations on the effectiveness of governance arrangements </w:t>
            </w:r>
          </w:p>
          <w:p w:rsidR="006E3298" w:rsidRDefault="006E3298"/>
          <w:p w:rsidR="006E3298" w:rsidRDefault="006E3298">
            <w:r>
              <w:t xml:space="preserve">12 Registered providers should demonstrate their actions are consistent with both the principles and relevant provisions of their code of governance and overall contribute to sound governance. </w:t>
            </w:r>
          </w:p>
          <w:p w:rsidR="006E3298" w:rsidRDefault="006E3298"/>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6E3298" w:rsidRDefault="006E3298">
            <w:r>
              <w:t>13 The regulator anticipates that an assessment of the effectiveness of governance arrangements may vary in terms of depth and scope in line with the internal and external environment within which the registered provider operates. Some parts of a governance review may be carried out to a different timescale than an annual review where this helps ensure the quality and effectiveness of the review. Where this is the case, the annual assessment of the effectiveness of governance arrangements should give assurance on the timescale and progress of work on these areas.</w:t>
            </w:r>
          </w:p>
        </w:tc>
        <w:tc>
          <w:tcPr>
            <w:tcW w:w="1512" w:type="dxa"/>
          </w:tcPr>
          <w:p w:rsidR="006E3298" w:rsidRPr="00960844" w:rsidRDefault="004A3EF5">
            <w:pPr>
              <w:rPr>
                <w:b/>
              </w:rPr>
            </w:pPr>
            <w:r w:rsidRPr="00960844">
              <w:rPr>
                <w:b/>
              </w:rPr>
              <w:lastRenderedPageBreak/>
              <w:t>P</w:t>
            </w:r>
          </w:p>
          <w:p w:rsidR="006E3298" w:rsidRDefault="006E3298"/>
          <w:p w:rsidR="006E3298" w:rsidRDefault="006E3298"/>
          <w:p w:rsidR="006E3298" w:rsidRDefault="006E3298"/>
        </w:tc>
        <w:tc>
          <w:tcPr>
            <w:tcW w:w="1417" w:type="dxa"/>
          </w:tcPr>
          <w:p w:rsidR="006E3298" w:rsidRDefault="004A3EF5">
            <w:r>
              <w:t xml:space="preserve">During 15/16 two Board vacancies were filled via an election of tenant Board members </w:t>
            </w:r>
            <w:r>
              <w:lastRenderedPageBreak/>
              <w:t xml:space="preserve">with no input from the Board to assess whether candidates standing for election met the person specification for Board members </w:t>
            </w:r>
          </w:p>
          <w:p w:rsidR="00210D4A" w:rsidRDefault="00210D4A"/>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8E23C0" w:rsidRDefault="008E23C0"/>
          <w:p w:rsidR="008E23C0" w:rsidRDefault="008E23C0"/>
          <w:p w:rsidR="00210D4A" w:rsidRDefault="00210D4A">
            <w:r>
              <w:t xml:space="preserve">During 15/16, there was a finding of </w:t>
            </w:r>
            <w:r w:rsidR="00E60C3C">
              <w:t xml:space="preserve">a </w:t>
            </w:r>
            <w:r>
              <w:t xml:space="preserve"> breach of the code of conduct by a Board member</w:t>
            </w:r>
            <w:r w:rsidR="00E60C3C">
              <w:t>, resulting in their dismissal from the Board</w:t>
            </w:r>
          </w:p>
        </w:tc>
        <w:tc>
          <w:tcPr>
            <w:tcW w:w="2410" w:type="dxa"/>
          </w:tcPr>
          <w:p w:rsidR="006E2746" w:rsidRDefault="006E2746">
            <w:pPr>
              <w:rPr>
                <w:b/>
              </w:rPr>
            </w:pPr>
          </w:p>
          <w:p w:rsidR="008E23C0" w:rsidRDefault="008E23C0">
            <w:pPr>
              <w:rPr>
                <w:b/>
              </w:rPr>
            </w:pPr>
          </w:p>
          <w:p w:rsidR="008E23C0" w:rsidRDefault="008E23C0">
            <w:pPr>
              <w:rPr>
                <w:b/>
              </w:rPr>
            </w:pPr>
          </w:p>
          <w:p w:rsidR="006E3298" w:rsidRPr="00E60C3C" w:rsidRDefault="004A3EF5">
            <w:pPr>
              <w:rPr>
                <w:b/>
              </w:rPr>
            </w:pPr>
            <w:r w:rsidRPr="00E60C3C">
              <w:rPr>
                <w:b/>
              </w:rPr>
              <w:t xml:space="preserve">Internal </w:t>
            </w:r>
          </w:p>
          <w:p w:rsidR="00210D4A" w:rsidRDefault="004A3EF5" w:rsidP="004A3EF5">
            <w:r>
              <w:t>Th</w:t>
            </w:r>
            <w:r w:rsidR="006E2746">
              <w:t>e Board has received a report f</w:t>
            </w:r>
            <w:r>
              <w:t>r</w:t>
            </w:r>
            <w:r w:rsidR="006E2746">
              <w:t>om</w:t>
            </w:r>
            <w:r>
              <w:t xml:space="preserve"> the CE outlining areas of non-compliance with the </w:t>
            </w:r>
            <w:r>
              <w:lastRenderedPageBreak/>
              <w:t xml:space="preserve">NHF adopted code which has resulted in action </w:t>
            </w:r>
            <w:r w:rsidR="00210D4A">
              <w:t>to remedy the compliance failure, namely a process of Board selection of candidates prior to their being put forward for election.</w:t>
            </w:r>
          </w:p>
          <w:p w:rsidR="00210D4A" w:rsidRDefault="00210D4A" w:rsidP="004A3EF5"/>
          <w:p w:rsidR="006E2746" w:rsidRDefault="006E2746" w:rsidP="004A3EF5">
            <w:pPr>
              <w:rPr>
                <w:b/>
              </w:rPr>
            </w:pPr>
          </w:p>
          <w:p w:rsidR="00210D4A" w:rsidRPr="00E60C3C" w:rsidRDefault="00210D4A" w:rsidP="004A3EF5">
            <w:pPr>
              <w:rPr>
                <w:b/>
              </w:rPr>
            </w:pPr>
            <w:r w:rsidRPr="00E60C3C">
              <w:rPr>
                <w:b/>
              </w:rPr>
              <w:t xml:space="preserve">External </w:t>
            </w:r>
          </w:p>
          <w:p w:rsidR="00210D4A" w:rsidRDefault="00210D4A" w:rsidP="004A3EF5">
            <w:r>
              <w:t>An assessment of the effectiveness Board performance was undertaken with the assistance of an external consultancy in September 2015. In this context, the Board agreed that their first three yearly external assessment would take place during 2016 and this is currently being progressed</w:t>
            </w:r>
            <w:r w:rsidR="006E2746">
              <w:t xml:space="preserve"> for a report </w:t>
            </w:r>
            <w:r w:rsidR="006E2746">
              <w:lastRenderedPageBreak/>
              <w:t>to the Board in November 2016</w:t>
            </w:r>
            <w:r>
              <w:t>.</w:t>
            </w:r>
          </w:p>
          <w:p w:rsidR="00210D4A" w:rsidRDefault="00210D4A" w:rsidP="004A3EF5"/>
          <w:p w:rsidR="004A3EF5" w:rsidRDefault="00210D4A" w:rsidP="004A3EF5">
            <w:r>
              <w:t xml:space="preserve">The investigation into the breach of the Code of Conduct </w:t>
            </w:r>
            <w:r w:rsidR="00024306">
              <w:t xml:space="preserve">which resulted </w:t>
            </w:r>
            <w:r>
              <w:t>was carried out</w:t>
            </w:r>
            <w:r w:rsidR="00E60C3C">
              <w:t xml:space="preserve"> </w:t>
            </w:r>
            <w:r w:rsidR="00F705C4">
              <w:t>externally (</w:t>
            </w:r>
            <w:r>
              <w:t>by our solicitors</w:t>
            </w:r>
            <w:r w:rsidR="00E60C3C">
              <w:t xml:space="preserve">) </w:t>
            </w:r>
            <w:r>
              <w:t xml:space="preserve">to </w:t>
            </w:r>
            <w:r w:rsidR="00F705C4">
              <w:t>ensure fairness</w:t>
            </w:r>
            <w:r>
              <w:t xml:space="preserve"> </w:t>
            </w:r>
            <w:r w:rsidR="00E60C3C">
              <w:t>and transparency</w:t>
            </w:r>
            <w:r w:rsidR="00024306">
              <w:t xml:space="preserve">. </w:t>
            </w:r>
            <w:r w:rsidR="00E60C3C">
              <w:t xml:space="preserve"> </w:t>
            </w:r>
            <w:r>
              <w:t xml:space="preserve">  </w:t>
            </w:r>
          </w:p>
        </w:tc>
        <w:tc>
          <w:tcPr>
            <w:tcW w:w="1450" w:type="dxa"/>
          </w:tcPr>
          <w:p w:rsidR="006E3298" w:rsidRPr="00960844" w:rsidRDefault="004A3EF5">
            <w:pPr>
              <w:rPr>
                <w:b/>
              </w:rPr>
            </w:pPr>
            <w:r w:rsidRPr="00960844">
              <w:rPr>
                <w:b/>
              </w:rPr>
              <w:lastRenderedPageBreak/>
              <w:t>M</w:t>
            </w:r>
          </w:p>
        </w:tc>
      </w:tr>
      <w:tr w:rsidR="006E3298" w:rsidTr="00402F70">
        <w:tc>
          <w:tcPr>
            <w:tcW w:w="2512" w:type="dxa"/>
          </w:tcPr>
          <w:p w:rsidR="006E3298" w:rsidRDefault="006E3298">
            <w:r>
              <w:lastRenderedPageBreak/>
              <w:t>2.2 Registered providers shall ensure that they manage their affairs with an appropriate degree of skill, independence, diligence, effectiveness, prudence and foresight.</w:t>
            </w:r>
          </w:p>
        </w:tc>
        <w:tc>
          <w:tcPr>
            <w:tcW w:w="4873" w:type="dxa"/>
          </w:tcPr>
          <w:p w:rsidR="006E3298" w:rsidRDefault="006E3298" w:rsidP="003B3C77">
            <w:r>
              <w:t xml:space="preserve">Paragraph 2.2: expectations on the management of registered providers’ affairs </w:t>
            </w:r>
          </w:p>
          <w:p w:rsidR="006E3298" w:rsidRDefault="006E3298" w:rsidP="003B3C77"/>
          <w:p w:rsidR="006E3298" w:rsidRDefault="006E3298" w:rsidP="003B3C77">
            <w:r>
              <w:t xml:space="preserve">14 Paragraph 2.2 of the Standard complements the board’s responsibilities to act lawfully and responsibly. Compliance will include both behavioural aspects, such as ensuring that the board and executive foster a culture of constructive challenge and debate, and good governance practices. </w:t>
            </w:r>
          </w:p>
          <w:p w:rsidR="006E3298" w:rsidRDefault="006E3298" w:rsidP="003B3C77"/>
          <w:p w:rsidR="00402F70" w:rsidRDefault="00402F70" w:rsidP="003B3C77"/>
          <w:p w:rsidR="00831DD0" w:rsidRDefault="00831DD0" w:rsidP="003B3C77"/>
          <w:p w:rsidR="00831DD0" w:rsidRDefault="00831DD0" w:rsidP="003B3C77"/>
          <w:p w:rsidR="00831DD0" w:rsidRDefault="00831DD0" w:rsidP="003B3C77"/>
          <w:p w:rsidR="00831DD0" w:rsidRDefault="00831DD0" w:rsidP="003B3C77"/>
          <w:p w:rsidR="00831DD0" w:rsidRDefault="00831DD0" w:rsidP="003B3C77"/>
          <w:p w:rsidR="000C4353" w:rsidRDefault="000C4353" w:rsidP="003B3C77"/>
          <w:p w:rsidR="006E3298" w:rsidRDefault="006E3298" w:rsidP="003B3C77">
            <w:r>
              <w:t xml:space="preserve">15 To ensure that registered providers have the requisite skills and capability to perform their functions, the regulator would expect them to: </w:t>
            </w:r>
            <w:r>
              <w:sym w:font="Symbol" w:char="F0B7"/>
            </w:r>
            <w:r>
              <w:t xml:space="preserve"> have an appropriate skills strategy to address the needs of the business </w:t>
            </w:r>
            <w:r>
              <w:sym w:font="Symbol" w:char="F0B7"/>
            </w:r>
            <w:r>
              <w:t xml:space="preserve"> regularly assess whether boards and management have the right competencies, experience, and technical knowledge appropriate to the size, scale and ri</w:t>
            </w:r>
            <w:r w:rsidR="00752150">
              <w:t xml:space="preserve">sk profile of the organisation. </w:t>
            </w:r>
            <w:r>
              <w:t xml:space="preserve">This should include the business it is currently involved in or is going to become involved in the future as well as the external operating environment.  </w:t>
            </w:r>
            <w:r>
              <w:sym w:font="Symbol" w:char="F0B7"/>
            </w:r>
            <w:r>
              <w:t xml:space="preserve"> ensure that all material decisions are made with appropriate internal/external expertise or advice and should satisfy themselves of the impartiality of any support or advice  </w:t>
            </w:r>
            <w:r>
              <w:sym w:font="Symbol" w:char="F0B7"/>
            </w:r>
            <w:r>
              <w:t xml:space="preserve"> have plans to address any skills gaps identified (including through bringing in external skills), and such plans should be monitored to </w:t>
            </w:r>
            <w:r>
              <w:lastRenderedPageBreak/>
              <w:t xml:space="preserve">ensure that they are followed through </w:t>
            </w:r>
          </w:p>
          <w:p w:rsidR="006E3298" w:rsidRDefault="006E3298" w:rsidP="003B3C77"/>
          <w:p w:rsidR="00302F7B" w:rsidRDefault="00302F7B" w:rsidP="003B3C77"/>
          <w:p w:rsidR="00302F7B" w:rsidRDefault="00302F7B" w:rsidP="003B3C77"/>
          <w:p w:rsidR="00302F7B" w:rsidRDefault="00302F7B" w:rsidP="003B3C77"/>
          <w:p w:rsidR="00831DD0" w:rsidRDefault="00831DD0" w:rsidP="003B3C77"/>
          <w:p w:rsidR="000C4353" w:rsidRDefault="000C4353" w:rsidP="003B3C77"/>
          <w:p w:rsidR="000C4353" w:rsidRDefault="000C4353" w:rsidP="003B3C77"/>
          <w:p w:rsidR="000C4353" w:rsidRDefault="000C4353" w:rsidP="003B3C77"/>
          <w:p w:rsidR="000C4353" w:rsidRDefault="000C4353"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3C7699" w:rsidRDefault="003C7699" w:rsidP="003B3C77"/>
          <w:p w:rsidR="006E3298" w:rsidRDefault="006E3298" w:rsidP="003B3C77">
            <w:r>
              <w:t xml:space="preserve">16 In order to determine the appropriate level of independence, registered providers should have regard to their adopted code of governance, relevant legal requirements, e.g. charity law and to their business model. In some businesses, influence is inherent in the corporate structure of the registered provider (for example a profit making </w:t>
            </w:r>
            <w:r>
              <w:lastRenderedPageBreak/>
              <w:t xml:space="preserve">registered provider which is a subsidiary of a group). In other cases, influence may not be inherent in the corporate structure but result from close associations the registered provider has with other organisations or individuals. </w:t>
            </w:r>
          </w:p>
          <w:p w:rsidR="006E3298" w:rsidRDefault="006E3298" w:rsidP="003B3C77"/>
          <w:p w:rsidR="00302F7B" w:rsidRDefault="00302F7B" w:rsidP="003B3C77"/>
          <w:p w:rsidR="006E3298" w:rsidRDefault="006E3298" w:rsidP="003B3C77">
            <w:r>
              <w:t xml:space="preserve">17 In managing their affairs with an appropriate degree of independence, board members should exercise independence of judgement and act at all times in the best interests of the registered provider. There should also be appropriate mechanisms in place to manage any conflicts of interest to demonstrate probity and value for money. </w:t>
            </w:r>
          </w:p>
          <w:p w:rsidR="006E3298" w:rsidRDefault="006E3298" w:rsidP="003B3C77"/>
          <w:p w:rsidR="006E3298" w:rsidRDefault="006E3298" w:rsidP="003B3C77">
            <w:r>
              <w:t>18 Registered providers should not be subject to undue influence from third parties that could reasonably be expected to lead to non-compliance with regulatory standards.</w:t>
            </w:r>
          </w:p>
          <w:p w:rsidR="008955F5" w:rsidRDefault="008955F5" w:rsidP="003B3C77"/>
        </w:tc>
        <w:tc>
          <w:tcPr>
            <w:tcW w:w="1512" w:type="dxa"/>
          </w:tcPr>
          <w:p w:rsidR="006E3298" w:rsidRPr="00402F70" w:rsidRDefault="00302F7B">
            <w:pPr>
              <w:rPr>
                <w:b/>
              </w:rPr>
            </w:pPr>
            <w:r>
              <w:rPr>
                <w:b/>
              </w:rPr>
              <w:lastRenderedPageBreak/>
              <w:t>P</w:t>
            </w:r>
          </w:p>
        </w:tc>
        <w:tc>
          <w:tcPr>
            <w:tcW w:w="1417" w:type="dxa"/>
          </w:tcPr>
          <w:p w:rsidR="00402F70" w:rsidRDefault="00402F70"/>
          <w:p w:rsidR="00402F70" w:rsidRDefault="00402F70"/>
          <w:p w:rsidR="00402F70" w:rsidRDefault="00402F70"/>
          <w:p w:rsidR="00402F70" w:rsidRDefault="00402F70"/>
          <w:p w:rsidR="00402F70" w:rsidRDefault="00402F70"/>
          <w:p w:rsidR="00402F70" w:rsidRDefault="00402F70"/>
          <w:p w:rsidR="00402F70" w:rsidRDefault="00402F70"/>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rsidP="006E2746"/>
          <w:p w:rsidR="006E2746" w:rsidRDefault="006E2746" w:rsidP="006E2746">
            <w:r>
              <w:t xml:space="preserve">The Board was made </w:t>
            </w:r>
          </w:p>
          <w:p w:rsidR="006E2746" w:rsidRDefault="006E2746" w:rsidP="006E2746">
            <w:r>
              <w:t xml:space="preserve">aware by the CE that its methodology for filling Tenant Board vacancies was not compliant with the NHF Code of Governance during 2015/16 and has now remedied </w:t>
            </w:r>
            <w:r>
              <w:lastRenderedPageBreak/>
              <w:t>that issue (see 2.1 above)</w:t>
            </w:r>
          </w:p>
          <w:p w:rsidR="006E2746" w:rsidRDefault="006E2746" w:rsidP="006E2746">
            <w:r>
              <w:t xml:space="preserve"> </w:t>
            </w:r>
          </w:p>
          <w:p w:rsidR="006E2746" w:rsidRDefault="006E2746" w:rsidP="006E2746"/>
          <w:p w:rsidR="006E2746" w:rsidRDefault="006E2746" w:rsidP="006E2746"/>
          <w:p w:rsidR="006E2746" w:rsidRDefault="006E2746" w:rsidP="006E2746"/>
          <w:p w:rsidR="006E2746" w:rsidRDefault="006E2746" w:rsidP="006E2746"/>
          <w:p w:rsidR="006E2746" w:rsidRDefault="006E2746" w:rsidP="006E2746">
            <w:r>
              <w:t xml:space="preserve"> </w:t>
            </w:r>
          </w:p>
          <w:p w:rsidR="006E2746" w:rsidRDefault="006E2746"/>
          <w:p w:rsidR="006E2746" w:rsidRDefault="006E2746"/>
          <w:p w:rsidR="006E2746" w:rsidRDefault="006E2746"/>
          <w:p w:rsidR="006E2746" w:rsidRDefault="006E2746"/>
          <w:p w:rsidR="006E2746" w:rsidRDefault="006E2746"/>
          <w:p w:rsidR="006E2746" w:rsidRDefault="006E2746"/>
          <w:p w:rsidR="006E2746" w:rsidRDefault="006E2746"/>
        </w:tc>
        <w:tc>
          <w:tcPr>
            <w:tcW w:w="2410" w:type="dxa"/>
          </w:tcPr>
          <w:p w:rsidR="006E3298" w:rsidRDefault="006E3298"/>
          <w:p w:rsidR="00402F70" w:rsidRDefault="00402F70"/>
          <w:p w:rsidR="006E2746" w:rsidRDefault="006E2746">
            <w:pPr>
              <w:rPr>
                <w:b/>
              </w:rPr>
            </w:pPr>
          </w:p>
          <w:p w:rsidR="00402F70" w:rsidRPr="001172D4" w:rsidRDefault="001172D4">
            <w:pPr>
              <w:rPr>
                <w:b/>
              </w:rPr>
            </w:pPr>
            <w:r w:rsidRPr="001172D4">
              <w:rPr>
                <w:b/>
              </w:rPr>
              <w:t xml:space="preserve">Internal </w:t>
            </w:r>
          </w:p>
          <w:p w:rsidR="00402F70" w:rsidRDefault="00402F70" w:rsidP="00402F70">
            <w:r>
              <w:t xml:space="preserve">The Board </w:t>
            </w:r>
            <w:r w:rsidR="00302F7B">
              <w:t xml:space="preserve">aims to achieve the highest standards of governance, accountability, and probity. It </w:t>
            </w:r>
            <w:r w:rsidR="000C4353">
              <w:t xml:space="preserve">is satisfied </w:t>
            </w:r>
            <w:r w:rsidR="000C4353">
              <w:lastRenderedPageBreak/>
              <w:t xml:space="preserve">that it </w:t>
            </w:r>
            <w:r>
              <w:t>has acted lawfully and responsibly at all times during the year (see 1.1 and 2.1 above for more detail)</w:t>
            </w:r>
          </w:p>
          <w:p w:rsidR="00402F70" w:rsidRDefault="00402F70"/>
          <w:p w:rsidR="00402F70" w:rsidRDefault="00402F70"/>
          <w:p w:rsidR="006E2746" w:rsidRDefault="006E2746" w:rsidP="00402F70"/>
          <w:p w:rsidR="00402F70" w:rsidRDefault="00402F70" w:rsidP="00402F70">
            <w:r>
              <w:t xml:space="preserve">The Board is very mindful of the requirement to ensure the Board has the right skills to undertake its duties. The skills required are clearly laid </w:t>
            </w:r>
          </w:p>
          <w:p w:rsidR="000C4353" w:rsidRDefault="00402F70" w:rsidP="00402F70">
            <w:r>
              <w:t xml:space="preserve">out by the Board in its Standing Orders and each </w:t>
            </w:r>
            <w:r w:rsidR="00831DD0">
              <w:t xml:space="preserve">ordinary </w:t>
            </w:r>
            <w:r>
              <w:t xml:space="preserve">vacancy that arises is filled in the context of that agreed skills list. </w:t>
            </w:r>
            <w:r w:rsidR="000C4353">
              <w:t xml:space="preserve">No such vacancies arose during 2015/16. </w:t>
            </w:r>
          </w:p>
          <w:p w:rsidR="003C7699" w:rsidRDefault="003C7699" w:rsidP="00402F70"/>
          <w:p w:rsidR="003C7699" w:rsidRDefault="003C7699" w:rsidP="003C7699">
            <w:pPr>
              <w:rPr>
                <w:b/>
              </w:rPr>
            </w:pPr>
            <w:r w:rsidRPr="001172D4">
              <w:rPr>
                <w:b/>
              </w:rPr>
              <w:t xml:space="preserve">External </w:t>
            </w:r>
          </w:p>
          <w:p w:rsidR="003C7699" w:rsidRPr="001172D4" w:rsidRDefault="003C7699" w:rsidP="003C7699">
            <w:r>
              <w:t xml:space="preserve">In September 2015, the </w:t>
            </w:r>
            <w:r>
              <w:lastRenderedPageBreak/>
              <w:t xml:space="preserve">Board undertook a self- assessment of </w:t>
            </w:r>
            <w:r w:rsidR="008E23C0">
              <w:t>its performance</w:t>
            </w:r>
            <w:r>
              <w:t xml:space="preserve"> with the assistance of Campbell Tickell and the results were considered at the Board away day in September 2016. The main outcome of this work was to commission a 3 </w:t>
            </w:r>
            <w:r w:rsidR="008E23C0">
              <w:t>yearly major</w:t>
            </w:r>
            <w:r>
              <w:t xml:space="preserve"> </w:t>
            </w:r>
            <w:r w:rsidR="008E23C0">
              <w:t>governance review</w:t>
            </w:r>
            <w:r>
              <w:t xml:space="preserve"> which is currently scheduled to be undertaken during 2016. </w:t>
            </w:r>
          </w:p>
          <w:p w:rsidR="003C7699" w:rsidRDefault="003C7699" w:rsidP="00402F70"/>
          <w:p w:rsidR="000C4353" w:rsidRDefault="000C4353" w:rsidP="00402F70"/>
          <w:p w:rsidR="00831DD0" w:rsidRDefault="00831DD0" w:rsidP="00402F70"/>
          <w:p w:rsidR="00831DD0" w:rsidRDefault="00831DD0" w:rsidP="00402F70">
            <w:r>
              <w:t xml:space="preserve">All Board meetings begin with call for any perceived conflicts of interest and where such interests are declared, Board members will absent themselves from </w:t>
            </w:r>
            <w:r>
              <w:lastRenderedPageBreak/>
              <w:t xml:space="preserve">any decision making. There were no significant conflicts declared during 2015/16. </w:t>
            </w:r>
          </w:p>
          <w:p w:rsidR="00831DD0" w:rsidRDefault="00831DD0" w:rsidP="00402F70"/>
          <w:p w:rsidR="003C7699" w:rsidRDefault="003C7699" w:rsidP="00402F70"/>
          <w:p w:rsidR="00831DD0" w:rsidRDefault="00831DD0" w:rsidP="00402F70">
            <w:r>
              <w:t xml:space="preserve">The Board is satisfied that there are no third parties that </w:t>
            </w:r>
            <w:r w:rsidR="000C4353">
              <w:t xml:space="preserve">can exercise undue </w:t>
            </w:r>
            <w:r>
              <w:t xml:space="preserve">influence </w:t>
            </w:r>
            <w:r w:rsidR="000C4353">
              <w:t xml:space="preserve">in </w:t>
            </w:r>
            <w:r>
              <w:t>their decision making that might risk non –compliance</w:t>
            </w:r>
            <w:r w:rsidR="000C4353">
              <w:t xml:space="preserve"> with regulatory standards</w:t>
            </w:r>
            <w:r>
              <w:t>.</w:t>
            </w:r>
          </w:p>
          <w:p w:rsidR="001172D4" w:rsidRDefault="001172D4" w:rsidP="00402F70"/>
          <w:p w:rsidR="00402F70" w:rsidRDefault="00402F70" w:rsidP="00402F70"/>
          <w:p w:rsidR="00402F70" w:rsidRDefault="00402F70"/>
          <w:p w:rsidR="00402F70" w:rsidRDefault="00402F70"/>
        </w:tc>
        <w:tc>
          <w:tcPr>
            <w:tcW w:w="1450" w:type="dxa"/>
          </w:tcPr>
          <w:p w:rsidR="006E3298" w:rsidRPr="00B1282A" w:rsidRDefault="00B1282A">
            <w:pPr>
              <w:rPr>
                <w:b/>
              </w:rPr>
            </w:pPr>
            <w:r w:rsidRPr="00B1282A">
              <w:rPr>
                <w:b/>
              </w:rPr>
              <w:lastRenderedPageBreak/>
              <w:t>M</w:t>
            </w:r>
          </w:p>
        </w:tc>
      </w:tr>
      <w:tr w:rsidR="006E3298" w:rsidTr="00402F70">
        <w:tc>
          <w:tcPr>
            <w:tcW w:w="2512" w:type="dxa"/>
          </w:tcPr>
          <w:p w:rsidR="006E3298" w:rsidRDefault="006E3298">
            <w:r>
              <w:lastRenderedPageBreak/>
              <w:t>2.3 Registered providers shall communicate in a timely manner with the regulator on material issues that relate to non-</w:t>
            </w:r>
            <w:r>
              <w:lastRenderedPageBreak/>
              <w:t>compliance or potential non-compliance with the standards.</w:t>
            </w:r>
          </w:p>
        </w:tc>
        <w:tc>
          <w:tcPr>
            <w:tcW w:w="4873" w:type="dxa"/>
          </w:tcPr>
          <w:p w:rsidR="006E3298" w:rsidRDefault="006E3298">
            <w:r>
              <w:lastRenderedPageBreak/>
              <w:t xml:space="preserve">Paragraph 2.3: communication with the regulator </w:t>
            </w:r>
          </w:p>
          <w:p w:rsidR="006E3298" w:rsidRDefault="006E3298"/>
          <w:p w:rsidR="006E3298" w:rsidRDefault="006E3298">
            <w:r>
              <w:t xml:space="preserve">19 The regulator requires registered providers to tell it at the earliest opportunity about any material issues that indicate there has been or may be a </w:t>
            </w:r>
            <w:r>
              <w:lastRenderedPageBreak/>
              <w:t xml:space="preserve">breach of the standards. This might include, for example, material frauds, liquidity issues, breaches of lenders covenants or failures of governance. This transparency is a fundamental pillar of the coregulatory approach. </w:t>
            </w:r>
          </w:p>
          <w:p w:rsidR="006E3298" w:rsidRDefault="006E3298"/>
          <w:p w:rsidR="008E23C0" w:rsidRDefault="008E23C0"/>
          <w:p w:rsidR="008E23C0" w:rsidRDefault="008E23C0"/>
          <w:p w:rsidR="006E3298" w:rsidRDefault="006E3298">
            <w:r>
              <w:t>20 In deciding what is material, registered providers should be mindful of the regulator’s role in the consumer standards. The regulator may only intervene where there has been a breach of the standard which has, or may cause, serious detriment. In relation to the consumer standards registered providers are only obliged to disclose those matters which have or may relate to such a breach.</w:t>
            </w:r>
          </w:p>
        </w:tc>
        <w:tc>
          <w:tcPr>
            <w:tcW w:w="1512" w:type="dxa"/>
          </w:tcPr>
          <w:p w:rsidR="006E3298" w:rsidRPr="00960844" w:rsidRDefault="00024306">
            <w:pPr>
              <w:rPr>
                <w:b/>
              </w:rPr>
            </w:pPr>
            <w:r w:rsidRPr="00960844">
              <w:rPr>
                <w:b/>
              </w:rPr>
              <w:lastRenderedPageBreak/>
              <w:t>F</w:t>
            </w:r>
          </w:p>
        </w:tc>
        <w:tc>
          <w:tcPr>
            <w:tcW w:w="1417" w:type="dxa"/>
          </w:tcPr>
          <w:p w:rsidR="006E3298" w:rsidRPr="00960844" w:rsidRDefault="00024306">
            <w:pPr>
              <w:rPr>
                <w:b/>
              </w:rPr>
            </w:pPr>
            <w:r w:rsidRPr="00960844">
              <w:rPr>
                <w:b/>
              </w:rPr>
              <w:t>None</w:t>
            </w:r>
          </w:p>
        </w:tc>
        <w:tc>
          <w:tcPr>
            <w:tcW w:w="2410" w:type="dxa"/>
          </w:tcPr>
          <w:p w:rsidR="006E3298" w:rsidRPr="00024306" w:rsidRDefault="00024306">
            <w:pPr>
              <w:rPr>
                <w:b/>
              </w:rPr>
            </w:pPr>
            <w:r w:rsidRPr="00024306">
              <w:rPr>
                <w:b/>
              </w:rPr>
              <w:t xml:space="preserve">Internal </w:t>
            </w:r>
          </w:p>
          <w:p w:rsidR="00024306" w:rsidRDefault="00024306"/>
          <w:p w:rsidR="00024306" w:rsidRDefault="00024306" w:rsidP="00024306">
            <w:r>
              <w:t xml:space="preserve">The CE has assured the Board that he has shared with the HCA the </w:t>
            </w:r>
            <w:r>
              <w:lastRenderedPageBreak/>
              <w:t>issues surrounding the breach of the Code of Conduct and the Board’s decision to take action to address it in an open and transparent way.</w:t>
            </w:r>
          </w:p>
          <w:p w:rsidR="00024306" w:rsidRDefault="00024306" w:rsidP="00024306"/>
          <w:p w:rsidR="00121531" w:rsidRDefault="00024306" w:rsidP="00024306">
            <w:r>
              <w:t xml:space="preserve">The same applies to the probity allegations made against the officers of one of our co-ops by their </w:t>
            </w:r>
            <w:r w:rsidR="00121531">
              <w:t xml:space="preserve">interim manager, </w:t>
            </w:r>
            <w:r>
              <w:t>and the actions taken in response.</w:t>
            </w:r>
          </w:p>
          <w:p w:rsidR="00121531" w:rsidRDefault="00121531" w:rsidP="00024306"/>
          <w:p w:rsidR="00024306" w:rsidRDefault="00121531" w:rsidP="00024306">
            <w:r>
              <w:t xml:space="preserve">The Board have also agreed that when the results of the investigation into compliance with the Rent Standard are complete, that the Chair will write to the HCA informing them of all </w:t>
            </w:r>
            <w:r>
              <w:lastRenderedPageBreak/>
              <w:t>the facts and actions taken to remedy any breaches of the Standard</w:t>
            </w:r>
            <w:r w:rsidR="003C7699">
              <w:t xml:space="preserve"> as per the legal advice obtained and reported to the Board. This should be completed in July 2016. </w:t>
            </w:r>
            <w:r w:rsidR="00024306">
              <w:t xml:space="preserve">  </w:t>
            </w:r>
          </w:p>
          <w:p w:rsidR="00024306" w:rsidRDefault="00024306" w:rsidP="00024306"/>
          <w:p w:rsidR="00024306" w:rsidRDefault="00024306" w:rsidP="00024306"/>
        </w:tc>
        <w:tc>
          <w:tcPr>
            <w:tcW w:w="1450" w:type="dxa"/>
          </w:tcPr>
          <w:p w:rsidR="006E3298" w:rsidRPr="00960844" w:rsidRDefault="00046DF2">
            <w:pPr>
              <w:rPr>
                <w:b/>
              </w:rPr>
            </w:pPr>
            <w:r>
              <w:rPr>
                <w:b/>
              </w:rPr>
              <w:lastRenderedPageBreak/>
              <w:t>M</w:t>
            </w:r>
          </w:p>
        </w:tc>
      </w:tr>
      <w:tr w:rsidR="006E3298" w:rsidTr="00402F70">
        <w:tc>
          <w:tcPr>
            <w:tcW w:w="2512" w:type="dxa"/>
          </w:tcPr>
          <w:p w:rsidR="006E3298" w:rsidRDefault="006E3298">
            <w:r>
              <w:lastRenderedPageBreak/>
              <w:t>2.4 Registered providers shall ensure that they have an appropriate, robust and prudent business planning, risk and control framework.</w:t>
            </w:r>
          </w:p>
          <w:p w:rsidR="006E3298" w:rsidRDefault="006E3298"/>
          <w:p w:rsidR="006E3298" w:rsidRDefault="006E3298">
            <w:r>
              <w:t xml:space="preserve">2.4.1 The framework shall ensure: (a) there is access to sufficient liquidity at all times (b) financial forecasts are based on appropriate and reasonable assumptions (c) effective systems are in place to </w:t>
            </w:r>
            <w:r>
              <w:lastRenderedPageBreak/>
              <w:t>monitor and accurately report delivery of the registered provider's plans (d) the financial and other implications of risks to the delivery of plans are considered (e) registered providers monitor, report on and comply with their funders' covenants.</w:t>
            </w:r>
          </w:p>
          <w:p w:rsidR="006E3298" w:rsidRDefault="006E3298"/>
          <w:p w:rsidR="006E3298" w:rsidRDefault="006E3298">
            <w:r>
              <w:t xml:space="preserve">2.4.2 The framework shall be approved by </w:t>
            </w:r>
            <w:r w:rsidR="00752150">
              <w:t>the registered provider's board</w:t>
            </w:r>
            <w:r>
              <w:t xml:space="preserve"> and its effectiveness in achieving the required outcomes shall be reviewed at least once a year.</w:t>
            </w:r>
          </w:p>
        </w:tc>
        <w:tc>
          <w:tcPr>
            <w:tcW w:w="4873" w:type="dxa"/>
          </w:tcPr>
          <w:p w:rsidR="006E3298" w:rsidRPr="003C7699" w:rsidRDefault="006E3298">
            <w:r w:rsidRPr="003C7699">
              <w:lastRenderedPageBreak/>
              <w:t xml:space="preserve">Paragraph 2.4: expectations about business planning, risk and control frameworks </w:t>
            </w:r>
          </w:p>
          <w:p w:rsidR="006E3298" w:rsidRPr="003C7699" w:rsidRDefault="006E3298"/>
          <w:p w:rsidR="006E3298" w:rsidRPr="003C7699" w:rsidRDefault="006E3298">
            <w:r w:rsidRPr="003C7699">
              <w:t xml:space="preserve">21 Registered providers need to ensure their business planning, risk management and control framework is effective. It should cover all areas of the registered provider's business. This should demonstrate the registered provider fully understands and has considered its operating environment, so it can deliver its business plan and organisational objectives. It does not need to be captured in a single document. </w:t>
            </w:r>
          </w:p>
          <w:p w:rsidR="006E3298" w:rsidRPr="003C7699" w:rsidRDefault="006E3298"/>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C20417" w:rsidRPr="00046DF2" w:rsidRDefault="00C20417">
            <w:pPr>
              <w:rPr>
                <w:i/>
              </w:rPr>
            </w:pPr>
          </w:p>
          <w:p w:rsidR="00046DF2" w:rsidRDefault="00046DF2">
            <w:pPr>
              <w:rPr>
                <w:i/>
              </w:rPr>
            </w:pPr>
          </w:p>
          <w:p w:rsidR="006E3298" w:rsidRPr="003C7699" w:rsidRDefault="006E3298">
            <w:r w:rsidRPr="003C7699">
              <w:t xml:space="preserve">22 Registered providers should have a clear understanding of their risk tolerances and ensure that they are appropriate to the scale and nature of the activities they are undertaking and their role as a registered provider. Registered providers should be able to identify the capital at risk from any investment activities, and ensure that investment is priced at such a level with a rate of return which is commensurate to the level of risk presented. Where a registered provider is a charity they should consider this alongside their objects and duties under charity law. Registered providers should consider the potential aggregated impact of risks, as well as their impact at an individual level. </w:t>
            </w:r>
          </w:p>
          <w:p w:rsidR="006E3298" w:rsidRPr="00046DF2" w:rsidRDefault="006E3298">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BE5081" w:rsidRPr="00046DF2" w:rsidRDefault="00BE5081">
            <w:pPr>
              <w:rPr>
                <w:i/>
              </w:rPr>
            </w:pPr>
          </w:p>
          <w:p w:rsidR="00F5618C" w:rsidRPr="00046DF2" w:rsidRDefault="00F5618C">
            <w:pPr>
              <w:rPr>
                <w:i/>
              </w:rPr>
            </w:pPr>
          </w:p>
          <w:p w:rsidR="003C7699" w:rsidRDefault="003C7699">
            <w:pPr>
              <w:rPr>
                <w:i/>
              </w:rPr>
            </w:pPr>
          </w:p>
          <w:p w:rsidR="003C7699" w:rsidRDefault="003C7699">
            <w:pPr>
              <w:rPr>
                <w:i/>
              </w:rPr>
            </w:pPr>
          </w:p>
          <w:p w:rsidR="006E3298" w:rsidRPr="003C7699" w:rsidRDefault="006E3298">
            <w:r w:rsidRPr="003C7699">
              <w:t xml:space="preserve">23 Registered providers should ensure that they have access to sufficient committed and available </w:t>
            </w:r>
            <w:r w:rsidRPr="003C7699">
              <w:lastRenderedPageBreak/>
              <w:t xml:space="preserve">liquidity at all times. They should understand the timing of cash flows and any conditions for a drawdown so they can manage cash flow risk. This means registered providers should understand the receipts and outgoings of the business, for example, rental income, investment in existing stock, the costs of development, receipts from sales and other business, financing costs (loan capital and interest payments) and build sufficient prudence into their plans to cope with changes. In particular, boards should assure themselves that they put funding lines in place in sufficient time to cope with major cash outflows. Boards should ensure that they effectively identify and manage any risks of re-financing whether planned or in reaction to changes in the operating environment. </w:t>
            </w:r>
          </w:p>
          <w:p w:rsidR="006E3298" w:rsidRPr="003C7699" w:rsidRDefault="006E3298"/>
          <w:p w:rsidR="00623B6E" w:rsidRPr="003C7699" w:rsidRDefault="00623B6E"/>
          <w:p w:rsidR="00623B6E" w:rsidRPr="003C7699" w:rsidRDefault="00623B6E"/>
          <w:p w:rsidR="006E3298" w:rsidRPr="003C7699" w:rsidRDefault="006E3298">
            <w:r w:rsidRPr="003C7699">
              <w:t xml:space="preserve">24 Registered providers should also look at the relationship between operational and capital cash flows. Non-discretionary expenses, including all major repairs (whether capitalised or not) and interest costs, should be met from operating income. When using capital income (for example, receipts from disposals) to meet operating </w:t>
            </w:r>
            <w:r w:rsidRPr="003C7699">
              <w:lastRenderedPageBreak/>
              <w:t xml:space="preserve">expenses, boards should ensure there is a plan that ensures operating cash flows fully cover operating expenses in the future. While this is not the case, registered providers need a plan to ensure that exposures are managed. </w:t>
            </w:r>
          </w:p>
          <w:p w:rsidR="006E3298" w:rsidRPr="003C7699" w:rsidRDefault="006E3298"/>
          <w:p w:rsidR="006E3298" w:rsidRPr="003C7699" w:rsidRDefault="006E3298">
            <w:r w:rsidRPr="003C7699">
              <w:t xml:space="preserve">25 Registered providers need to build their business on robust and prudent assumptions. Registered providers should assure themselves the assumptions used are reasonable. For example these may be based on: </w:t>
            </w:r>
            <w:r w:rsidRPr="003C7699">
              <w:sym w:font="Symbol" w:char="F0B7"/>
            </w:r>
            <w:r w:rsidRPr="003C7699">
              <w:t xml:space="preserve"> past performance </w:t>
            </w:r>
            <w:r w:rsidRPr="003C7699">
              <w:sym w:font="Symbol" w:char="F0B7"/>
            </w:r>
            <w:r w:rsidRPr="003C7699">
              <w:t xml:space="preserve"> market conditions </w:t>
            </w:r>
            <w:r w:rsidRPr="003C7699">
              <w:sym w:font="Symbol" w:char="F0B7"/>
            </w:r>
            <w:r w:rsidRPr="003C7699">
              <w:t xml:space="preserve"> deliverability and forecasts of possible future conditions </w:t>
            </w:r>
          </w:p>
          <w:p w:rsidR="006E3298" w:rsidRPr="003C7699" w:rsidRDefault="006E3298"/>
          <w:p w:rsidR="00E2345B" w:rsidRPr="003C7699" w:rsidRDefault="00E2345B"/>
          <w:p w:rsidR="00E2345B" w:rsidRPr="003C7699" w:rsidRDefault="00E2345B"/>
          <w:p w:rsidR="00F5618C" w:rsidRPr="003C7699" w:rsidRDefault="00F5618C"/>
          <w:p w:rsidR="006E3298" w:rsidRPr="003C7699" w:rsidRDefault="006E3298">
            <w:r w:rsidRPr="003C7699">
              <w:t xml:space="preserve">26 The regulator expects these assumptions will be kept under review and updated in the light of changing circumstances. It is important that registered providers ensure their plan enables them to meet lenders' covenants. Registered providers need to ensure sufficient headroom to allow them to take remedial action if assumptions within the plan significantly change or (potentially) if they are not delivering against the plan. </w:t>
            </w:r>
          </w:p>
          <w:p w:rsidR="006E3298" w:rsidRPr="003C7699" w:rsidRDefault="006E3298"/>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E2345B" w:rsidRPr="003C7699" w:rsidRDefault="00E2345B"/>
          <w:p w:rsidR="003C7699" w:rsidRDefault="003C7699"/>
          <w:p w:rsidR="003C7699" w:rsidRDefault="003C7699"/>
          <w:p w:rsidR="003C7699" w:rsidRDefault="003C7699"/>
          <w:p w:rsidR="003C7699" w:rsidRDefault="003C7699"/>
          <w:p w:rsidR="00C9004A" w:rsidRDefault="00C9004A"/>
          <w:p w:rsidR="006E3298" w:rsidRPr="003C7699" w:rsidRDefault="006E3298">
            <w:r w:rsidRPr="003C7699">
              <w:t xml:space="preserve">27 The regulator expects registered providers to identify the impact of significant business decisions (for example, major changes in development appetite, a new major scheme, moving into a new business stream or taking on new sources of funding) on viability (including continued covenant compliance). It also expects registered providers to report these to the board and take remedial action where necessary. Registered providers should think about their covenants in the broadest sense (financial and non-financial), set target measures of financial performance which provide headroom over covenants, and ensure they monitor all </w:t>
            </w:r>
            <w:r w:rsidRPr="003C7699">
              <w:lastRenderedPageBreak/>
              <w:t xml:space="preserve">covenants. </w:t>
            </w:r>
          </w:p>
          <w:p w:rsidR="006E3298" w:rsidRPr="003C7699" w:rsidRDefault="006E3298"/>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646EEF" w:rsidRPr="003C7699" w:rsidRDefault="00646EEF"/>
          <w:p w:rsidR="00F5618C" w:rsidRPr="003C7699" w:rsidRDefault="00F5618C"/>
          <w:p w:rsidR="00F5618C" w:rsidRPr="003C7699" w:rsidRDefault="00F5618C"/>
          <w:p w:rsidR="008E23C0" w:rsidRDefault="008E23C0"/>
          <w:p w:rsidR="006E3298" w:rsidRPr="00046DF2" w:rsidRDefault="006E3298">
            <w:pPr>
              <w:rPr>
                <w:i/>
              </w:rPr>
            </w:pPr>
            <w:r w:rsidRPr="003C7699">
              <w:t>8 The boards of registered providers should also be aware of the risks posed where separate companies are in effect controlled by others (through common or shadow directorships) and liabilities may be attributed to the registered provider putting social housing assets at risk. These risks should also be identified and mitigated.</w:t>
            </w:r>
          </w:p>
        </w:tc>
        <w:tc>
          <w:tcPr>
            <w:tcW w:w="1512" w:type="dxa"/>
          </w:tcPr>
          <w:p w:rsidR="006E3298" w:rsidRPr="00C20417" w:rsidRDefault="00C20417">
            <w:pPr>
              <w:rPr>
                <w:b/>
              </w:rPr>
            </w:pPr>
            <w:r w:rsidRPr="00C20417">
              <w:rPr>
                <w:b/>
              </w:rPr>
              <w:lastRenderedPageBreak/>
              <w:t>F</w:t>
            </w:r>
          </w:p>
        </w:tc>
        <w:tc>
          <w:tcPr>
            <w:tcW w:w="1417" w:type="dxa"/>
          </w:tcPr>
          <w:p w:rsidR="006E3298" w:rsidRPr="00C9004A" w:rsidRDefault="00C20417">
            <w:pPr>
              <w:rPr>
                <w:b/>
              </w:rPr>
            </w:pPr>
            <w:r w:rsidRPr="00C9004A">
              <w:rPr>
                <w:b/>
              </w:rPr>
              <w:t xml:space="preserve">None </w:t>
            </w:r>
          </w:p>
        </w:tc>
        <w:tc>
          <w:tcPr>
            <w:tcW w:w="2410" w:type="dxa"/>
          </w:tcPr>
          <w:p w:rsidR="006E3298" w:rsidRDefault="006E3298"/>
          <w:p w:rsidR="00C20417" w:rsidRDefault="00C20417"/>
          <w:p w:rsidR="00C20417" w:rsidRPr="00F5618C" w:rsidRDefault="00F5618C">
            <w:pPr>
              <w:rPr>
                <w:b/>
              </w:rPr>
            </w:pPr>
            <w:r w:rsidRPr="00F5618C">
              <w:rPr>
                <w:b/>
              </w:rPr>
              <w:t xml:space="preserve">Internal </w:t>
            </w:r>
          </w:p>
          <w:p w:rsidR="00C20417" w:rsidRDefault="00C20417" w:rsidP="00C20417">
            <w:r>
              <w:t>The Board has approved a clear Corporate Plan that outlines key objectives, together with key targets and initiatives to achieve those o</w:t>
            </w:r>
            <w:r w:rsidR="003C7699">
              <w:t xml:space="preserve">bjectives. That plan drives the Board’s </w:t>
            </w:r>
            <w:r>
              <w:t>r</w:t>
            </w:r>
            <w:r w:rsidR="003C7699">
              <w:t>isk management framework and the</w:t>
            </w:r>
            <w:r>
              <w:t xml:space="preserve"> risk map, which the A+R Committee and Board regularly review. The </w:t>
            </w:r>
            <w:r>
              <w:lastRenderedPageBreak/>
              <w:t xml:space="preserve">Business plan is subject to quarterly </w:t>
            </w:r>
            <w:r w:rsidR="003C7699">
              <w:t>Board updated</w:t>
            </w:r>
            <w:r>
              <w:t xml:space="preserve"> and is subjected to stress testing and contingency planning as set out on the HCA Regulatory Code of Guidance     </w:t>
            </w:r>
          </w:p>
          <w:p w:rsidR="00C20417" w:rsidRDefault="00C20417" w:rsidP="00C20417"/>
          <w:p w:rsidR="00C20417" w:rsidRDefault="00C20417" w:rsidP="00C20417"/>
          <w:p w:rsidR="00C20417" w:rsidRDefault="00C20417" w:rsidP="00C20417"/>
          <w:p w:rsidR="00046DF2" w:rsidRDefault="00046DF2" w:rsidP="00C20417"/>
          <w:p w:rsidR="00F5618C" w:rsidRDefault="00C20417" w:rsidP="00C20417">
            <w:r>
              <w:t xml:space="preserve">The Board has developed a clear risk appetite statement and </w:t>
            </w:r>
            <w:r w:rsidR="003C7699">
              <w:t xml:space="preserve">matrices for determining whether </w:t>
            </w:r>
            <w:r w:rsidR="000A718C">
              <w:t xml:space="preserve">it has </w:t>
            </w:r>
            <w:r w:rsidR="00BE5081">
              <w:t>been breached. The fi</w:t>
            </w:r>
            <w:r w:rsidR="000A718C">
              <w:t xml:space="preserve">nancial measures include an absolute cap on funds which can be invested via our Investment policy and an absolute cap on “capital at risk” at any point in time. </w:t>
            </w:r>
          </w:p>
          <w:p w:rsidR="00F5618C" w:rsidRDefault="00F5618C" w:rsidP="00C20417"/>
          <w:p w:rsidR="00F5618C" w:rsidRPr="00F5618C" w:rsidRDefault="00F5618C" w:rsidP="00C20417">
            <w:pPr>
              <w:rPr>
                <w:b/>
              </w:rPr>
            </w:pPr>
            <w:r w:rsidRPr="00F5618C">
              <w:rPr>
                <w:b/>
              </w:rPr>
              <w:t xml:space="preserve">External </w:t>
            </w:r>
          </w:p>
          <w:p w:rsidR="00C20417" w:rsidRDefault="000A718C" w:rsidP="00C20417">
            <w:r>
              <w:t xml:space="preserve">The lending between Hexagon and Horniman is done at a commercial rate as advised by our Treasury advisors. </w:t>
            </w:r>
            <w:r w:rsidR="00BE5081">
              <w:t>All activities that are “non</w:t>
            </w:r>
            <w:r w:rsidR="00646EEF">
              <w:t>- charit</w:t>
            </w:r>
            <w:r w:rsidR="00BE5081">
              <w:t>able” are undertaken by Horniman HA rather than Hexagon. Multi-variant stress testing is a key feature of our business plan processes and we test our plan to de</w:t>
            </w:r>
            <w:r w:rsidR="003C7699">
              <w:t>struction to ensure the Board are clear about where the</w:t>
            </w:r>
            <w:r w:rsidR="00BE5081">
              <w:t xml:space="preserve"> business in most vulnerable</w:t>
            </w:r>
            <w:r w:rsidR="003C7699">
              <w:t xml:space="preserve"> to changes in the operating environment</w:t>
            </w:r>
            <w:r w:rsidR="00BE5081">
              <w:t xml:space="preserve">.    </w:t>
            </w:r>
          </w:p>
          <w:p w:rsidR="00C20417" w:rsidRDefault="00C20417" w:rsidP="00C20417"/>
          <w:p w:rsidR="00BE5081" w:rsidRPr="00F5618C" w:rsidRDefault="00F5618C" w:rsidP="00C20417">
            <w:pPr>
              <w:rPr>
                <w:b/>
              </w:rPr>
            </w:pPr>
            <w:r w:rsidRPr="00F5618C">
              <w:rPr>
                <w:b/>
              </w:rPr>
              <w:t>Internal</w:t>
            </w:r>
          </w:p>
          <w:p w:rsidR="00BE5081" w:rsidRDefault="00BE5081" w:rsidP="00623B6E">
            <w:r>
              <w:t xml:space="preserve">The Board receives a </w:t>
            </w:r>
            <w:r>
              <w:lastRenderedPageBreak/>
              <w:t xml:space="preserve">quarterly Treasury </w:t>
            </w:r>
            <w:r w:rsidR="003C7699">
              <w:t>update which informs their</w:t>
            </w:r>
            <w:r w:rsidR="00623B6E">
              <w:t xml:space="preserve"> borrowing</w:t>
            </w:r>
            <w:r w:rsidR="003C7699">
              <w:t xml:space="preserve"> decisions</w:t>
            </w:r>
            <w:r w:rsidR="00623B6E">
              <w:t xml:space="preserve">. This confirms the cash flow position and the risks arising from projected income and spend </w:t>
            </w:r>
            <w:r w:rsidR="003C7699">
              <w:t>commitments.</w:t>
            </w:r>
            <w:r w:rsidR="00623B6E">
              <w:t xml:space="preserve"> The timing of arranging loan facilities and the timetable for drawdowns are all a key feature of the Board’s decision making arising from the</w:t>
            </w:r>
            <w:r w:rsidR="00646EEF">
              <w:t xml:space="preserve"> Board</w:t>
            </w:r>
            <w:r w:rsidR="00623B6E">
              <w:t xml:space="preserve"> </w:t>
            </w:r>
            <w:r w:rsidR="008E23C0">
              <w:t>approved Treasury</w:t>
            </w:r>
            <w:r w:rsidR="00623B6E">
              <w:t xml:space="preserve"> Strategy.  </w:t>
            </w:r>
          </w:p>
          <w:p w:rsidR="00623B6E" w:rsidRDefault="00623B6E" w:rsidP="00623B6E"/>
          <w:p w:rsidR="00623B6E" w:rsidRDefault="00623B6E" w:rsidP="00623B6E">
            <w:r>
              <w:t xml:space="preserve">The Board has agreed that our EBIDTA </w:t>
            </w:r>
            <w:r w:rsidR="00324B8F">
              <w:t xml:space="preserve">MRI </w:t>
            </w:r>
            <w:r>
              <w:t xml:space="preserve">measure should never fall below 110% so as to ensure that cash from operating income is sufficient to support </w:t>
            </w:r>
            <w:r w:rsidR="003C7699">
              <w:t xml:space="preserve">all </w:t>
            </w:r>
            <w:r>
              <w:lastRenderedPageBreak/>
              <w:t>stock investment work</w:t>
            </w:r>
            <w:r w:rsidR="00E2345B">
              <w:t>.</w:t>
            </w:r>
          </w:p>
          <w:p w:rsidR="00E2345B" w:rsidRPr="00E2345B" w:rsidRDefault="00E2345B" w:rsidP="00623B6E">
            <w:pPr>
              <w:rPr>
                <w:b/>
              </w:rPr>
            </w:pPr>
          </w:p>
          <w:p w:rsidR="00E2345B" w:rsidRDefault="00E2345B" w:rsidP="00623B6E"/>
          <w:p w:rsidR="00E2345B" w:rsidRDefault="00E2345B" w:rsidP="00623B6E"/>
          <w:p w:rsidR="00046DF2" w:rsidRDefault="00046DF2" w:rsidP="00623B6E">
            <w:pPr>
              <w:rPr>
                <w:b/>
              </w:rPr>
            </w:pPr>
          </w:p>
          <w:p w:rsidR="00046DF2" w:rsidRDefault="00046DF2" w:rsidP="00623B6E">
            <w:pPr>
              <w:rPr>
                <w:b/>
              </w:rPr>
            </w:pPr>
          </w:p>
          <w:p w:rsidR="00E2345B" w:rsidRPr="00F5618C" w:rsidRDefault="00F5618C" w:rsidP="00623B6E">
            <w:pPr>
              <w:rPr>
                <w:b/>
              </w:rPr>
            </w:pPr>
            <w:r w:rsidRPr="00F5618C">
              <w:rPr>
                <w:b/>
              </w:rPr>
              <w:t xml:space="preserve">External </w:t>
            </w:r>
          </w:p>
          <w:p w:rsidR="00E2345B" w:rsidRPr="00F5618C" w:rsidRDefault="00E2345B" w:rsidP="00623B6E">
            <w:pPr>
              <w:rPr>
                <w:b/>
              </w:rPr>
            </w:pPr>
            <w:r>
              <w:t xml:space="preserve">All budget and business plan assumptions are approved by the Board with input from external expertise on key matters such as interest rates, inflation, etc. </w:t>
            </w:r>
            <w:r w:rsidR="00324B8F">
              <w:t>where appropriate.</w:t>
            </w:r>
            <w:r w:rsidR="00324B8F" w:rsidRPr="00F5618C">
              <w:rPr>
                <w:b/>
              </w:rPr>
              <w:t xml:space="preserve"> </w:t>
            </w:r>
          </w:p>
          <w:p w:rsidR="00E2345B" w:rsidRDefault="00E2345B" w:rsidP="00623B6E"/>
          <w:p w:rsidR="00046DF2" w:rsidRDefault="00046DF2" w:rsidP="00623B6E">
            <w:pPr>
              <w:rPr>
                <w:b/>
              </w:rPr>
            </w:pPr>
          </w:p>
          <w:p w:rsidR="00F5618C" w:rsidRPr="00F5618C" w:rsidRDefault="00F5618C" w:rsidP="00623B6E">
            <w:pPr>
              <w:rPr>
                <w:b/>
              </w:rPr>
            </w:pPr>
            <w:r w:rsidRPr="00F5618C">
              <w:rPr>
                <w:b/>
              </w:rPr>
              <w:t>Internal</w:t>
            </w:r>
          </w:p>
          <w:p w:rsidR="00E2345B" w:rsidRDefault="00E2345B" w:rsidP="00623B6E">
            <w:r>
              <w:t xml:space="preserve">The business plan is updated on a quarterly basis to inform the quarterly Treasury updates. Compliance with lender covenants is a key Performance indicator (PI) for the </w:t>
            </w:r>
            <w:r>
              <w:lastRenderedPageBreak/>
              <w:t>Board and is updated quarterly. Major changes in the operating</w:t>
            </w:r>
            <w:r w:rsidR="003C7699">
              <w:t xml:space="preserve"> environment (-1% rents announcement). Resulted in a requirement for all HA’s to do a further HCA update for October</w:t>
            </w:r>
            <w:r>
              <w:t xml:space="preserve"> </w:t>
            </w:r>
            <w:r w:rsidR="003C7699">
              <w:t>2016, which the Board approved</w:t>
            </w:r>
            <w:r w:rsidR="00C9004A">
              <w:t>.</w:t>
            </w:r>
          </w:p>
          <w:p w:rsidR="008E23C0" w:rsidRDefault="008E23C0" w:rsidP="00623B6E">
            <w:pPr>
              <w:rPr>
                <w:b/>
              </w:rPr>
            </w:pPr>
          </w:p>
          <w:p w:rsidR="00E2345B" w:rsidRPr="00CE2488" w:rsidRDefault="00CE2488" w:rsidP="00623B6E">
            <w:pPr>
              <w:rPr>
                <w:b/>
              </w:rPr>
            </w:pPr>
            <w:r w:rsidRPr="00CE2488">
              <w:rPr>
                <w:b/>
              </w:rPr>
              <w:t xml:space="preserve">Internal </w:t>
            </w:r>
          </w:p>
          <w:p w:rsidR="00E2345B" w:rsidRDefault="00E2345B" w:rsidP="00623B6E">
            <w:r>
              <w:t xml:space="preserve">Any major decisions outside normal operating parameters are subject to inclusion in the business plan to assess the overall financial impact. This includes for example any housing for outright sale schemes which the Board are asked to approve (one in 15-16 </w:t>
            </w:r>
            <w:r>
              <w:lastRenderedPageBreak/>
              <w:t>at Biggin Hill, Croydon)</w:t>
            </w:r>
            <w:r w:rsidR="00646EEF">
              <w:t>. The Board’s risk appetite defines the precise distance from a breach of covenant that is required</w:t>
            </w:r>
            <w:r w:rsidR="00C9004A">
              <w:t xml:space="preserve"> to ensure no breach occurs and this is reported </w:t>
            </w:r>
            <w:r w:rsidR="008E23C0">
              <w:t>quarterly</w:t>
            </w:r>
            <w:r w:rsidR="00C9004A">
              <w:t xml:space="preserve"> to the Board</w:t>
            </w:r>
            <w:r w:rsidR="00646EEF">
              <w:t xml:space="preserve">. </w:t>
            </w:r>
            <w:r>
              <w:t xml:space="preserve">  </w:t>
            </w:r>
          </w:p>
          <w:p w:rsidR="00E2345B" w:rsidRDefault="00E2345B" w:rsidP="00623B6E"/>
          <w:p w:rsidR="00E2345B" w:rsidRDefault="00E2345B" w:rsidP="00623B6E"/>
          <w:p w:rsidR="00CE2488" w:rsidRPr="00CE2488" w:rsidRDefault="00CE2488" w:rsidP="00623B6E">
            <w:pPr>
              <w:rPr>
                <w:b/>
              </w:rPr>
            </w:pPr>
            <w:r w:rsidRPr="00CE2488">
              <w:rPr>
                <w:b/>
              </w:rPr>
              <w:t>External</w:t>
            </w:r>
          </w:p>
          <w:p w:rsidR="00646EEF" w:rsidRDefault="00646EEF" w:rsidP="00623B6E">
            <w:r>
              <w:t xml:space="preserve">Hexagon has just one subsidiary and the Governance structure for Horniman HA reflects the legal advice which the Board have obtained to ensure the controls are effective. </w:t>
            </w:r>
          </w:p>
          <w:p w:rsidR="00E2345B" w:rsidRDefault="00E2345B" w:rsidP="00623B6E">
            <w:r>
              <w:t xml:space="preserve"> </w:t>
            </w:r>
          </w:p>
          <w:p w:rsidR="00E2345B" w:rsidRDefault="00E2345B" w:rsidP="00623B6E"/>
        </w:tc>
        <w:tc>
          <w:tcPr>
            <w:tcW w:w="1450" w:type="dxa"/>
          </w:tcPr>
          <w:p w:rsidR="006E3298" w:rsidRPr="00046DF2" w:rsidRDefault="00046DF2">
            <w:pPr>
              <w:rPr>
                <w:b/>
              </w:rPr>
            </w:pPr>
            <w:r w:rsidRPr="00046DF2">
              <w:rPr>
                <w:b/>
              </w:rPr>
              <w:lastRenderedPageBreak/>
              <w:t>H</w:t>
            </w:r>
          </w:p>
        </w:tc>
      </w:tr>
      <w:tr w:rsidR="006E3298" w:rsidTr="00402F70">
        <w:tc>
          <w:tcPr>
            <w:tcW w:w="2512" w:type="dxa"/>
          </w:tcPr>
          <w:p w:rsidR="006E3298" w:rsidRDefault="006E3298">
            <w:r>
              <w:lastRenderedPageBreak/>
              <w:t xml:space="preserve">2.5 In addition to the above registered providers shall assess, manage and where </w:t>
            </w:r>
            <w:r>
              <w:lastRenderedPageBreak/>
              <w:t xml:space="preserve">appropriate address risks to ensure the long term viability of the registered provider, including ensuring that social housing assets are protected. Registered providers shall do so by: (a) maintaining a thorough, accurate and up to date record of their assets and liabilities and particularly those liabilities that may have recourse to social housing assets (b) carrying out detailed and robust stress testing against identified risks and combinations of risks across a range of scenarios and putting appropriate mitigation strategies in place as a result (c) before taking on new liabilities, </w:t>
            </w:r>
            <w:r>
              <w:lastRenderedPageBreak/>
              <w:t>ensuring that they understand and manage the likely impact on current and future business and regulatory compliance</w:t>
            </w:r>
          </w:p>
        </w:tc>
        <w:tc>
          <w:tcPr>
            <w:tcW w:w="4873" w:type="dxa"/>
          </w:tcPr>
          <w:p w:rsidR="006E3298" w:rsidRDefault="006E3298">
            <w:r>
              <w:lastRenderedPageBreak/>
              <w:t xml:space="preserve">Paragraph 2.5: expectations about risk management </w:t>
            </w:r>
          </w:p>
          <w:p w:rsidR="006E3298" w:rsidRDefault="006E3298"/>
          <w:p w:rsidR="006E3298" w:rsidRDefault="006E3298">
            <w:r>
              <w:t xml:space="preserve">29 Boards are the custodians of social housing </w:t>
            </w:r>
            <w:r>
              <w:lastRenderedPageBreak/>
              <w:t xml:space="preserve">assets and the financial viability of the registered providers that hold those assets. The responsibility for managing risks, and specifically risks to social housing assets, lies with boards. As social housing is a long term asset, normally funded by long-term debt, it follows that boards need to maintain a long-term perspective on managing risk. They need to ensure that their decisions do not put short-term gains ahead of the long term sustainability of the business and the security of their social housing assets. Paragraph </w:t>
            </w:r>
          </w:p>
          <w:p w:rsidR="006E3298" w:rsidRDefault="006E3298"/>
          <w:p w:rsidR="00F5618C" w:rsidRDefault="00F5618C"/>
          <w:p w:rsidR="00F5618C" w:rsidRDefault="00F5618C"/>
          <w:p w:rsidR="00F5618C" w:rsidRDefault="00F5618C"/>
          <w:p w:rsidR="00F5618C" w:rsidRDefault="00F5618C"/>
          <w:p w:rsidR="007C3C1A" w:rsidRDefault="007C3C1A"/>
          <w:p w:rsidR="007C3C1A" w:rsidRDefault="007C3C1A"/>
          <w:p w:rsidR="00046DF2" w:rsidRDefault="00046DF2"/>
          <w:p w:rsidR="00046DF2" w:rsidRDefault="00046DF2"/>
          <w:p w:rsidR="00046DF2" w:rsidRDefault="00046DF2"/>
          <w:p w:rsidR="00046DF2" w:rsidRDefault="00046DF2"/>
          <w:p w:rsidR="006E3298" w:rsidRDefault="006E3298">
            <w:r>
              <w:t xml:space="preserve">2.5.a): expectations about assets and liabilities </w:t>
            </w:r>
          </w:p>
          <w:p w:rsidR="006E3298" w:rsidRDefault="006E3298"/>
          <w:p w:rsidR="00C1311C" w:rsidRDefault="00C1311C"/>
          <w:p w:rsidR="00046DF2" w:rsidRDefault="00046DF2"/>
          <w:p w:rsidR="006E3298" w:rsidRDefault="006E3298">
            <w:r>
              <w:lastRenderedPageBreak/>
              <w:t xml:space="preserve">30 The primary purpose of this requirement is to ensure that registered providers understand their housing assets and security position and have swift access to this information in decision making and risk management. Such information needs to be readily available in the event of a potential or actual failure of the registered provider. This will enable the regulator to draw up resolution strategies and aid a potential rescuer to value the social housing assets. The asset and liability register should contain sufficient information to enable a potential buyer to accurately price the value of the business and/or the value of the social housing assets in the event of distress. </w:t>
            </w:r>
          </w:p>
          <w:p w:rsidR="006E3298" w:rsidRDefault="006E3298"/>
          <w:p w:rsidR="00046DF2" w:rsidRDefault="00046DF2"/>
          <w:p w:rsidR="00046DF2" w:rsidRDefault="00046DF2"/>
          <w:p w:rsidR="00046DF2" w:rsidRDefault="00046DF2"/>
          <w:p w:rsidR="00046DF2" w:rsidRDefault="00046DF2"/>
          <w:p w:rsidR="00046DF2" w:rsidRDefault="00046DF2"/>
          <w:p w:rsidR="00046DF2" w:rsidRDefault="00046DF2"/>
          <w:p w:rsidR="00046DF2" w:rsidRDefault="00046DF2"/>
          <w:p w:rsidR="006E3298" w:rsidRDefault="006E3298">
            <w:r>
              <w:t xml:space="preserve">31 It is for registered providers to ensure such information is accurate and up-to-date. They should be able to produce an overview for the regulator at short notice. The records need to cover the breadth </w:t>
            </w:r>
            <w:r>
              <w:lastRenderedPageBreak/>
              <w:t xml:space="preserve">of the registered provider’s activities (including activities carried out in subsidiaries, joint ventures and SPVs) and identify its assets and liabilities. The regulator does not prescribe the format of such records. The approach taken is likely to vary according to the size and complexity of the registered provider. The regulator expects that a registered provider’s board will oversee the maintenance of these records and that they are readily reconcilable and regularly reconciled. </w:t>
            </w:r>
          </w:p>
          <w:p w:rsidR="006E3298" w:rsidRDefault="006E3298"/>
          <w:p w:rsidR="008E23C0" w:rsidRDefault="008E23C0"/>
          <w:p w:rsidR="006E3298" w:rsidRDefault="006E3298">
            <w:r>
              <w:t xml:space="preserve">32 Asset records should clearly identify social housing assets and where these assets are encumbered. Such records would normally include, but are not limited to, treasury arrangements, key contracts, title information and any restrictions on that title (for example planning obligations, charitable or other restrictions), valuations, stock condition and lender covenants. </w:t>
            </w:r>
          </w:p>
          <w:p w:rsidR="006E3298" w:rsidRDefault="006E3298"/>
          <w:p w:rsidR="006E3298" w:rsidRDefault="006E3298">
            <w:r>
              <w:t xml:space="preserve">33 Registered providers should consider and record their liabilities in the widest context. The regulator considers the liabilities should include items which relate directly to the social housing assets and those which might have an impact on the business </w:t>
            </w:r>
            <w:r>
              <w:lastRenderedPageBreak/>
              <w:t xml:space="preserve">as a whole. This may include, but is not limited to: </w:t>
            </w:r>
            <w:r>
              <w:sym w:font="Symbol" w:char="F0B7"/>
            </w:r>
            <w:r>
              <w:t xml:space="preserve"> loans including borrowing from other group companies or related undertakings </w:t>
            </w:r>
            <w:r>
              <w:sym w:font="Symbol" w:char="F0B7"/>
            </w:r>
            <w:r>
              <w:t xml:space="preserve"> guarantees, indemnities etc. including those provided to subsidiaries and SPVs, whether secured or unsecured </w:t>
            </w:r>
            <w:r>
              <w:sym w:font="Symbol" w:char="F0B7"/>
            </w:r>
            <w:r>
              <w:t xml:space="preserve"> leases, sale/lease and leaseback transactions </w:t>
            </w:r>
            <w:r>
              <w:sym w:font="Symbol" w:char="F0B7"/>
            </w:r>
            <w:r>
              <w:t xml:space="preserve"> mark-to-market exposures on derivative positions </w:t>
            </w:r>
            <w:r>
              <w:sym w:font="Symbol" w:char="F0B7"/>
            </w:r>
            <w:r>
              <w:t xml:space="preserve"> cross default provisions (for example, a provision in a loan agreement which provides that a default on one loan agreement gives rise to a default on another one, including where these potentially cross between entities) </w:t>
            </w:r>
            <w:r>
              <w:sym w:font="Symbol" w:char="F0B7"/>
            </w:r>
            <w:r>
              <w:t xml:space="preserve"> a duty or responsibility that obligates the entity to another, leaving it little or no discretion to avoid settlement </w:t>
            </w:r>
            <w:r>
              <w:sym w:font="Symbol" w:char="F0B7"/>
            </w:r>
            <w:r>
              <w:t xml:space="preserve"> the potential for any impairment particularly in relation to investments in non-core activities </w:t>
            </w:r>
          </w:p>
          <w:p w:rsidR="006E3298" w:rsidRDefault="006E3298"/>
          <w:p w:rsidR="00256DB9" w:rsidRDefault="00256DB9"/>
          <w:p w:rsidR="00256DB9" w:rsidRDefault="00256DB9"/>
          <w:p w:rsidR="006E3298" w:rsidRDefault="006E3298">
            <w:r>
              <w:t xml:space="preserve">34 Within group structures, boards should ensure they have full understanding of where liabilities exist between all entities (both registered and unregistered). This should include understanding of how a failure in one part of the group may affect other members of the group. Registered providers </w:t>
            </w:r>
            <w:r>
              <w:lastRenderedPageBreak/>
              <w:t xml:space="preserve">in a group should ensure they have an appropriate methodology to model and communicate the impacts of risks crystallising in one entity on other entities within the group, in particular where there would be recourse to social housing assets. </w:t>
            </w:r>
          </w:p>
          <w:p w:rsidR="006E3298" w:rsidRDefault="006E3298"/>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8B1B55" w:rsidRDefault="008B1B55"/>
          <w:p w:rsidR="00256DB9" w:rsidRDefault="00256DB9"/>
          <w:p w:rsidR="00256DB9" w:rsidRDefault="00256DB9"/>
          <w:p w:rsidR="00256DB9" w:rsidRDefault="00256DB9"/>
          <w:p w:rsidR="00256DB9" w:rsidRDefault="00256DB9"/>
          <w:p w:rsidR="006E3298" w:rsidRDefault="006E3298">
            <w:r>
              <w:lastRenderedPageBreak/>
              <w:t xml:space="preserve">Paragraph 2.5 b): expectations on stress testing </w:t>
            </w:r>
          </w:p>
          <w:p w:rsidR="006E3298" w:rsidRDefault="006E3298"/>
          <w:p w:rsidR="006E3298" w:rsidRDefault="006E3298">
            <w:r>
              <w:t xml:space="preserve">35 The regulator expects registered providers, as part of their risk management approach, to stress test their plans against different scenarios across the whole group. The scenarios used will vary according to the size, type and structure of the organisation. Registered providers should go beyond simple sensitivity testing and include multivariate analysis which tests against potential serious economic and business risks. Registered providers should explore those conditions which could lead to failure of the business, even if planned mitigations and controls are successfully implemented. They should assure themselves that the scenarios are consistent with what they consider to be acceptable levels of risk and their obligations. Stress testing should employ scenarios that are designed to assess resilience. </w:t>
            </w:r>
          </w:p>
          <w:p w:rsidR="006E3298" w:rsidRDefault="006E3298"/>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256DB9" w:rsidRDefault="00256DB9"/>
          <w:p w:rsidR="006E3298" w:rsidRDefault="006E3298">
            <w:r>
              <w:t xml:space="preserve">36 In designing the stress testing, boards should consider both the long term, cyclical nature of economic factors that impact on the business as well as internal business risks. </w:t>
            </w:r>
          </w:p>
          <w:p w:rsidR="006E3298" w:rsidRDefault="006E3298"/>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393781" w:rsidRDefault="00393781" w:rsidP="001C6DFE"/>
          <w:p w:rsidR="006E3298" w:rsidRDefault="006E3298" w:rsidP="001C6DFE">
            <w:r>
              <w:t xml:space="preserve">37 Two potential examples are offered by way of illustration: a) The board of a developing registered provider with a shared ownership and outright sale programme that is raising external debt will need to think about how key variables in the business plan would move during a housing market slowdown or crash. This would include, for example: </w:t>
            </w:r>
            <w:r>
              <w:sym w:font="Symbol" w:char="F0B7"/>
            </w:r>
            <w:r>
              <w:t xml:space="preserve"> what is happening to sale prices and volumes </w:t>
            </w:r>
            <w:r>
              <w:sym w:font="Symbol" w:char="F0B7"/>
            </w:r>
            <w:r>
              <w:t xml:space="preserve"> how lenders would be operating in that market </w:t>
            </w:r>
            <w:r>
              <w:sym w:font="Symbol" w:char="F0B7"/>
            </w:r>
            <w:r>
              <w:t xml:space="preserve"> the potential for impairment </w:t>
            </w:r>
            <w:r>
              <w:sym w:font="Symbol" w:char="F0B7"/>
            </w:r>
            <w:r>
              <w:t xml:space="preserve"> what might be happening to variable rate debt and the costs of </w:t>
            </w:r>
            <w:r>
              <w:lastRenderedPageBreak/>
              <w:t xml:space="preserve">working capital </w:t>
            </w:r>
            <w:r>
              <w:sym w:font="Symbol" w:char="F0B7"/>
            </w:r>
            <w:r>
              <w:t xml:space="preserve"> other costs of holding the asset such as increased security costs and the movements in nominal and real inflation rates  b) The board of an organisation with significant supported housing business, but little new development, will need to think about for example: </w:t>
            </w:r>
            <w:r>
              <w:sym w:font="Symbol" w:char="F0B7"/>
            </w:r>
            <w:r>
              <w:t xml:space="preserve"> what might happen to corporate overheads and contract-specific costs if the registered provider lost key contracts </w:t>
            </w:r>
            <w:r>
              <w:sym w:font="Symbol" w:char="F0B7"/>
            </w:r>
            <w:r>
              <w:t xml:space="preserve"> unsustainable price inflation or wage growth that removed margin from the business </w:t>
            </w:r>
          </w:p>
          <w:p w:rsidR="006E3298" w:rsidRDefault="006E3298" w:rsidP="001C6DFE"/>
          <w:p w:rsidR="006E3298" w:rsidRDefault="006E3298" w:rsidP="001C6DFE">
            <w:r>
              <w:t xml:space="preserve">38 Managing and addressing risk should involve developing plausible scenarios that test the business plan against adverse movements in the operating environment. Doing so will help underpin boards’ understanding of where the risks lie and inform their consideration and planning for remedial action if the risks crystallise either singly or in combinations. Registered providers should consider the implications of this stress testing for its existing business including how the business may need to respond, whether business streams may need to be altered or stopped, whether it has sufficient headroom, what controls they have in place and how those controls are implemented. </w:t>
            </w:r>
          </w:p>
          <w:p w:rsidR="006E3298" w:rsidRDefault="006E3298" w:rsidP="001C6DFE"/>
          <w:p w:rsidR="006E3298" w:rsidRDefault="006E3298" w:rsidP="001C6DFE">
            <w:r>
              <w:t>39 As long-term businesses, registered providers need to ensure that they can withstand the long-term cycles in the economy and that short term decisions do not constrain their ability to cope with risk. This does not prevent registered providers from taking on measured risk to deliver their objectives. It means that when taking on risks, boards should fully understand the impact on their business in the round, as well as on their social housing assets. Boards should have appropriate mitigations and controls in place as well as a strategy to protect those assets during the long term</w:t>
            </w:r>
          </w:p>
        </w:tc>
        <w:tc>
          <w:tcPr>
            <w:tcW w:w="1512" w:type="dxa"/>
          </w:tcPr>
          <w:p w:rsidR="006E3298" w:rsidRPr="00646EEF" w:rsidRDefault="00646EEF">
            <w:pPr>
              <w:rPr>
                <w:b/>
              </w:rPr>
            </w:pPr>
            <w:r w:rsidRPr="00646EEF">
              <w:rPr>
                <w:b/>
              </w:rPr>
              <w:lastRenderedPageBreak/>
              <w:t>F</w:t>
            </w:r>
          </w:p>
        </w:tc>
        <w:tc>
          <w:tcPr>
            <w:tcW w:w="1417" w:type="dxa"/>
          </w:tcPr>
          <w:p w:rsidR="006E3298" w:rsidRPr="00C9004A" w:rsidRDefault="00C9004A">
            <w:pPr>
              <w:rPr>
                <w:b/>
              </w:rPr>
            </w:pPr>
            <w:r w:rsidRPr="00C9004A">
              <w:rPr>
                <w:b/>
              </w:rPr>
              <w:t xml:space="preserve">None </w:t>
            </w:r>
          </w:p>
        </w:tc>
        <w:tc>
          <w:tcPr>
            <w:tcW w:w="2410" w:type="dxa"/>
          </w:tcPr>
          <w:p w:rsidR="006E3298" w:rsidRDefault="006E3298"/>
          <w:p w:rsidR="00646EEF" w:rsidRDefault="00646EEF"/>
          <w:p w:rsidR="00046DF2" w:rsidRDefault="00046DF2">
            <w:pPr>
              <w:rPr>
                <w:b/>
              </w:rPr>
            </w:pPr>
          </w:p>
          <w:p w:rsidR="00646EEF" w:rsidRPr="00F5618C" w:rsidRDefault="00F5618C">
            <w:pPr>
              <w:rPr>
                <w:b/>
              </w:rPr>
            </w:pPr>
            <w:r w:rsidRPr="00F5618C">
              <w:rPr>
                <w:b/>
              </w:rPr>
              <w:t xml:space="preserve">Internal </w:t>
            </w:r>
          </w:p>
          <w:p w:rsidR="00F5618C" w:rsidRDefault="00F5618C">
            <w:r>
              <w:lastRenderedPageBreak/>
              <w:t>Long term sustainability is the key driver in developing th</w:t>
            </w:r>
            <w:r w:rsidR="00C9004A">
              <w:t>e Business Plan, for updating the plan</w:t>
            </w:r>
            <w:r>
              <w:t xml:space="preserve"> quarterly, and for managing the risks that arise from each update. Social housing assets are charged to secure </w:t>
            </w:r>
          </w:p>
          <w:p w:rsidR="007C3C1A" w:rsidRDefault="00CE2488">
            <w:r>
              <w:t>borrowings, but Hexagon has never encountered any</w:t>
            </w:r>
            <w:r w:rsidR="00F5618C">
              <w:t xml:space="preserve"> </w:t>
            </w:r>
            <w:r>
              <w:t>significant risk</w:t>
            </w:r>
            <w:r w:rsidR="00F5618C">
              <w:t xml:space="preserve"> to losing </w:t>
            </w:r>
            <w:r>
              <w:t xml:space="preserve">any </w:t>
            </w:r>
            <w:r w:rsidR="00F5618C">
              <w:t>of those ass</w:t>
            </w:r>
            <w:r w:rsidR="007C3C1A">
              <w:t>ets to lenders and our risk management framework is designed to ensure no loss ever occurs.</w:t>
            </w:r>
            <w:r w:rsidR="00C1311C">
              <w:t xml:space="preserve"> Covenant compliance is regularly reported to the Board. </w:t>
            </w:r>
          </w:p>
          <w:p w:rsidR="007C3C1A" w:rsidRDefault="007C3C1A"/>
          <w:p w:rsidR="00C1311C" w:rsidRDefault="00C1311C"/>
          <w:p w:rsidR="00046DF2" w:rsidRDefault="00046DF2">
            <w:pPr>
              <w:rPr>
                <w:b/>
              </w:rPr>
            </w:pPr>
          </w:p>
          <w:p w:rsidR="00046DF2" w:rsidRDefault="00046DF2">
            <w:pPr>
              <w:rPr>
                <w:b/>
              </w:rPr>
            </w:pPr>
          </w:p>
          <w:p w:rsidR="00046DF2" w:rsidRDefault="00046DF2">
            <w:pPr>
              <w:rPr>
                <w:b/>
              </w:rPr>
            </w:pPr>
          </w:p>
          <w:p w:rsidR="00C1311C" w:rsidRPr="00C1311C" w:rsidRDefault="00046DF2">
            <w:pPr>
              <w:rPr>
                <w:b/>
              </w:rPr>
            </w:pPr>
            <w:r>
              <w:rPr>
                <w:b/>
              </w:rPr>
              <w:lastRenderedPageBreak/>
              <w:t>I</w:t>
            </w:r>
            <w:r w:rsidR="00C1311C" w:rsidRPr="00C1311C">
              <w:rPr>
                <w:b/>
              </w:rPr>
              <w:t xml:space="preserve">nternal </w:t>
            </w:r>
          </w:p>
          <w:p w:rsidR="00C1311C" w:rsidRDefault="00C1311C">
            <w:r>
              <w:t xml:space="preserve">When the new regulatory requirement to produce an Assets and Liabilities register was introduced from 1 April 2015, the Audit and Risk committee quickly agreed a plan of action for developing the register. Progress was reported regularly until the register was completed. The A+R committee then agreed that the  register be subject to a strategic audit by the Internal Auditors to ensure full compliance (see </w:t>
            </w:r>
            <w:r w:rsidR="00393781">
              <w:t xml:space="preserve">33 </w:t>
            </w:r>
            <w:r>
              <w:t xml:space="preserve">below). </w:t>
            </w:r>
          </w:p>
          <w:p w:rsidR="00C1311C" w:rsidRDefault="00C1311C"/>
          <w:p w:rsidR="007C3C1A" w:rsidRDefault="00C1311C">
            <w:r>
              <w:t xml:space="preserve">The F+IT Director has also developed a </w:t>
            </w:r>
          </w:p>
          <w:p w:rsidR="007C3C1A" w:rsidRDefault="00324B8F">
            <w:pPr>
              <w:rPr>
                <w:b/>
              </w:rPr>
            </w:pPr>
            <w:r>
              <w:t>Proc</w:t>
            </w:r>
            <w:r w:rsidR="00C1311C">
              <w:t xml:space="preserve">edure </w:t>
            </w:r>
            <w:r>
              <w:t xml:space="preserve">to ensure that </w:t>
            </w:r>
            <w:r w:rsidR="00C9004A">
              <w:t>the register i</w:t>
            </w:r>
            <w:r w:rsidR="00C1311C">
              <w:t>s kept</w:t>
            </w:r>
            <w:r>
              <w:t xml:space="preserve"> </w:t>
            </w:r>
            <w:r>
              <w:lastRenderedPageBreak/>
              <w:t xml:space="preserve">up to day and </w:t>
            </w:r>
            <w:r w:rsidR="00C1311C">
              <w:t xml:space="preserve">key </w:t>
            </w:r>
            <w:r>
              <w:t>responsibil</w:t>
            </w:r>
            <w:r w:rsidR="00C1311C">
              <w:t>ities are delegated to specific managers within Hexagon</w:t>
            </w:r>
            <w:r>
              <w:t xml:space="preserve">. </w:t>
            </w:r>
            <w:r w:rsidR="00C1311C">
              <w:t>The p</w:t>
            </w:r>
            <w:r>
              <w:t xml:space="preserve">rocedure also outlines </w:t>
            </w:r>
            <w:r w:rsidR="00C1311C">
              <w:t xml:space="preserve">the process whereby someone other than the FD can </w:t>
            </w:r>
            <w:r>
              <w:t>access</w:t>
            </w:r>
            <w:r w:rsidR="00C1311C">
              <w:t xml:space="preserve"> the detailed contents of the register (i.e. the regulator or another  HA) </w:t>
            </w:r>
            <w:r>
              <w:t xml:space="preserve">   </w:t>
            </w:r>
          </w:p>
          <w:p w:rsidR="007C3C1A" w:rsidRDefault="007C3C1A">
            <w:pPr>
              <w:rPr>
                <w:b/>
              </w:rPr>
            </w:pPr>
          </w:p>
          <w:p w:rsidR="007C3C1A" w:rsidRDefault="00393781">
            <w:pPr>
              <w:rPr>
                <w:b/>
              </w:rPr>
            </w:pPr>
            <w:r>
              <w:rPr>
                <w:b/>
              </w:rPr>
              <w:t>External</w:t>
            </w:r>
          </w:p>
          <w:p w:rsidR="00393781" w:rsidRPr="00393781" w:rsidRDefault="00393781">
            <w:r>
              <w:t xml:space="preserve">Following the completion of the A+L register, </w:t>
            </w:r>
            <w:r w:rsidR="00256DB9">
              <w:t xml:space="preserve">in August 2015 </w:t>
            </w:r>
            <w:r>
              <w:t>the internal auditors carried out a strategic audit to provide ad</w:t>
            </w:r>
            <w:r w:rsidR="00256DB9">
              <w:t>ditional external assurance of complianc</w:t>
            </w:r>
            <w:r>
              <w:t>e with the</w:t>
            </w:r>
            <w:r w:rsidR="00256DB9">
              <w:t xml:space="preserve"> new regulatory requirements. The </w:t>
            </w:r>
            <w:r w:rsidR="00256DB9">
              <w:lastRenderedPageBreak/>
              <w:t xml:space="preserve">result, which was reported to the November A+R Committee, was a finding of “substantial” assurance (the highest rating). There were no significant or fundamental recommendations, but there were 7 housekeeping recommendations, all of which were agreed.    </w:t>
            </w:r>
            <w:r>
              <w:t xml:space="preserve">  </w:t>
            </w:r>
          </w:p>
          <w:p w:rsidR="00256DB9" w:rsidRDefault="00256DB9">
            <w:pPr>
              <w:rPr>
                <w:b/>
              </w:rPr>
            </w:pPr>
          </w:p>
          <w:p w:rsidR="00046DF2" w:rsidRDefault="00046DF2">
            <w:pPr>
              <w:rPr>
                <w:b/>
              </w:rPr>
            </w:pPr>
          </w:p>
          <w:p w:rsidR="00046DF2" w:rsidRDefault="00046DF2">
            <w:pPr>
              <w:rPr>
                <w:b/>
              </w:rPr>
            </w:pPr>
          </w:p>
          <w:p w:rsidR="00046DF2" w:rsidRDefault="00046DF2">
            <w:pPr>
              <w:rPr>
                <w:b/>
              </w:rPr>
            </w:pPr>
          </w:p>
          <w:p w:rsidR="00046DF2" w:rsidRDefault="00046DF2">
            <w:pPr>
              <w:rPr>
                <w:b/>
              </w:rPr>
            </w:pPr>
          </w:p>
          <w:p w:rsidR="008E23C0" w:rsidRDefault="008E23C0">
            <w:pPr>
              <w:rPr>
                <w:b/>
              </w:rPr>
            </w:pPr>
          </w:p>
          <w:p w:rsidR="00046DF2" w:rsidRPr="00046DF2" w:rsidRDefault="00046DF2">
            <w:pPr>
              <w:rPr>
                <w:b/>
              </w:rPr>
            </w:pPr>
            <w:r w:rsidRPr="00046DF2">
              <w:rPr>
                <w:b/>
              </w:rPr>
              <w:t xml:space="preserve">Internal </w:t>
            </w:r>
          </w:p>
          <w:p w:rsidR="007C3C1A" w:rsidRDefault="00843F19">
            <w:r>
              <w:t>The Board approved I</w:t>
            </w:r>
            <w:r w:rsidR="007C3C1A">
              <w:t>nvestment policy</w:t>
            </w:r>
            <w:r>
              <w:t xml:space="preserve"> clearly</w:t>
            </w:r>
            <w:r w:rsidR="007C3C1A">
              <w:t xml:space="preserve"> </w:t>
            </w:r>
            <w:r>
              <w:t xml:space="preserve">caps any housing for outright sale exposure </w:t>
            </w:r>
            <w:r w:rsidR="00C9004A">
              <w:t>that Hexago</w:t>
            </w:r>
            <w:r>
              <w:t xml:space="preserve">n </w:t>
            </w:r>
            <w:r>
              <w:lastRenderedPageBreak/>
              <w:t>can invest via Horniman at any given time. The Board approved capital a</w:t>
            </w:r>
            <w:r w:rsidR="008B1B55">
              <w:t xml:space="preserve">t risk cap has been explicitly designed to ensure that in the </w:t>
            </w:r>
            <w:r w:rsidR="00256DB9">
              <w:t xml:space="preserve">event of a property downturn, </w:t>
            </w:r>
            <w:r w:rsidR="008B1B55">
              <w:t xml:space="preserve">Hexagon housing assets would </w:t>
            </w:r>
            <w:r w:rsidR="00256DB9">
              <w:t xml:space="preserve">not </w:t>
            </w:r>
            <w:r w:rsidR="008B1B55">
              <w:t xml:space="preserve">be put at </w:t>
            </w:r>
            <w:r w:rsidR="00256DB9">
              <w:t xml:space="preserve">undue </w:t>
            </w:r>
            <w:r w:rsidR="008B1B55">
              <w:t xml:space="preserve">risk. </w:t>
            </w:r>
            <w:r>
              <w:t xml:space="preserve"> </w:t>
            </w:r>
            <w:r w:rsidR="008E23C0">
              <w:t xml:space="preserve">In establishing the relationship between Hexagon and Horniman in respect of outright sale activities, the Board fully recognised that Hexagon would have to stand behind Horniman in the event of a market downturn the Hexagon Board carefully monitors both caps.  </w:t>
            </w:r>
          </w:p>
          <w:p w:rsidR="007C3C1A" w:rsidRDefault="007C3C1A"/>
          <w:p w:rsidR="007C3C1A" w:rsidRDefault="007C3C1A"/>
          <w:p w:rsidR="00C9004A" w:rsidRDefault="00C9004A">
            <w:pPr>
              <w:rPr>
                <w:b/>
              </w:rPr>
            </w:pPr>
          </w:p>
          <w:p w:rsidR="00C9004A" w:rsidRDefault="00C9004A">
            <w:pPr>
              <w:rPr>
                <w:b/>
              </w:rPr>
            </w:pPr>
          </w:p>
          <w:p w:rsidR="00C9004A" w:rsidRDefault="00C9004A">
            <w:pPr>
              <w:rPr>
                <w:b/>
              </w:rPr>
            </w:pPr>
          </w:p>
          <w:p w:rsidR="00C9004A" w:rsidRDefault="00C9004A">
            <w:pPr>
              <w:rPr>
                <w:b/>
              </w:rPr>
            </w:pPr>
          </w:p>
          <w:p w:rsidR="007C3C1A" w:rsidRPr="00046DF2" w:rsidRDefault="00046DF2">
            <w:pPr>
              <w:rPr>
                <w:b/>
              </w:rPr>
            </w:pPr>
            <w:r w:rsidRPr="00046DF2">
              <w:rPr>
                <w:b/>
              </w:rPr>
              <w:t>Internal</w:t>
            </w:r>
          </w:p>
          <w:p w:rsidR="007C3C1A" w:rsidRDefault="00393781">
            <w:r>
              <w:t xml:space="preserve">Shortly after the Regulator introduced the new regulatory requirements around stress testing in April 2015, , the May Board considered a revised business plan which included multi variant stress testing including a scenario that broke the business. A small sub group of the Board then met </w:t>
            </w:r>
            <w:r w:rsidR="009671E4">
              <w:t xml:space="preserve">in the early Autumn </w:t>
            </w:r>
            <w:r>
              <w:t>2015 to discuss possible mitigation</w:t>
            </w:r>
            <w:r w:rsidR="00C9004A">
              <w:t xml:space="preserve"> options. T</w:t>
            </w:r>
            <w:r>
              <w:t>heir work resulted in a further Board report to t</w:t>
            </w:r>
            <w:r w:rsidR="009671E4">
              <w:t xml:space="preserve">he November </w:t>
            </w:r>
            <w:r>
              <w:t>2015 Board</w:t>
            </w:r>
            <w:r w:rsidR="00C9004A">
              <w:t xml:space="preserve"> with mitigating actions agreed</w:t>
            </w:r>
            <w:r>
              <w:t xml:space="preserve">. </w:t>
            </w:r>
          </w:p>
          <w:p w:rsidR="00393781" w:rsidRDefault="00393781"/>
          <w:p w:rsidR="00046DF2" w:rsidRDefault="00046DF2"/>
          <w:p w:rsidR="00046DF2" w:rsidRDefault="00046DF2"/>
          <w:p w:rsidR="00046DF2" w:rsidRDefault="00046DF2"/>
          <w:p w:rsidR="00046DF2" w:rsidRDefault="00046DF2"/>
          <w:p w:rsidR="00393781" w:rsidRDefault="00393781">
            <w:r>
              <w:t>See reply to 34 above</w:t>
            </w:r>
            <w:r w:rsidR="00046DF2">
              <w:t>.</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7C3C1A" w:rsidRDefault="009671E4">
            <w:r>
              <w:t>See reply to 35 above in relation to stress testing. In respect of SH exposure, given the risks in tendering for new support contracts, the Board agreed to exit this sector in December 2010, leaving us with one contr</w:t>
            </w:r>
            <w:r w:rsidR="00046DF2">
              <w:t xml:space="preserve">act only, limiting those risks </w:t>
            </w:r>
            <w:r w:rsidR="00046DF2">
              <w:lastRenderedPageBreak/>
              <w:t>substantially.</w:t>
            </w:r>
            <w:r>
              <w:t xml:space="preser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046DF2">
            <w:r>
              <w:t xml:space="preserve">See reply to 35 above. </w:t>
            </w:r>
          </w:p>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7C3C1A" w:rsidRDefault="007C3C1A"/>
          <w:p w:rsidR="00046DF2" w:rsidRDefault="00046DF2"/>
          <w:p w:rsidR="00046DF2" w:rsidRDefault="00046DF2"/>
          <w:p w:rsidR="007C3C1A" w:rsidRDefault="007C3C1A">
            <w:r>
              <w:t xml:space="preserve">See </w:t>
            </w:r>
            <w:r w:rsidR="00046DF2">
              <w:t xml:space="preserve">reply to 34 and 35 above. </w:t>
            </w:r>
          </w:p>
          <w:p w:rsidR="007C3C1A" w:rsidRDefault="007C3C1A">
            <w:r>
              <w:t xml:space="preserve"> </w:t>
            </w:r>
          </w:p>
          <w:p w:rsidR="007C3C1A" w:rsidRDefault="007C3C1A">
            <w:r>
              <w:t xml:space="preserve">  </w:t>
            </w:r>
          </w:p>
          <w:p w:rsidR="007C3C1A" w:rsidRDefault="007C3C1A"/>
          <w:p w:rsidR="007C3C1A" w:rsidRDefault="007C3C1A"/>
          <w:p w:rsidR="007C3C1A" w:rsidRDefault="007C3C1A"/>
          <w:p w:rsidR="007C3C1A" w:rsidRDefault="007C3C1A"/>
        </w:tc>
        <w:tc>
          <w:tcPr>
            <w:tcW w:w="1450" w:type="dxa"/>
          </w:tcPr>
          <w:p w:rsidR="006E3298" w:rsidRPr="00046DF2" w:rsidRDefault="00046DF2">
            <w:pPr>
              <w:rPr>
                <w:b/>
              </w:rPr>
            </w:pPr>
            <w:r w:rsidRPr="00046DF2">
              <w:rPr>
                <w:b/>
              </w:rPr>
              <w:lastRenderedPageBreak/>
              <w:t>H</w:t>
            </w:r>
          </w:p>
        </w:tc>
      </w:tr>
      <w:tr w:rsidR="006E3298" w:rsidTr="00402F70">
        <w:tc>
          <w:tcPr>
            <w:tcW w:w="2512" w:type="dxa"/>
          </w:tcPr>
          <w:p w:rsidR="006E3298" w:rsidRDefault="006E3298">
            <w:r>
              <w:lastRenderedPageBreak/>
              <w:t>2.6 Registered providers shall ensure that any arrangements they enter into do not inappropriately advance the interests of third parties, or are arrangements which the regulator could reasonably assume were for such purposes.</w:t>
            </w:r>
          </w:p>
        </w:tc>
        <w:tc>
          <w:tcPr>
            <w:tcW w:w="4873" w:type="dxa"/>
          </w:tcPr>
          <w:p w:rsidR="006E3298" w:rsidRDefault="006E3298">
            <w:r>
              <w:t xml:space="preserve">Paragraph 2.6: expectations relating to arrangements with third parties </w:t>
            </w:r>
          </w:p>
          <w:p w:rsidR="006E3298" w:rsidRDefault="006E3298"/>
          <w:p w:rsidR="006E3298" w:rsidRDefault="006E3298">
            <w:r>
              <w:t xml:space="preserve">40 Registered providers should act in good faith appropriately advancing their own interests and those of their tenants. The focus here is on transactions which, for example, overprice services received so the contractor receives an inflated price or, where services are given without a suitable charge being levied. </w:t>
            </w:r>
          </w:p>
          <w:p w:rsidR="006E3298" w:rsidRDefault="006E3298"/>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F91D69" w:rsidRDefault="00F91D69"/>
          <w:p w:rsidR="006E3298" w:rsidRDefault="006E3298">
            <w:r>
              <w:t xml:space="preserve">41 For the avoidance of doubt, the regulator does not intend that transactions undertaken to promote charitable or social objectives, nor appropriate dividend payments by profit making registered providers will be caught by this expectation. </w:t>
            </w:r>
          </w:p>
          <w:p w:rsidR="006E3298" w:rsidRDefault="006E3298"/>
          <w:p w:rsidR="00273FE1" w:rsidRDefault="00273FE1"/>
          <w:p w:rsidR="00273FE1" w:rsidRDefault="00273FE1"/>
          <w:p w:rsidR="006E3298" w:rsidRDefault="006E3298">
            <w:r>
              <w:t xml:space="preserve">42 Where there are conflicts or perceived conflicts of interest, registered providers should clearly set out how they effectively manage these. They should ensure that, for example, parent companies, other entities or individuals who have control or influence (or whom the regulator reasonably believes has such control or influence) cannot or do not exert influence which would have a damaging effect on the registered provider or its compliance with standards. This could be, for example, charging unfavourable prices for the provision of services. </w:t>
            </w:r>
          </w:p>
          <w:p w:rsidR="006E3298" w:rsidRDefault="006E3298"/>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D645AC" w:rsidRDefault="00D645AC"/>
          <w:p w:rsidR="006E3298" w:rsidRDefault="006E3298">
            <w:r>
              <w:t xml:space="preserve">43 Third parties are any person or body which is not the registered provider. This includes, for example, directors and board members and may also include individuals or organisations that have close links to </w:t>
            </w:r>
            <w:r>
              <w:lastRenderedPageBreak/>
              <w:t>the registered provider.</w:t>
            </w:r>
          </w:p>
        </w:tc>
        <w:tc>
          <w:tcPr>
            <w:tcW w:w="1512" w:type="dxa"/>
          </w:tcPr>
          <w:p w:rsidR="006E3298" w:rsidRPr="00F91D69" w:rsidRDefault="00F91D69">
            <w:pPr>
              <w:rPr>
                <w:b/>
              </w:rPr>
            </w:pPr>
            <w:r w:rsidRPr="00F91D69">
              <w:rPr>
                <w:b/>
              </w:rPr>
              <w:lastRenderedPageBreak/>
              <w:t>F</w:t>
            </w:r>
          </w:p>
        </w:tc>
        <w:tc>
          <w:tcPr>
            <w:tcW w:w="1417" w:type="dxa"/>
          </w:tcPr>
          <w:p w:rsidR="006E3298" w:rsidRPr="00F91D69" w:rsidRDefault="00F91D69">
            <w:pPr>
              <w:rPr>
                <w:b/>
              </w:rPr>
            </w:pPr>
            <w:r w:rsidRPr="00F91D69">
              <w:rPr>
                <w:b/>
              </w:rPr>
              <w:t xml:space="preserve">None </w:t>
            </w:r>
          </w:p>
        </w:tc>
        <w:tc>
          <w:tcPr>
            <w:tcW w:w="2410" w:type="dxa"/>
          </w:tcPr>
          <w:p w:rsidR="00121531" w:rsidRDefault="00121531">
            <w:r>
              <w:t xml:space="preserve"> </w:t>
            </w:r>
          </w:p>
          <w:p w:rsidR="00F91D69" w:rsidRDefault="00F91D69"/>
          <w:p w:rsidR="00F91D69" w:rsidRDefault="00F91D69"/>
          <w:p w:rsidR="00F91D69" w:rsidRPr="00F91D69" w:rsidRDefault="00F91D69">
            <w:pPr>
              <w:rPr>
                <w:b/>
              </w:rPr>
            </w:pPr>
            <w:r w:rsidRPr="00F91D69">
              <w:rPr>
                <w:b/>
              </w:rPr>
              <w:t xml:space="preserve">Internal </w:t>
            </w:r>
          </w:p>
          <w:p w:rsidR="00F91D69" w:rsidRDefault="00F91D69">
            <w:r>
              <w:t xml:space="preserve">All contracts are procured within rules established by the Board in the Standing Orders and Delegated Authorities which prohibit the procurement of </w:t>
            </w:r>
            <w:r>
              <w:lastRenderedPageBreak/>
              <w:t xml:space="preserve">overpriced services  </w:t>
            </w:r>
          </w:p>
          <w:p w:rsidR="00F91D69" w:rsidRDefault="00F91D69"/>
          <w:p w:rsidR="00F91D69" w:rsidRPr="00F91D69" w:rsidRDefault="00F91D69">
            <w:pPr>
              <w:rPr>
                <w:b/>
              </w:rPr>
            </w:pPr>
            <w:r w:rsidRPr="00F91D69">
              <w:rPr>
                <w:b/>
              </w:rPr>
              <w:t xml:space="preserve">External </w:t>
            </w:r>
          </w:p>
          <w:p w:rsidR="00F91D69" w:rsidRDefault="00F91D69">
            <w:r>
              <w:t xml:space="preserve">The Internal auditors carry out regular compliance audits on Compliance with Tendering and Financial Regulations to ensure those procedures are followed throughout the organisation. </w:t>
            </w:r>
          </w:p>
          <w:p w:rsidR="00F91D69" w:rsidRDefault="00F91D69"/>
          <w:p w:rsidR="00F91D69" w:rsidRDefault="00F91D69">
            <w:r>
              <w:t>Particularly large contracts (i.e. the responsive repairs contract approved by the Board during  2015/16) are subject to European Law and must be tendered in strict accordance with OJEU processes. The Boa</w:t>
            </w:r>
            <w:r w:rsidR="00C9004A">
              <w:t xml:space="preserve">rd have received assurances </w:t>
            </w:r>
            <w:r>
              <w:t xml:space="preserve">from </w:t>
            </w:r>
            <w:r w:rsidR="00C9004A">
              <w:t xml:space="preserve">both </w:t>
            </w:r>
            <w:r>
              <w:t xml:space="preserve">officers and our </w:t>
            </w:r>
            <w:r>
              <w:lastRenderedPageBreak/>
              <w:t xml:space="preserve">procurement consultant (Rand Associates) that OJEU processes were carefully followed. </w:t>
            </w:r>
          </w:p>
          <w:p w:rsidR="00F91D69" w:rsidRDefault="00F91D69"/>
          <w:p w:rsidR="00F91D69" w:rsidRDefault="00F91D69"/>
          <w:p w:rsidR="00F91D69" w:rsidRDefault="00F91D69">
            <w:r>
              <w:t xml:space="preserve">Noted. See comments about Horniman gift aid in </w:t>
            </w:r>
            <w:r w:rsidR="00273FE1">
              <w:t>section 3.1 below, which are done in the context of the Board taking advice from our legal and tax experts.</w:t>
            </w:r>
          </w:p>
          <w:p w:rsidR="00273FE1" w:rsidRDefault="00273FE1"/>
          <w:p w:rsidR="00273FE1" w:rsidRDefault="00273FE1"/>
          <w:p w:rsidR="00273FE1" w:rsidRDefault="00273FE1">
            <w:r>
              <w:t xml:space="preserve">The key relationship between Hexagon and Horniman revolves around Hexagon investing in Horniman to carry out housing for sale. This is both to ensure Hexagon does not act ultra vires and to ensure that the maximum receipt can </w:t>
            </w:r>
            <w:r>
              <w:lastRenderedPageBreak/>
              <w:t>be gift aided to Hexagon within the UK tax laws. The relationship is clearly set out</w:t>
            </w:r>
            <w:r w:rsidR="00D645AC">
              <w:t xml:space="preserve"> in Board approved documents.  </w:t>
            </w:r>
            <w:r>
              <w:t>Hexagon</w:t>
            </w:r>
            <w:r w:rsidR="00D645AC">
              <w:t>’s</w:t>
            </w:r>
            <w:r>
              <w:t xml:space="preserve"> Investment policy</w:t>
            </w:r>
            <w:r w:rsidR="00D645AC">
              <w:t xml:space="preserve"> and </w:t>
            </w:r>
            <w:r>
              <w:t>Horniman</w:t>
            </w:r>
            <w:r w:rsidR="00D645AC">
              <w:t xml:space="preserve">’s loan agreement have been </w:t>
            </w:r>
            <w:r>
              <w:t xml:space="preserve">developed with appropriate legal and tax advice </w:t>
            </w:r>
            <w:r w:rsidR="00D645AC">
              <w:t xml:space="preserve">which the Board have carefully considered. Loans made between Hexagon and Horniman are undertaken </w:t>
            </w:r>
            <w:r>
              <w:t xml:space="preserve">on commercial terms </w:t>
            </w:r>
            <w:r w:rsidR="00D645AC">
              <w:t xml:space="preserve">that have been recommended to the Board by </w:t>
            </w:r>
            <w:r>
              <w:t xml:space="preserve">our Treasury Advisor, Sector. </w:t>
            </w:r>
          </w:p>
          <w:p w:rsidR="00D645AC" w:rsidRDefault="00D645AC"/>
          <w:p w:rsidR="00D645AC" w:rsidRDefault="00D645AC">
            <w:r>
              <w:t xml:space="preserve">Noted. The Board is very clear that any work undertaken by Horniman is done in </w:t>
            </w:r>
            <w:r>
              <w:lastRenderedPageBreak/>
              <w:t>pursuance of Hexagon’s overall charitable objectives and definitely not for the benefit of any third parties. This is clearly laid out in the relevant Board approved documentation between the two parties.</w:t>
            </w:r>
          </w:p>
          <w:p w:rsidR="00273FE1" w:rsidRDefault="00273FE1"/>
        </w:tc>
        <w:tc>
          <w:tcPr>
            <w:tcW w:w="1450" w:type="dxa"/>
          </w:tcPr>
          <w:p w:rsidR="006E3298" w:rsidRPr="00A50EA1" w:rsidRDefault="00A50EA1">
            <w:pPr>
              <w:rPr>
                <w:b/>
              </w:rPr>
            </w:pPr>
            <w:r w:rsidRPr="00A50EA1">
              <w:rPr>
                <w:b/>
              </w:rPr>
              <w:lastRenderedPageBreak/>
              <w:t>H</w:t>
            </w:r>
          </w:p>
        </w:tc>
      </w:tr>
      <w:tr w:rsidR="006E3298" w:rsidTr="00402F70">
        <w:tc>
          <w:tcPr>
            <w:tcW w:w="2512" w:type="dxa"/>
          </w:tcPr>
          <w:p w:rsidR="006E3298" w:rsidRDefault="006E3298">
            <w:r>
              <w:lastRenderedPageBreak/>
              <w:t>2.7 Registered providers shall communicate with the regulator in an accurate and timely manner. This includes returns to the regulator, including an annual report on any losses from fraudulent activity, in a form determined by the regulator.</w:t>
            </w:r>
          </w:p>
        </w:tc>
        <w:tc>
          <w:tcPr>
            <w:tcW w:w="4873" w:type="dxa"/>
          </w:tcPr>
          <w:p w:rsidR="006E3298" w:rsidRDefault="006E3298">
            <w:r>
              <w:t xml:space="preserve">Paragraph 2.7: returns to the regulator </w:t>
            </w:r>
          </w:p>
          <w:p w:rsidR="006E3298" w:rsidRDefault="006E3298"/>
          <w:p w:rsidR="006E3298" w:rsidRDefault="006E3298">
            <w:r>
              <w:t xml:space="preserve">44 The regulator requires registered providers to communicate with them in an accurate and timely manner. This includes provision of information, for example data returns. The regulator will clearly articulate its requirements for regulatory returns to the sector and, where appropriate, will consult on these. It is the responsibility of registered providers to ensure that they submit required data returns in a timely manner and the information provided is of a good quality. This includes for example ensuring that returns such as the Financial Forecast Return are fully complete with no missing information, that </w:t>
            </w:r>
            <w:r>
              <w:lastRenderedPageBreak/>
              <w:t>the data is accurate and submitted by the deadline required. It is not the regulator’s role to correct or fill in incorrect or missing data and we will view such returns as evidence of a weak control environment.</w:t>
            </w:r>
          </w:p>
        </w:tc>
        <w:tc>
          <w:tcPr>
            <w:tcW w:w="1512" w:type="dxa"/>
          </w:tcPr>
          <w:p w:rsidR="006E3298" w:rsidRPr="00960844" w:rsidRDefault="00121531">
            <w:pPr>
              <w:rPr>
                <w:b/>
              </w:rPr>
            </w:pPr>
            <w:r w:rsidRPr="00960844">
              <w:rPr>
                <w:b/>
              </w:rPr>
              <w:lastRenderedPageBreak/>
              <w:t>F</w:t>
            </w:r>
          </w:p>
        </w:tc>
        <w:tc>
          <w:tcPr>
            <w:tcW w:w="1417" w:type="dxa"/>
          </w:tcPr>
          <w:p w:rsidR="006E3298" w:rsidRPr="00960844" w:rsidRDefault="00121531">
            <w:pPr>
              <w:rPr>
                <w:b/>
              </w:rPr>
            </w:pPr>
            <w:r w:rsidRPr="00960844">
              <w:rPr>
                <w:b/>
              </w:rPr>
              <w:t xml:space="preserve">None </w:t>
            </w:r>
          </w:p>
        </w:tc>
        <w:tc>
          <w:tcPr>
            <w:tcW w:w="2410" w:type="dxa"/>
          </w:tcPr>
          <w:p w:rsidR="006E3298" w:rsidRPr="002D59C1" w:rsidRDefault="00121531">
            <w:pPr>
              <w:rPr>
                <w:b/>
              </w:rPr>
            </w:pPr>
            <w:r w:rsidRPr="002D59C1">
              <w:rPr>
                <w:b/>
              </w:rPr>
              <w:t xml:space="preserve">Internal </w:t>
            </w:r>
          </w:p>
          <w:p w:rsidR="007410A2" w:rsidRDefault="007410A2"/>
          <w:p w:rsidR="007410A2" w:rsidRDefault="007410A2">
            <w:r>
              <w:t xml:space="preserve">During 15/16 The Board received a report from the CE on the subject of accurate and timely returns to the HCA and a process was agreed to ensure this occurs and that the Board receive assurance. </w:t>
            </w:r>
          </w:p>
          <w:p w:rsidR="00121531" w:rsidRDefault="00121531"/>
          <w:p w:rsidR="007410A2" w:rsidRDefault="007410A2">
            <w:r>
              <w:t xml:space="preserve">As a result, the Board have agreed that this is </w:t>
            </w:r>
            <w:r>
              <w:lastRenderedPageBreak/>
              <w:t xml:space="preserve">explicitly covered in the annual Internal Controls Assurance statement to ensure they are made aware of any possible breaches. They have also agreed that the Chair should be informed at the earliest opportunity should an issue of accuracy or timeliness arise during the year.  </w:t>
            </w:r>
          </w:p>
          <w:p w:rsidR="007410A2" w:rsidRDefault="007410A2"/>
          <w:p w:rsidR="00121531" w:rsidRDefault="007410A2">
            <w:r>
              <w:t xml:space="preserve">All standard returns to the regulator during 15/16 were completed in an accurate and timely manner and this was confirmed to the Board in the Internal Controls assurance report.  </w:t>
            </w:r>
          </w:p>
          <w:p w:rsidR="00121531" w:rsidRDefault="00121531"/>
          <w:p w:rsidR="007410A2" w:rsidRDefault="00121531">
            <w:r>
              <w:t xml:space="preserve">All instances of suspected or actual </w:t>
            </w:r>
            <w:r>
              <w:lastRenderedPageBreak/>
              <w:t xml:space="preserve">fraud are reported to the regulator, via an annual return completed by the FD as required in the Standard. All instances are also reported to the Audit and Risk Committee and made fully available to the full Board.  </w:t>
            </w:r>
          </w:p>
          <w:p w:rsidR="007410A2" w:rsidRDefault="007410A2"/>
          <w:p w:rsidR="007410A2" w:rsidRDefault="007410A2">
            <w:pPr>
              <w:rPr>
                <w:b/>
              </w:rPr>
            </w:pPr>
            <w:r w:rsidRPr="007410A2">
              <w:rPr>
                <w:b/>
              </w:rPr>
              <w:t xml:space="preserve">External </w:t>
            </w:r>
          </w:p>
          <w:p w:rsidR="007410A2" w:rsidRDefault="007410A2">
            <w:pPr>
              <w:rPr>
                <w:b/>
              </w:rPr>
            </w:pPr>
          </w:p>
          <w:p w:rsidR="007410A2" w:rsidRPr="007410A2" w:rsidRDefault="007410A2">
            <w:r>
              <w:t xml:space="preserve">The external auditors provide a further level of assurance to the Board in that they are required to report any instances of suspected or actual fraud uncovered during the audit in their audit report to the Board and none have been identified in the 15/16 </w:t>
            </w:r>
            <w:r>
              <w:lastRenderedPageBreak/>
              <w:t xml:space="preserve">audit. </w:t>
            </w:r>
          </w:p>
          <w:p w:rsidR="007410A2" w:rsidRDefault="007410A2"/>
          <w:p w:rsidR="00121531" w:rsidRDefault="00121531">
            <w:r>
              <w:t xml:space="preserve">  </w:t>
            </w:r>
          </w:p>
        </w:tc>
        <w:tc>
          <w:tcPr>
            <w:tcW w:w="1450" w:type="dxa"/>
          </w:tcPr>
          <w:p w:rsidR="006E3298" w:rsidRPr="00960844" w:rsidRDefault="002D59C1">
            <w:pPr>
              <w:rPr>
                <w:b/>
              </w:rPr>
            </w:pPr>
            <w:r w:rsidRPr="00960844">
              <w:rPr>
                <w:b/>
              </w:rPr>
              <w:lastRenderedPageBreak/>
              <w:t xml:space="preserve">H </w:t>
            </w:r>
          </w:p>
        </w:tc>
      </w:tr>
      <w:tr w:rsidR="006E3298" w:rsidTr="00402F70">
        <w:tc>
          <w:tcPr>
            <w:tcW w:w="2512" w:type="dxa"/>
          </w:tcPr>
          <w:p w:rsidR="006E3298" w:rsidRDefault="006E3298">
            <w:r>
              <w:lastRenderedPageBreak/>
              <w:t>2.8 Registered providers shall assess their compliance with the Governance and Financial Viability Standard at least once a year. Registered providers' boards shall certify in their annual accounts their compliance with this Governance and Financial Viability Standard.</w:t>
            </w:r>
          </w:p>
        </w:tc>
        <w:tc>
          <w:tcPr>
            <w:tcW w:w="4873" w:type="dxa"/>
          </w:tcPr>
          <w:p w:rsidR="006E3298" w:rsidRDefault="006E3298">
            <w:r>
              <w:t xml:space="preserve">Paragraph 2.8: expectations on reporting requirements </w:t>
            </w:r>
          </w:p>
          <w:p w:rsidR="006E3298" w:rsidRDefault="006E3298"/>
          <w:p w:rsidR="006E3298" w:rsidRDefault="006E3298">
            <w:r>
              <w:t>45 In addition to assuring themselves of compliance with standards on a yearly basis, boards need to assure themselves of their continuing compliance when taking on significant new risks. This could be, for example, when undertaking a new development or entering a major contract. Registered providers’ boards shall certify their compliance in the narrative report which accompanies their financial statements. When certifying compliance with the Standard, registered providers shall ensure that they consider compliance with regulatory standards in the round as set out in the required outcomes of the Standard.</w:t>
            </w:r>
          </w:p>
        </w:tc>
        <w:tc>
          <w:tcPr>
            <w:tcW w:w="1512" w:type="dxa"/>
          </w:tcPr>
          <w:p w:rsidR="006E3298" w:rsidRPr="00E563E8" w:rsidRDefault="00E563E8">
            <w:pPr>
              <w:rPr>
                <w:b/>
              </w:rPr>
            </w:pPr>
            <w:r w:rsidRPr="00E563E8">
              <w:rPr>
                <w:b/>
              </w:rPr>
              <w:t>F</w:t>
            </w:r>
          </w:p>
        </w:tc>
        <w:tc>
          <w:tcPr>
            <w:tcW w:w="1417" w:type="dxa"/>
          </w:tcPr>
          <w:p w:rsidR="006E3298" w:rsidRPr="00E563E8" w:rsidRDefault="00E563E8">
            <w:pPr>
              <w:rPr>
                <w:b/>
              </w:rPr>
            </w:pPr>
            <w:r w:rsidRPr="00E563E8">
              <w:rPr>
                <w:b/>
              </w:rPr>
              <w:t xml:space="preserve">None </w:t>
            </w:r>
          </w:p>
        </w:tc>
        <w:tc>
          <w:tcPr>
            <w:tcW w:w="2410" w:type="dxa"/>
          </w:tcPr>
          <w:p w:rsidR="006E3298" w:rsidRDefault="00E563E8">
            <w:pPr>
              <w:rPr>
                <w:b/>
              </w:rPr>
            </w:pPr>
            <w:r w:rsidRPr="00E563E8">
              <w:rPr>
                <w:b/>
              </w:rPr>
              <w:t xml:space="preserve">Internal </w:t>
            </w:r>
          </w:p>
          <w:p w:rsidR="00E563E8" w:rsidRDefault="00E563E8">
            <w:pPr>
              <w:rPr>
                <w:b/>
              </w:rPr>
            </w:pPr>
          </w:p>
          <w:p w:rsidR="005C7C5B" w:rsidRDefault="00E563E8" w:rsidP="005C7C5B">
            <w:r>
              <w:t>The Audit and Risk Committee received a report in November February</w:t>
            </w:r>
            <w:r w:rsidR="005C7C5B">
              <w:t xml:space="preserve"> 2016</w:t>
            </w:r>
            <w:r>
              <w:t xml:space="preserve"> outlining the principles of what an annual assessment of compliance would look like and the principles were agreed.</w:t>
            </w:r>
            <w:r w:rsidR="005C7C5B">
              <w:t xml:space="preserve"> This was also reported to the full Board in March 2016. </w:t>
            </w:r>
            <w:r>
              <w:t>An interim report outlining the methodology</w:t>
            </w:r>
            <w:r w:rsidR="005C7C5B">
              <w:t xml:space="preserve"> in practice with several illustrative outcomes was </w:t>
            </w:r>
            <w:r>
              <w:t>reported</w:t>
            </w:r>
            <w:r w:rsidR="005C7C5B">
              <w:t xml:space="preserve"> to the Board in May 2016</w:t>
            </w:r>
            <w:r>
              <w:t xml:space="preserve"> </w:t>
            </w:r>
            <w:r w:rsidR="005C7C5B">
              <w:t xml:space="preserve">before the full report was made to the Board in July 2016. This self-assessment formed </w:t>
            </w:r>
            <w:r w:rsidR="005C7C5B">
              <w:lastRenderedPageBreak/>
              <w:t xml:space="preserve">the basis for the wording of an agreed certification to be included in the accounts which were approved by the Board in July 2016. </w:t>
            </w:r>
          </w:p>
          <w:p w:rsidR="005C7C5B" w:rsidRDefault="005C7C5B" w:rsidP="005C7C5B"/>
          <w:p w:rsidR="005C7C5B" w:rsidRDefault="005C7C5B" w:rsidP="005C7C5B"/>
          <w:p w:rsidR="005C7C5B" w:rsidRDefault="005C7C5B" w:rsidP="005C7C5B">
            <w:r>
              <w:t xml:space="preserve">In respect of ongoing risks arising during the year, the Audit and Risk Committee and the full Board have received quarterly a report outlining our key corporate risks, together with actions being taken to mitigate those risks. </w:t>
            </w:r>
          </w:p>
          <w:p w:rsidR="005C7C5B" w:rsidRDefault="005C7C5B" w:rsidP="005C7C5B"/>
          <w:p w:rsidR="003809E1" w:rsidRDefault="005C7C5B" w:rsidP="005C7C5B">
            <w:r>
              <w:t xml:space="preserve">Project specific Board approvals including the one housing for outright sale scheme approved during the year (Biggin </w:t>
            </w:r>
            <w:r>
              <w:lastRenderedPageBreak/>
              <w:t xml:space="preserve">Hill) set our clearly the risks involved, mitigating actions taken, and how the scheme aligned with the Board’s risk appetite, capital spending cap, and capital at risk limits. The scheme was approved by the Board in the context of that risk framework.    </w:t>
            </w:r>
          </w:p>
          <w:p w:rsidR="003809E1" w:rsidRDefault="003809E1" w:rsidP="005C7C5B"/>
          <w:p w:rsidR="005C7C5B" w:rsidRPr="003809E1" w:rsidRDefault="003809E1" w:rsidP="005C7C5B">
            <w:pPr>
              <w:rPr>
                <w:b/>
              </w:rPr>
            </w:pPr>
            <w:r w:rsidRPr="003809E1">
              <w:rPr>
                <w:b/>
              </w:rPr>
              <w:t xml:space="preserve">External </w:t>
            </w:r>
            <w:r w:rsidR="005C7C5B" w:rsidRPr="003809E1">
              <w:rPr>
                <w:b/>
              </w:rPr>
              <w:t xml:space="preserve">  </w:t>
            </w:r>
          </w:p>
          <w:p w:rsidR="003809E1" w:rsidRDefault="003809E1" w:rsidP="005C7C5B"/>
          <w:p w:rsidR="003809E1" w:rsidRDefault="003809E1" w:rsidP="003809E1">
            <w:r>
              <w:t xml:space="preserve">The self- assessment report format has been informed by guidance provided by our external auditors (BDO) to our FD who attended a conference at which our lead audit partner provided advice on a suitable format.  BDO have also shared best </w:t>
            </w:r>
            <w:r>
              <w:lastRenderedPageBreak/>
              <w:t xml:space="preserve">practice as it has emerged from other audit clients in this first year of implementation (15/16).  </w:t>
            </w:r>
          </w:p>
          <w:p w:rsidR="005C7C5B" w:rsidRDefault="005C7C5B" w:rsidP="005C7C5B"/>
          <w:p w:rsidR="005C7C5B" w:rsidRDefault="005C7C5B" w:rsidP="005C7C5B"/>
          <w:p w:rsidR="00E563E8" w:rsidRPr="00E563E8" w:rsidRDefault="005C7C5B" w:rsidP="005C7C5B">
            <w:r>
              <w:t xml:space="preserve"> </w:t>
            </w:r>
          </w:p>
        </w:tc>
        <w:tc>
          <w:tcPr>
            <w:tcW w:w="1450" w:type="dxa"/>
          </w:tcPr>
          <w:p w:rsidR="006E3298" w:rsidRPr="005C7C5B" w:rsidRDefault="005C7C5B">
            <w:pPr>
              <w:rPr>
                <w:b/>
              </w:rPr>
            </w:pPr>
            <w:r w:rsidRPr="005C7C5B">
              <w:rPr>
                <w:b/>
              </w:rPr>
              <w:lastRenderedPageBreak/>
              <w:t xml:space="preserve">Medium </w:t>
            </w:r>
          </w:p>
        </w:tc>
      </w:tr>
      <w:tr w:rsidR="006E3298" w:rsidTr="00402F70">
        <w:tc>
          <w:tcPr>
            <w:tcW w:w="2512" w:type="dxa"/>
          </w:tcPr>
          <w:p w:rsidR="006E3298" w:rsidRPr="003F64FA" w:rsidRDefault="006E3298">
            <w:pPr>
              <w:rPr>
                <w:b/>
                <w:sz w:val="24"/>
                <w:szCs w:val="24"/>
              </w:rPr>
            </w:pPr>
            <w:r w:rsidRPr="003F64FA">
              <w:rPr>
                <w:b/>
                <w:sz w:val="24"/>
                <w:szCs w:val="24"/>
              </w:rPr>
              <w:lastRenderedPageBreak/>
              <w:t>3 Specific expectations applicable to specific categories of registered provider</w:t>
            </w:r>
          </w:p>
        </w:tc>
        <w:tc>
          <w:tcPr>
            <w:tcW w:w="4873" w:type="dxa"/>
          </w:tcPr>
          <w:p w:rsidR="006E3298" w:rsidRDefault="006E3298">
            <w:r>
              <w:t>46 This section applies only to specified classes of registered provider where the regulator considers additional controls to protect social housing assets are needed.</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Pr="003F64FA" w:rsidRDefault="006E3298">
            <w:pPr>
              <w:rPr>
                <w:b/>
              </w:rPr>
            </w:pPr>
            <w:r w:rsidRPr="003F64FA">
              <w:rPr>
                <w:b/>
              </w:rPr>
              <w:t>Registered group parents</w:t>
            </w:r>
          </w:p>
        </w:tc>
        <w:tc>
          <w:tcPr>
            <w:tcW w:w="4873" w:type="dxa"/>
          </w:tcPr>
          <w:p w:rsidR="006E3298" w:rsidRDefault="006E3298"/>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r w:rsidR="006E3298" w:rsidTr="00402F70">
        <w:tc>
          <w:tcPr>
            <w:tcW w:w="2512" w:type="dxa"/>
          </w:tcPr>
          <w:p w:rsidR="006E3298" w:rsidRDefault="006E3298">
            <w:r>
              <w:t>3.1 Registered providers which are parent companies shall, as appropriate, support or assist those of their subsidiaries that are registered providers with a view to ensuring compliance with regulatory requirements.</w:t>
            </w:r>
          </w:p>
        </w:tc>
        <w:tc>
          <w:tcPr>
            <w:tcW w:w="4873" w:type="dxa"/>
          </w:tcPr>
          <w:p w:rsidR="006E3298" w:rsidRDefault="006E3298">
            <w:r>
              <w:t xml:space="preserve">Paragraphs 3.1 and 3.3: assistance </w:t>
            </w:r>
          </w:p>
          <w:p w:rsidR="006E3298" w:rsidRDefault="006E3298"/>
          <w:p w:rsidR="006E3298" w:rsidRDefault="006E3298">
            <w:r>
              <w:t xml:space="preserve">48 Paragraphs 3.1 and 3.3 seek to ensure that where a registered provider is part of a group, it can look to other entities within that group for assistance with achieving compliance with regulatory requirements. If a registered provider is part of a corporate group, the regulator expects the registered provider will ensure that other entities within the group are aware of the regulatory requirements placed on the registered provider and understand the implications of them. </w:t>
            </w:r>
          </w:p>
          <w:p w:rsidR="006E3298" w:rsidRDefault="006E3298"/>
          <w:p w:rsidR="006E3298" w:rsidRDefault="006E3298">
            <w:r>
              <w:t>49 Pursuant to paragraph 3.1, in groups where the parent is a registered provider, the parent is required to provide support or assistance to ensure the group’s compliance with regulatory standards. This includes, where appropriate, ensuring the ongoing viability of the group, and may require assistance to one registered provider from other registered providers to ensure continued compliance with regulatory standards.</w:t>
            </w:r>
          </w:p>
        </w:tc>
        <w:tc>
          <w:tcPr>
            <w:tcW w:w="1512" w:type="dxa"/>
          </w:tcPr>
          <w:p w:rsidR="006E3298" w:rsidRPr="004B0EEF" w:rsidRDefault="004B0EEF">
            <w:pPr>
              <w:rPr>
                <w:b/>
              </w:rPr>
            </w:pPr>
            <w:r w:rsidRPr="004B0EEF">
              <w:rPr>
                <w:b/>
              </w:rPr>
              <w:lastRenderedPageBreak/>
              <w:t>F</w:t>
            </w:r>
          </w:p>
        </w:tc>
        <w:tc>
          <w:tcPr>
            <w:tcW w:w="1417" w:type="dxa"/>
          </w:tcPr>
          <w:p w:rsidR="006E3298" w:rsidRPr="004B0EEF" w:rsidRDefault="004B0EEF">
            <w:pPr>
              <w:rPr>
                <w:b/>
              </w:rPr>
            </w:pPr>
            <w:r w:rsidRPr="004B0EEF">
              <w:rPr>
                <w:b/>
              </w:rPr>
              <w:t>None</w:t>
            </w:r>
          </w:p>
        </w:tc>
        <w:tc>
          <w:tcPr>
            <w:tcW w:w="2410" w:type="dxa"/>
          </w:tcPr>
          <w:p w:rsidR="004B0EEF" w:rsidRDefault="004B0EEF"/>
          <w:p w:rsidR="004B0EEF" w:rsidRDefault="004B0EEF"/>
          <w:p w:rsidR="004B0EEF" w:rsidRDefault="004B0EEF">
            <w:pPr>
              <w:rPr>
                <w:b/>
              </w:rPr>
            </w:pPr>
            <w:r w:rsidRPr="004B0EEF">
              <w:rPr>
                <w:b/>
              </w:rPr>
              <w:t>External</w:t>
            </w:r>
          </w:p>
          <w:p w:rsidR="004B0EEF" w:rsidRDefault="004B0EEF" w:rsidP="004B0EEF">
            <w:r>
              <w:t>The Hexagon Group includes Hexagon</w:t>
            </w:r>
            <w:r w:rsidR="00927868">
              <w:t xml:space="preserve"> </w:t>
            </w:r>
            <w:r>
              <w:t xml:space="preserve">HA, the parent registered charitable HA, and one registered, non- charitable subsidiary, Horniman HA. </w:t>
            </w:r>
          </w:p>
          <w:p w:rsidR="004B0EEF" w:rsidRPr="004B0EEF" w:rsidRDefault="004B0EEF">
            <w:pPr>
              <w:rPr>
                <w:b/>
              </w:rPr>
            </w:pPr>
          </w:p>
          <w:p w:rsidR="008E23C0" w:rsidRDefault="008E23C0"/>
          <w:p w:rsidR="008E23C0" w:rsidRDefault="008E23C0"/>
          <w:p w:rsidR="004B0EEF" w:rsidRDefault="004B0EEF">
            <w:r>
              <w:t>Horniman is utilised by Hexagon to carry out non charitable activity, namely housing for outright sale. Its profits are gift aided back to Hexagon to further its charitable aims</w:t>
            </w:r>
            <w:r w:rsidR="00927868">
              <w:t xml:space="preserve"> and this means corporation tax on some of its profits is not payable. The relationship</w:t>
            </w:r>
            <w:r>
              <w:t xml:space="preserve"> between Hexagon and Horniman have been developed i</w:t>
            </w:r>
            <w:r w:rsidR="00927868">
              <w:t xml:space="preserve">n the context of detailed </w:t>
            </w:r>
            <w:r>
              <w:t xml:space="preserve">advice </w:t>
            </w:r>
            <w:r w:rsidR="00927868">
              <w:t xml:space="preserve">to the Board from our lawyers (Devonshires) and our External auditor’s tax advisers (BDO). The advice has been carefully considered by </w:t>
            </w:r>
            <w:r>
              <w:t>both Boards</w:t>
            </w:r>
            <w:r w:rsidR="00927868">
              <w:t xml:space="preserve"> before the Biggin Hill scheme in Croydon was </w:t>
            </w:r>
            <w:r w:rsidR="00927868">
              <w:lastRenderedPageBreak/>
              <w:t xml:space="preserve">contractually committed </w:t>
            </w:r>
            <w:r w:rsidR="008E23C0">
              <w:t>during 2015</w:t>
            </w:r>
            <w:r w:rsidR="00927868">
              <w:t xml:space="preserve">-16. </w:t>
            </w:r>
            <w:r>
              <w:t xml:space="preserve"> This </w:t>
            </w:r>
            <w:r w:rsidR="00927868">
              <w:t xml:space="preserve">legal and tax advice </w:t>
            </w:r>
            <w:r>
              <w:t xml:space="preserve">has resulted in </w:t>
            </w:r>
            <w:r w:rsidR="00927868">
              <w:t xml:space="preserve">an </w:t>
            </w:r>
            <w:r>
              <w:t xml:space="preserve">Investment policy approved by the Hexagon Board which allows Horniman to access the necessary funds from Hexagon to undertake </w:t>
            </w:r>
            <w:r w:rsidR="00927868">
              <w:t>its outright sale progra</w:t>
            </w:r>
            <w:r>
              <w:t>m</w:t>
            </w:r>
            <w:r w:rsidR="00927868">
              <w:t>m</w:t>
            </w:r>
            <w:r>
              <w:t>e</w:t>
            </w:r>
            <w:r w:rsidR="00927868">
              <w:t xml:space="preserve">. </w:t>
            </w:r>
            <w:r w:rsidR="008E23C0">
              <w:t xml:space="preserve">In the context of Hexagon’s defined risk appetite, the Investment is capped at £10.5m to ensure that “capital at risk” is maintained within Board agreed parameters.   </w:t>
            </w:r>
          </w:p>
          <w:p w:rsidR="00927868" w:rsidRDefault="00927868"/>
          <w:p w:rsidR="00927868" w:rsidRDefault="00927868">
            <w:pPr>
              <w:rPr>
                <w:b/>
              </w:rPr>
            </w:pPr>
            <w:r w:rsidRPr="00927868">
              <w:rPr>
                <w:b/>
              </w:rPr>
              <w:t>Internal</w:t>
            </w:r>
          </w:p>
          <w:p w:rsidR="00927868" w:rsidRPr="00927868" w:rsidRDefault="00927868">
            <w:r>
              <w:t xml:space="preserve">Hexagon provides a full range of support to Horniman, including financial services and </w:t>
            </w:r>
            <w:r>
              <w:lastRenderedPageBreak/>
              <w:t xml:space="preserve">development agency services. In addition, our employment contracts have been developed with assistance from our legal advisers (Devonshires) to clarify the formal relationships required to support Hexagon in fulfilling all its objectives, including compliance with the Regulatory requirements. </w:t>
            </w:r>
          </w:p>
          <w:p w:rsidR="004B0EEF" w:rsidRDefault="004B0EEF"/>
          <w:p w:rsidR="004B0EEF" w:rsidRDefault="004B0EEF"/>
        </w:tc>
        <w:tc>
          <w:tcPr>
            <w:tcW w:w="1450" w:type="dxa"/>
          </w:tcPr>
          <w:p w:rsidR="006E3298" w:rsidRPr="008E23C0" w:rsidRDefault="008E23C0">
            <w:pPr>
              <w:rPr>
                <w:b/>
              </w:rPr>
            </w:pPr>
            <w:r w:rsidRPr="008E23C0">
              <w:rPr>
                <w:b/>
              </w:rPr>
              <w:lastRenderedPageBreak/>
              <w:t>M</w:t>
            </w:r>
          </w:p>
        </w:tc>
      </w:tr>
      <w:tr w:rsidR="006E3298" w:rsidTr="00402F70">
        <w:tc>
          <w:tcPr>
            <w:tcW w:w="2512" w:type="dxa"/>
          </w:tcPr>
          <w:p w:rsidR="006E3298" w:rsidRDefault="006E3298">
            <w:r>
              <w:lastRenderedPageBreak/>
              <w:t xml:space="preserve">N.B There are four further items in the Standard but as they only apply to Registered providers with unregistered parents and  to Profit making registered providers, (i.e. not Hexagon) they are not included here.  </w:t>
            </w:r>
          </w:p>
        </w:tc>
        <w:tc>
          <w:tcPr>
            <w:tcW w:w="4873" w:type="dxa"/>
          </w:tcPr>
          <w:p w:rsidR="006E3298" w:rsidRDefault="006E3298">
            <w:r>
              <w:t>N/A</w:t>
            </w:r>
          </w:p>
        </w:tc>
        <w:tc>
          <w:tcPr>
            <w:tcW w:w="1512" w:type="dxa"/>
          </w:tcPr>
          <w:p w:rsidR="006E3298" w:rsidRDefault="006E3298"/>
        </w:tc>
        <w:tc>
          <w:tcPr>
            <w:tcW w:w="1417" w:type="dxa"/>
          </w:tcPr>
          <w:p w:rsidR="006E3298" w:rsidRDefault="006E3298"/>
        </w:tc>
        <w:tc>
          <w:tcPr>
            <w:tcW w:w="2410" w:type="dxa"/>
          </w:tcPr>
          <w:p w:rsidR="006E3298" w:rsidRDefault="006E3298"/>
        </w:tc>
        <w:tc>
          <w:tcPr>
            <w:tcW w:w="1450" w:type="dxa"/>
          </w:tcPr>
          <w:p w:rsidR="006E3298" w:rsidRDefault="006E3298"/>
        </w:tc>
      </w:tr>
    </w:tbl>
    <w:p w:rsidR="007C077E" w:rsidRDefault="007C077E"/>
    <w:sectPr w:rsidR="007C077E" w:rsidSect="002B454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F5" w:rsidRDefault="008955F5" w:rsidP="008955F5">
      <w:pPr>
        <w:spacing w:after="0" w:line="240" w:lineRule="auto"/>
      </w:pPr>
      <w:r>
        <w:separator/>
      </w:r>
    </w:p>
  </w:endnote>
  <w:endnote w:type="continuationSeparator" w:id="0">
    <w:p w:rsidR="008955F5" w:rsidRDefault="008955F5" w:rsidP="0089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29519"/>
      <w:docPartObj>
        <w:docPartGallery w:val="Page Numbers (Bottom of Page)"/>
        <w:docPartUnique/>
      </w:docPartObj>
    </w:sdtPr>
    <w:sdtEndPr>
      <w:rPr>
        <w:color w:val="808080" w:themeColor="background1" w:themeShade="80"/>
        <w:spacing w:val="60"/>
      </w:rPr>
    </w:sdtEndPr>
    <w:sdtContent>
      <w:p w:rsidR="008955F5" w:rsidRDefault="008955F5" w:rsidP="008955F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496536" w:rsidRPr="00496536">
          <w:rPr>
            <w:b/>
            <w:bCs/>
            <w:noProof/>
          </w:rPr>
          <w:t>5</w:t>
        </w:r>
        <w:r>
          <w:rPr>
            <w:b/>
            <w:bCs/>
            <w:noProof/>
          </w:rPr>
          <w:fldChar w:fldCharType="end"/>
        </w:r>
        <w:r>
          <w:rPr>
            <w:b/>
            <w:bCs/>
          </w:rPr>
          <w:t xml:space="preserve"> | </w:t>
        </w:r>
        <w:r>
          <w:rPr>
            <w:color w:val="808080" w:themeColor="background1" w:themeShade="80"/>
            <w:spacing w:val="60"/>
          </w:rPr>
          <w:t>Page</w:t>
        </w:r>
      </w:p>
    </w:sdtContent>
  </w:sdt>
  <w:p w:rsidR="008955F5" w:rsidRDefault="0089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F5" w:rsidRDefault="008955F5" w:rsidP="008955F5">
      <w:pPr>
        <w:spacing w:after="0" w:line="240" w:lineRule="auto"/>
      </w:pPr>
      <w:r>
        <w:separator/>
      </w:r>
    </w:p>
  </w:footnote>
  <w:footnote w:type="continuationSeparator" w:id="0">
    <w:p w:rsidR="008955F5" w:rsidRDefault="008955F5" w:rsidP="0089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4F"/>
    <w:rsid w:val="00024306"/>
    <w:rsid w:val="00046DF2"/>
    <w:rsid w:val="000A0228"/>
    <w:rsid w:val="000A718C"/>
    <w:rsid w:val="000C4353"/>
    <w:rsid w:val="000F0A2F"/>
    <w:rsid w:val="001172D4"/>
    <w:rsid w:val="00121531"/>
    <w:rsid w:val="001C6DFE"/>
    <w:rsid w:val="001D6EF6"/>
    <w:rsid w:val="00210D4A"/>
    <w:rsid w:val="00256DB9"/>
    <w:rsid w:val="00273FE1"/>
    <w:rsid w:val="002B0492"/>
    <w:rsid w:val="002B454F"/>
    <w:rsid w:val="002D59C1"/>
    <w:rsid w:val="00302F7B"/>
    <w:rsid w:val="00324B8F"/>
    <w:rsid w:val="003777A6"/>
    <w:rsid w:val="003809E1"/>
    <w:rsid w:val="00393781"/>
    <w:rsid w:val="003B3C77"/>
    <w:rsid w:val="003C7699"/>
    <w:rsid w:val="003F64FA"/>
    <w:rsid w:val="00402F70"/>
    <w:rsid w:val="0041065E"/>
    <w:rsid w:val="00422857"/>
    <w:rsid w:val="00496536"/>
    <w:rsid w:val="004A3EF5"/>
    <w:rsid w:val="004B0EEF"/>
    <w:rsid w:val="004E196F"/>
    <w:rsid w:val="005C7C5B"/>
    <w:rsid w:val="00623B6E"/>
    <w:rsid w:val="00646EEF"/>
    <w:rsid w:val="00683E2C"/>
    <w:rsid w:val="006E2746"/>
    <w:rsid w:val="006E3298"/>
    <w:rsid w:val="007410A2"/>
    <w:rsid w:val="00752150"/>
    <w:rsid w:val="007C077E"/>
    <w:rsid w:val="007C3C1A"/>
    <w:rsid w:val="00824F93"/>
    <w:rsid w:val="00831DD0"/>
    <w:rsid w:val="00843F19"/>
    <w:rsid w:val="008955F5"/>
    <w:rsid w:val="008A2A1F"/>
    <w:rsid w:val="008B1B55"/>
    <w:rsid w:val="008D071B"/>
    <w:rsid w:val="008E23C0"/>
    <w:rsid w:val="008F7A8E"/>
    <w:rsid w:val="00921DDC"/>
    <w:rsid w:val="00927868"/>
    <w:rsid w:val="00943741"/>
    <w:rsid w:val="00960844"/>
    <w:rsid w:val="009671E4"/>
    <w:rsid w:val="0098018F"/>
    <w:rsid w:val="009D6E48"/>
    <w:rsid w:val="00A50EA1"/>
    <w:rsid w:val="00B1282A"/>
    <w:rsid w:val="00B440DE"/>
    <w:rsid w:val="00B51767"/>
    <w:rsid w:val="00BA7603"/>
    <w:rsid w:val="00BE5081"/>
    <w:rsid w:val="00C106B8"/>
    <w:rsid w:val="00C1311C"/>
    <w:rsid w:val="00C20417"/>
    <w:rsid w:val="00C24B42"/>
    <w:rsid w:val="00C47BD9"/>
    <w:rsid w:val="00C9004A"/>
    <w:rsid w:val="00CB1773"/>
    <w:rsid w:val="00CE2488"/>
    <w:rsid w:val="00D02CF3"/>
    <w:rsid w:val="00D645AC"/>
    <w:rsid w:val="00DA5055"/>
    <w:rsid w:val="00DF5409"/>
    <w:rsid w:val="00E2345B"/>
    <w:rsid w:val="00E563E8"/>
    <w:rsid w:val="00E60C3C"/>
    <w:rsid w:val="00F5618C"/>
    <w:rsid w:val="00F705C4"/>
    <w:rsid w:val="00F9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paragraph" w:styleId="Header">
    <w:name w:val="header"/>
    <w:basedOn w:val="Normal"/>
    <w:link w:val="HeaderChar"/>
    <w:uiPriority w:val="99"/>
    <w:unhideWhenUsed/>
    <w:rsid w:val="0089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F5"/>
  </w:style>
  <w:style w:type="paragraph" w:styleId="Footer">
    <w:name w:val="footer"/>
    <w:basedOn w:val="Normal"/>
    <w:link w:val="FooterChar"/>
    <w:uiPriority w:val="99"/>
    <w:unhideWhenUsed/>
    <w:rsid w:val="0089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A29B-3427-4B0B-AF16-3082427B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McCormack</dc:creator>
  <cp:lastModifiedBy>Phil Newsam</cp:lastModifiedBy>
  <cp:revision>2</cp:revision>
  <cp:lastPrinted>2016-07-19T10:37:00Z</cp:lastPrinted>
  <dcterms:created xsi:type="dcterms:W3CDTF">2016-11-29T09:18:00Z</dcterms:created>
  <dcterms:modified xsi:type="dcterms:W3CDTF">2016-11-29T09:18:00Z</dcterms:modified>
</cp:coreProperties>
</file>