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A4E" w:rsidRPr="007D4126" w:rsidRDefault="004D3C07">
      <w:pPr>
        <w:jc w:val="both"/>
        <w:rPr>
          <w:rFonts w:ascii="Arial" w:hAnsi="Arial" w:cs="Arial"/>
          <w:sz w:val="28"/>
          <w:szCs w:val="28"/>
        </w:rPr>
      </w:pPr>
      <w:r w:rsidRPr="007D4126">
        <w:rPr>
          <w:rFonts w:ascii="Arial" w:hAnsi="Arial" w:cs="Arial"/>
          <w:sz w:val="40"/>
        </w:rPr>
        <w:t xml:space="preserve">Hexagon Housing </w:t>
      </w:r>
      <w:r w:rsidR="000B0E43" w:rsidRPr="007D4126">
        <w:rPr>
          <w:rFonts w:ascii="Arial" w:hAnsi="Arial" w:cs="Arial"/>
          <w:sz w:val="40"/>
        </w:rPr>
        <w:t>Association</w:t>
      </w:r>
      <w:r w:rsidR="009467E9" w:rsidRPr="007D4126">
        <w:rPr>
          <w:rFonts w:ascii="Arial" w:hAnsi="Arial" w:cs="Arial"/>
          <w:sz w:val="40"/>
        </w:rPr>
        <w:t xml:space="preserve">   </w:t>
      </w:r>
      <w:r w:rsidR="00A65A4E" w:rsidRPr="007D4126">
        <w:rPr>
          <w:rFonts w:ascii="Arial" w:hAnsi="Arial" w:cs="Arial"/>
          <w:sz w:val="28"/>
          <w:szCs w:val="28"/>
        </w:rPr>
        <w:tab/>
      </w:r>
      <w:r w:rsidR="00A65A4E" w:rsidRPr="007D4126">
        <w:rPr>
          <w:rFonts w:ascii="Arial" w:hAnsi="Arial" w:cs="Arial"/>
          <w:sz w:val="28"/>
          <w:szCs w:val="28"/>
        </w:rPr>
        <w:tab/>
      </w:r>
    </w:p>
    <w:p w:rsidR="00A65A4E" w:rsidRPr="007D4126" w:rsidRDefault="00420A84">
      <w:pPr>
        <w:rPr>
          <w:rFonts w:ascii="Arial" w:hAnsi="Arial" w:cs="Arial"/>
        </w:rPr>
      </w:pPr>
      <w:r w:rsidRPr="007D4126">
        <w:rPr>
          <w:rFonts w:ascii="Arial" w:hAnsi="Arial" w:cs="Arial"/>
          <w:sz w:val="40"/>
        </w:rPr>
        <w:t>201</w:t>
      </w:r>
      <w:r w:rsidR="003E3014" w:rsidRPr="007D4126">
        <w:rPr>
          <w:rFonts w:ascii="Arial" w:hAnsi="Arial" w:cs="Arial"/>
          <w:sz w:val="40"/>
        </w:rPr>
        <w:t>6/7</w:t>
      </w:r>
      <w:r w:rsidR="00467AF9" w:rsidRPr="007D4126">
        <w:rPr>
          <w:rFonts w:ascii="Arial" w:hAnsi="Arial" w:cs="Arial"/>
          <w:sz w:val="40"/>
        </w:rPr>
        <w:t xml:space="preserve"> Value for Money </w:t>
      </w:r>
      <w:r w:rsidR="00C65B53" w:rsidRPr="007D4126">
        <w:rPr>
          <w:rFonts w:ascii="Arial" w:hAnsi="Arial" w:cs="Arial"/>
          <w:sz w:val="40"/>
        </w:rPr>
        <w:t xml:space="preserve">Self </w:t>
      </w:r>
      <w:r w:rsidR="003E3014" w:rsidRPr="007D4126">
        <w:rPr>
          <w:rFonts w:ascii="Arial" w:hAnsi="Arial" w:cs="Arial"/>
          <w:sz w:val="40"/>
        </w:rPr>
        <w:t>–</w:t>
      </w:r>
      <w:r w:rsidR="00C65B53" w:rsidRPr="007D4126">
        <w:rPr>
          <w:rFonts w:ascii="Arial" w:hAnsi="Arial" w:cs="Arial"/>
          <w:sz w:val="40"/>
        </w:rPr>
        <w:t xml:space="preserve"> </w:t>
      </w:r>
      <w:r w:rsidRPr="007D4126">
        <w:rPr>
          <w:rFonts w:ascii="Arial" w:hAnsi="Arial" w:cs="Arial"/>
          <w:sz w:val="40"/>
        </w:rPr>
        <w:t>Assessment</w:t>
      </w:r>
      <w:r w:rsidR="003E3014" w:rsidRPr="007D4126">
        <w:rPr>
          <w:rFonts w:ascii="Arial" w:hAnsi="Arial" w:cs="Arial"/>
          <w:sz w:val="40"/>
        </w:rPr>
        <w:t xml:space="preserve">  </w:t>
      </w:r>
    </w:p>
    <w:p w:rsidR="004706D2" w:rsidRDefault="004706D2" w:rsidP="004706D2">
      <w:pPr>
        <w:ind w:left="720"/>
        <w:jc w:val="both"/>
        <w:rPr>
          <w:rFonts w:ascii="Arial" w:hAnsi="Arial" w:cs="Arial"/>
          <w:b/>
          <w:sz w:val="28"/>
        </w:rPr>
      </w:pPr>
    </w:p>
    <w:p w:rsidR="00C77AED" w:rsidRPr="007D4126" w:rsidRDefault="004D3C07" w:rsidP="00B85492">
      <w:pPr>
        <w:numPr>
          <w:ilvl w:val="0"/>
          <w:numId w:val="2"/>
        </w:numPr>
        <w:jc w:val="both"/>
        <w:rPr>
          <w:rFonts w:ascii="Arial" w:hAnsi="Arial" w:cs="Arial"/>
          <w:b/>
          <w:sz w:val="28"/>
        </w:rPr>
      </w:pPr>
      <w:r w:rsidRPr="007D4126">
        <w:rPr>
          <w:rFonts w:ascii="Arial" w:hAnsi="Arial" w:cs="Arial"/>
          <w:b/>
          <w:sz w:val="28"/>
        </w:rPr>
        <w:t>Introduction</w:t>
      </w:r>
      <w:r w:rsidR="00BC6336" w:rsidRPr="007D4126">
        <w:rPr>
          <w:rFonts w:ascii="Arial" w:hAnsi="Arial" w:cs="Arial"/>
          <w:b/>
          <w:sz w:val="28"/>
        </w:rPr>
        <w:t xml:space="preserve">    </w:t>
      </w:r>
    </w:p>
    <w:p w:rsidR="005C7B8E" w:rsidRPr="007D4126" w:rsidRDefault="005C7B8E" w:rsidP="00C77AED">
      <w:pPr>
        <w:jc w:val="both"/>
        <w:rPr>
          <w:rFonts w:ascii="Arial" w:hAnsi="Arial" w:cs="Arial"/>
          <w:sz w:val="28"/>
        </w:rPr>
      </w:pPr>
    </w:p>
    <w:p w:rsidR="00C77AED" w:rsidRPr="007D4126" w:rsidRDefault="00C77AED" w:rsidP="00C77AED">
      <w:pPr>
        <w:jc w:val="both"/>
        <w:rPr>
          <w:rFonts w:ascii="Arial" w:hAnsi="Arial" w:cs="Arial"/>
          <w:sz w:val="28"/>
        </w:rPr>
      </w:pPr>
      <w:r w:rsidRPr="007D4126">
        <w:rPr>
          <w:rFonts w:ascii="Arial" w:hAnsi="Arial" w:cs="Arial"/>
          <w:sz w:val="28"/>
        </w:rPr>
        <w:t>Why Value for Money is important</w:t>
      </w:r>
    </w:p>
    <w:p w:rsidR="00A65A4E" w:rsidRPr="007D4126" w:rsidRDefault="00A65A4E">
      <w:pPr>
        <w:jc w:val="both"/>
        <w:rPr>
          <w:rFonts w:ascii="Arial" w:hAnsi="Arial" w:cs="Arial"/>
        </w:rPr>
      </w:pPr>
    </w:p>
    <w:p w:rsidR="00C77AED" w:rsidRPr="007D4126" w:rsidRDefault="00C77AED" w:rsidP="00C77AED">
      <w:pPr>
        <w:rPr>
          <w:rFonts w:ascii="Arial" w:hAnsi="Arial" w:cs="Arial"/>
        </w:rPr>
      </w:pPr>
      <w:r w:rsidRPr="007D4126">
        <w:rPr>
          <w:rFonts w:ascii="Arial" w:hAnsi="Arial" w:cs="Arial"/>
        </w:rPr>
        <w:t>For Hexagon, Value for Money (VFM) is about being effective in how we plan, manage and operate our business, it is important because</w:t>
      </w:r>
    </w:p>
    <w:p w:rsidR="00C77AED" w:rsidRPr="007D4126" w:rsidRDefault="00C77AED" w:rsidP="00B85492">
      <w:pPr>
        <w:numPr>
          <w:ilvl w:val="0"/>
          <w:numId w:val="1"/>
        </w:numPr>
        <w:jc w:val="both"/>
        <w:rPr>
          <w:rFonts w:ascii="Arial" w:hAnsi="Arial" w:cs="Arial"/>
        </w:rPr>
      </w:pPr>
      <w:r w:rsidRPr="007D4126">
        <w:rPr>
          <w:rFonts w:ascii="Arial" w:hAnsi="Arial" w:cs="Arial"/>
        </w:rPr>
        <w:t>Residents pay their rent and service charges in the expectation that we will make the best use of them to fulfil Hexagon’s objectives;</w:t>
      </w:r>
    </w:p>
    <w:p w:rsidR="00C77AED" w:rsidRPr="007D4126" w:rsidRDefault="00C77AED" w:rsidP="00B85492">
      <w:pPr>
        <w:numPr>
          <w:ilvl w:val="0"/>
          <w:numId w:val="1"/>
        </w:numPr>
        <w:jc w:val="both"/>
        <w:rPr>
          <w:rFonts w:ascii="Arial" w:hAnsi="Arial" w:cs="Arial"/>
        </w:rPr>
      </w:pPr>
      <w:r w:rsidRPr="007D4126">
        <w:rPr>
          <w:rFonts w:ascii="Arial" w:hAnsi="Arial" w:cs="Arial"/>
        </w:rPr>
        <w:t xml:space="preserve">Our main source of income (social housing rents) is constrained by a </w:t>
      </w:r>
      <w:r w:rsidR="00662A46" w:rsidRPr="007D4126">
        <w:rPr>
          <w:rFonts w:ascii="Arial" w:hAnsi="Arial" w:cs="Arial"/>
        </w:rPr>
        <w:t xml:space="preserve">long term </w:t>
      </w:r>
      <w:r w:rsidRPr="007D4126">
        <w:rPr>
          <w:rFonts w:ascii="Arial" w:hAnsi="Arial" w:cs="Arial"/>
        </w:rPr>
        <w:t xml:space="preserve">formula that links it to inflation +1%. </w:t>
      </w:r>
      <w:r w:rsidR="00657161" w:rsidRPr="007D4126">
        <w:rPr>
          <w:rFonts w:ascii="Arial" w:hAnsi="Arial" w:cs="Arial"/>
        </w:rPr>
        <w:t xml:space="preserve"> Further constraints have been introduced by the Government</w:t>
      </w:r>
      <w:r w:rsidR="00662A46" w:rsidRPr="007D4126">
        <w:rPr>
          <w:rFonts w:ascii="Arial" w:hAnsi="Arial" w:cs="Arial"/>
        </w:rPr>
        <w:t>, which means that most of our rents will reduce by 1% a year for four years from July 2016</w:t>
      </w:r>
      <w:r w:rsidR="00657161" w:rsidRPr="007D4126">
        <w:rPr>
          <w:rFonts w:ascii="Arial" w:hAnsi="Arial" w:cs="Arial"/>
        </w:rPr>
        <w:t xml:space="preserve">.  </w:t>
      </w:r>
      <w:r w:rsidRPr="007D4126">
        <w:rPr>
          <w:rFonts w:ascii="Arial" w:hAnsi="Arial" w:cs="Arial"/>
        </w:rPr>
        <w:t xml:space="preserve"> We have to ensure that other costs rise by no more than </w:t>
      </w:r>
      <w:r w:rsidR="00657161" w:rsidRPr="007D4126">
        <w:rPr>
          <w:rFonts w:ascii="Arial" w:hAnsi="Arial" w:cs="Arial"/>
        </w:rPr>
        <w:t xml:space="preserve">rental income </w:t>
      </w:r>
      <w:r w:rsidR="00D15D5A" w:rsidRPr="007D4126">
        <w:rPr>
          <w:rFonts w:ascii="Arial" w:hAnsi="Arial" w:cs="Arial"/>
        </w:rPr>
        <w:t>over the long term</w:t>
      </w:r>
      <w:r w:rsidRPr="007D4126">
        <w:rPr>
          <w:rFonts w:ascii="Arial" w:hAnsi="Arial" w:cs="Arial"/>
        </w:rPr>
        <w:t xml:space="preserve"> to secure Hexagon’s long term future; and</w:t>
      </w:r>
    </w:p>
    <w:p w:rsidR="00C77AED" w:rsidRPr="007D4126" w:rsidRDefault="00C77AED" w:rsidP="00B85492">
      <w:pPr>
        <w:numPr>
          <w:ilvl w:val="0"/>
          <w:numId w:val="1"/>
        </w:numPr>
        <w:jc w:val="both"/>
        <w:rPr>
          <w:rFonts w:ascii="Arial" w:hAnsi="Arial" w:cs="Arial"/>
        </w:rPr>
      </w:pPr>
      <w:r w:rsidRPr="007D4126">
        <w:rPr>
          <w:rFonts w:ascii="Arial" w:hAnsi="Arial" w:cs="Arial"/>
        </w:rPr>
        <w:t>Our regulators place great emphasis on VFM</w:t>
      </w:r>
    </w:p>
    <w:p w:rsidR="00C77AED" w:rsidRPr="007D4126" w:rsidRDefault="00C77AED" w:rsidP="00C77AED">
      <w:pPr>
        <w:jc w:val="both"/>
        <w:rPr>
          <w:rFonts w:ascii="Arial" w:hAnsi="Arial" w:cs="Arial"/>
        </w:rPr>
      </w:pPr>
    </w:p>
    <w:p w:rsidR="00C77AED" w:rsidRPr="007D4126" w:rsidRDefault="00C77AED" w:rsidP="00C77AED">
      <w:pPr>
        <w:jc w:val="both"/>
        <w:rPr>
          <w:rFonts w:ascii="Arial" w:hAnsi="Arial" w:cs="Arial"/>
          <w:sz w:val="28"/>
        </w:rPr>
      </w:pPr>
      <w:r w:rsidRPr="007D4126">
        <w:rPr>
          <w:rFonts w:ascii="Arial" w:hAnsi="Arial" w:cs="Arial"/>
          <w:sz w:val="28"/>
        </w:rPr>
        <w:t>How the Board monitors VFM</w:t>
      </w:r>
    </w:p>
    <w:p w:rsidR="00C77AED" w:rsidRPr="007D4126" w:rsidRDefault="00C77AED" w:rsidP="00C77AED">
      <w:pPr>
        <w:rPr>
          <w:rFonts w:ascii="Arial" w:hAnsi="Arial" w:cs="Arial"/>
        </w:rPr>
      </w:pPr>
    </w:p>
    <w:p w:rsidR="00C77AED" w:rsidRPr="007D4126" w:rsidRDefault="00C77AED" w:rsidP="00C77AED">
      <w:pPr>
        <w:rPr>
          <w:rFonts w:ascii="Arial" w:hAnsi="Arial" w:cs="Arial"/>
        </w:rPr>
      </w:pPr>
      <w:r w:rsidRPr="007D4126">
        <w:rPr>
          <w:rFonts w:ascii="Arial" w:hAnsi="Arial" w:cs="Arial"/>
        </w:rPr>
        <w:t>Our Board obtains assurance on VFM through a range of means including:</w:t>
      </w:r>
    </w:p>
    <w:p w:rsidR="003E3014" w:rsidRPr="007D4126" w:rsidRDefault="003E3014" w:rsidP="00B85492">
      <w:pPr>
        <w:numPr>
          <w:ilvl w:val="0"/>
          <w:numId w:val="1"/>
        </w:numPr>
        <w:jc w:val="both"/>
        <w:rPr>
          <w:rFonts w:ascii="Arial" w:hAnsi="Arial" w:cs="Arial"/>
        </w:rPr>
      </w:pPr>
      <w:r w:rsidRPr="007D4126">
        <w:rPr>
          <w:rFonts w:ascii="Arial" w:hAnsi="Arial" w:cs="Arial"/>
        </w:rPr>
        <w:t>Setting targets for a set of 9 important indicators, as part of the 3-year corporate plan</w:t>
      </w:r>
    </w:p>
    <w:p w:rsidR="00C77AED" w:rsidRPr="007D4126" w:rsidRDefault="003E3014" w:rsidP="00B85492">
      <w:pPr>
        <w:numPr>
          <w:ilvl w:val="0"/>
          <w:numId w:val="1"/>
        </w:numPr>
        <w:jc w:val="both"/>
        <w:rPr>
          <w:rFonts w:ascii="Arial" w:hAnsi="Arial" w:cs="Arial"/>
        </w:rPr>
      </w:pPr>
      <w:r w:rsidRPr="007D4126">
        <w:rPr>
          <w:rFonts w:ascii="Arial" w:hAnsi="Arial" w:cs="Arial"/>
        </w:rPr>
        <w:t xml:space="preserve">Approving an annual VFM strategy to improve performance across six VFM themes </w:t>
      </w:r>
      <w:r w:rsidR="00C77AED" w:rsidRPr="007D4126">
        <w:rPr>
          <w:rFonts w:ascii="Arial" w:hAnsi="Arial" w:cs="Arial"/>
        </w:rPr>
        <w:t xml:space="preserve"> </w:t>
      </w:r>
    </w:p>
    <w:p w:rsidR="003E3014" w:rsidRPr="007D4126" w:rsidRDefault="003E3014" w:rsidP="00B85492">
      <w:pPr>
        <w:numPr>
          <w:ilvl w:val="0"/>
          <w:numId w:val="1"/>
        </w:numPr>
        <w:jc w:val="both"/>
        <w:rPr>
          <w:rFonts w:ascii="Arial" w:hAnsi="Arial" w:cs="Arial"/>
        </w:rPr>
      </w:pPr>
      <w:r w:rsidRPr="007D4126">
        <w:rPr>
          <w:rFonts w:ascii="Arial" w:hAnsi="Arial" w:cs="Arial"/>
        </w:rPr>
        <w:t>Reviewing delivery of the VFM Strategy once a year</w:t>
      </w:r>
    </w:p>
    <w:p w:rsidR="00D15D5A" w:rsidRPr="007D4126" w:rsidRDefault="00C77AED" w:rsidP="00B85492">
      <w:pPr>
        <w:numPr>
          <w:ilvl w:val="0"/>
          <w:numId w:val="1"/>
        </w:numPr>
        <w:jc w:val="both"/>
        <w:rPr>
          <w:rFonts w:ascii="Arial" w:hAnsi="Arial" w:cs="Arial"/>
        </w:rPr>
      </w:pPr>
      <w:r w:rsidRPr="007D4126">
        <w:rPr>
          <w:rFonts w:ascii="Arial" w:hAnsi="Arial" w:cs="Arial"/>
        </w:rPr>
        <w:t xml:space="preserve">Approving the annual </w:t>
      </w:r>
      <w:r w:rsidR="009315B4" w:rsidRPr="007D4126">
        <w:rPr>
          <w:rFonts w:ascii="Arial" w:hAnsi="Arial" w:cs="Arial"/>
        </w:rPr>
        <w:t>Self-Assessment</w:t>
      </w:r>
    </w:p>
    <w:p w:rsidR="003E3014" w:rsidRPr="007D4126" w:rsidRDefault="00C77AED" w:rsidP="00B85492">
      <w:pPr>
        <w:numPr>
          <w:ilvl w:val="0"/>
          <w:numId w:val="1"/>
        </w:numPr>
        <w:jc w:val="both"/>
        <w:rPr>
          <w:rFonts w:ascii="Arial" w:hAnsi="Arial" w:cs="Arial"/>
        </w:rPr>
      </w:pPr>
      <w:r w:rsidRPr="007D4126">
        <w:rPr>
          <w:rFonts w:ascii="Arial" w:hAnsi="Arial" w:cs="Arial"/>
        </w:rPr>
        <w:t>A range of quarterly performance data which covers quality issues</w:t>
      </w:r>
      <w:r w:rsidR="003E3014" w:rsidRPr="007D4126">
        <w:rPr>
          <w:rFonts w:ascii="Arial" w:hAnsi="Arial" w:cs="Arial"/>
        </w:rPr>
        <w:t>.</w:t>
      </w:r>
    </w:p>
    <w:p w:rsidR="003E3014" w:rsidRPr="007D4126" w:rsidRDefault="003E3014" w:rsidP="0071230F">
      <w:pPr>
        <w:jc w:val="both"/>
        <w:rPr>
          <w:rFonts w:ascii="Arial" w:hAnsi="Arial" w:cs="Arial"/>
        </w:rPr>
      </w:pPr>
    </w:p>
    <w:p w:rsidR="00C77AED" w:rsidRDefault="003E3014" w:rsidP="0071230F">
      <w:pPr>
        <w:jc w:val="both"/>
        <w:rPr>
          <w:rFonts w:ascii="Arial" w:hAnsi="Arial" w:cs="Arial"/>
        </w:rPr>
      </w:pPr>
      <w:r w:rsidRPr="007D4126">
        <w:rPr>
          <w:rFonts w:ascii="Arial" w:hAnsi="Arial" w:cs="Arial"/>
        </w:rPr>
        <w:t xml:space="preserve">The Board has recently set up a Performance Sub-Committee to focus on improving both performance and VFM. This Sub-Committee will be meeting quarterly from October 2017. </w:t>
      </w:r>
    </w:p>
    <w:p w:rsidR="004706D2" w:rsidRPr="007D4126" w:rsidRDefault="004706D2" w:rsidP="0071230F">
      <w:pPr>
        <w:jc w:val="both"/>
        <w:rPr>
          <w:rFonts w:ascii="Arial" w:hAnsi="Arial" w:cs="Arial"/>
        </w:rPr>
      </w:pPr>
    </w:p>
    <w:p w:rsidR="00E1346E" w:rsidRDefault="00E1346E" w:rsidP="00B85492">
      <w:pPr>
        <w:numPr>
          <w:ilvl w:val="0"/>
          <w:numId w:val="2"/>
        </w:numPr>
        <w:jc w:val="both"/>
        <w:rPr>
          <w:rFonts w:ascii="Arial" w:hAnsi="Arial" w:cs="Arial"/>
          <w:b/>
          <w:sz w:val="28"/>
        </w:rPr>
      </w:pPr>
      <w:r w:rsidRPr="007D4126">
        <w:rPr>
          <w:rFonts w:ascii="Arial" w:hAnsi="Arial" w:cs="Arial"/>
          <w:b/>
          <w:sz w:val="28"/>
        </w:rPr>
        <w:t>Overall assessment</w:t>
      </w:r>
    </w:p>
    <w:p w:rsidR="003233C4" w:rsidRPr="007D4126" w:rsidRDefault="00B85492" w:rsidP="00E1346E">
      <w:pPr>
        <w:rPr>
          <w:rFonts w:ascii="Arial" w:hAnsi="Arial" w:cs="Arial"/>
        </w:rPr>
      </w:pPr>
      <w:r>
        <w:rPr>
          <w:rFonts w:ascii="Arial" w:hAnsi="Arial" w:cs="Arial"/>
        </w:rPr>
        <w:t xml:space="preserve">2.1 </w:t>
      </w:r>
      <w:r w:rsidR="009467E9" w:rsidRPr="007D4126">
        <w:rPr>
          <w:rFonts w:ascii="Arial" w:hAnsi="Arial" w:cs="Arial"/>
        </w:rPr>
        <w:t xml:space="preserve">Value for money is about outputs, outcomes and resident satisfaction as well as costs. </w:t>
      </w:r>
      <w:r w:rsidR="003233C4" w:rsidRPr="007D4126">
        <w:rPr>
          <w:rFonts w:ascii="Arial" w:hAnsi="Arial" w:cs="Arial"/>
        </w:rPr>
        <w:t>Hexagon performs well in overall value for money, with particular strengths being as follows:</w:t>
      </w:r>
    </w:p>
    <w:p w:rsidR="003233C4" w:rsidRPr="007D4126" w:rsidRDefault="003233C4" w:rsidP="00E1346E">
      <w:pPr>
        <w:rPr>
          <w:rFonts w:ascii="Arial" w:hAnsi="Arial" w:cs="Arial"/>
          <w:highlight w:val="yellow"/>
        </w:rPr>
      </w:pPr>
    </w:p>
    <w:p w:rsidR="003233C4" w:rsidRPr="007D4126" w:rsidRDefault="00055208" w:rsidP="00B85492">
      <w:pPr>
        <w:numPr>
          <w:ilvl w:val="0"/>
          <w:numId w:val="3"/>
        </w:numPr>
        <w:rPr>
          <w:rFonts w:ascii="Arial" w:hAnsi="Arial" w:cs="Arial"/>
        </w:rPr>
      </w:pPr>
      <w:r w:rsidRPr="007D4126">
        <w:rPr>
          <w:rFonts w:ascii="Arial" w:hAnsi="Arial" w:cs="Arial"/>
        </w:rPr>
        <w:t>Our key</w:t>
      </w:r>
      <w:r w:rsidR="00B01CB2" w:rsidRPr="007D4126">
        <w:rPr>
          <w:rFonts w:ascii="Arial" w:hAnsi="Arial" w:cs="Arial"/>
        </w:rPr>
        <w:t xml:space="preserve"> </w:t>
      </w:r>
      <w:r w:rsidR="003233C4" w:rsidRPr="007D4126">
        <w:rPr>
          <w:rFonts w:ascii="Arial" w:hAnsi="Arial" w:cs="Arial"/>
        </w:rPr>
        <w:t xml:space="preserve">services are provided at lower </w:t>
      </w:r>
      <w:r w:rsidR="00B01CB2" w:rsidRPr="007D4126">
        <w:rPr>
          <w:rFonts w:ascii="Arial" w:hAnsi="Arial" w:cs="Arial"/>
        </w:rPr>
        <w:t xml:space="preserve">cost </w:t>
      </w:r>
      <w:r w:rsidR="003233C4" w:rsidRPr="007D4126">
        <w:rPr>
          <w:rFonts w:ascii="Arial" w:hAnsi="Arial" w:cs="Arial"/>
        </w:rPr>
        <w:t>tha</w:t>
      </w:r>
      <w:r w:rsidR="00B2361B" w:rsidRPr="007D4126">
        <w:rPr>
          <w:rFonts w:ascii="Arial" w:hAnsi="Arial" w:cs="Arial"/>
        </w:rPr>
        <w:t xml:space="preserve">n </w:t>
      </w:r>
      <w:r w:rsidR="00B01CB2" w:rsidRPr="007D4126">
        <w:rPr>
          <w:rFonts w:ascii="Arial" w:hAnsi="Arial" w:cs="Arial"/>
        </w:rPr>
        <w:t>average for London housing associations</w:t>
      </w:r>
      <w:r w:rsidR="003233C4" w:rsidRPr="007D4126">
        <w:rPr>
          <w:rFonts w:ascii="Arial" w:hAnsi="Arial" w:cs="Arial"/>
        </w:rPr>
        <w:t xml:space="preserve"> (see </w:t>
      </w:r>
      <w:r w:rsidRPr="007D4126">
        <w:rPr>
          <w:rFonts w:ascii="Arial" w:hAnsi="Arial" w:cs="Arial"/>
        </w:rPr>
        <w:t>section 6</w:t>
      </w:r>
      <w:r w:rsidR="003233C4" w:rsidRPr="007D4126">
        <w:rPr>
          <w:rFonts w:ascii="Arial" w:hAnsi="Arial" w:cs="Arial"/>
        </w:rPr>
        <w:t>)</w:t>
      </w:r>
    </w:p>
    <w:p w:rsidR="003233C4" w:rsidRPr="00983A24" w:rsidRDefault="00B01CB2" w:rsidP="00B85492">
      <w:pPr>
        <w:numPr>
          <w:ilvl w:val="0"/>
          <w:numId w:val="3"/>
        </w:numPr>
        <w:rPr>
          <w:rFonts w:ascii="Arial" w:hAnsi="Arial" w:cs="Arial"/>
        </w:rPr>
      </w:pPr>
      <w:r w:rsidRPr="00983A24">
        <w:rPr>
          <w:rFonts w:ascii="Arial" w:hAnsi="Arial" w:cs="Arial"/>
        </w:rPr>
        <w:t xml:space="preserve">Our interest costs are </w:t>
      </w:r>
      <w:r w:rsidR="003233C4" w:rsidRPr="00983A24">
        <w:rPr>
          <w:rFonts w:ascii="Arial" w:hAnsi="Arial" w:cs="Arial"/>
        </w:rPr>
        <w:t>low</w:t>
      </w:r>
      <w:r w:rsidRPr="00983A24">
        <w:rPr>
          <w:rFonts w:ascii="Arial" w:hAnsi="Arial" w:cs="Arial"/>
        </w:rPr>
        <w:t>er</w:t>
      </w:r>
      <w:r w:rsidR="003233C4" w:rsidRPr="00983A24">
        <w:rPr>
          <w:rFonts w:ascii="Arial" w:hAnsi="Arial" w:cs="Arial"/>
        </w:rPr>
        <w:t xml:space="preserve"> </w:t>
      </w:r>
      <w:r w:rsidRPr="00983A24">
        <w:rPr>
          <w:rFonts w:ascii="Arial" w:hAnsi="Arial" w:cs="Arial"/>
        </w:rPr>
        <w:t xml:space="preserve">than </w:t>
      </w:r>
      <w:r w:rsidR="00983A24" w:rsidRPr="00983A24">
        <w:rPr>
          <w:rFonts w:ascii="Arial" w:hAnsi="Arial" w:cs="Arial"/>
        </w:rPr>
        <w:t xml:space="preserve">the median for </w:t>
      </w:r>
      <w:r w:rsidRPr="00983A24">
        <w:rPr>
          <w:rFonts w:ascii="Arial" w:hAnsi="Arial" w:cs="Arial"/>
        </w:rPr>
        <w:t xml:space="preserve"> English </w:t>
      </w:r>
      <w:r w:rsidR="003233C4" w:rsidRPr="00983A24">
        <w:rPr>
          <w:rFonts w:ascii="Arial" w:hAnsi="Arial" w:cs="Arial"/>
        </w:rPr>
        <w:t xml:space="preserve">housing </w:t>
      </w:r>
      <w:r w:rsidR="0073266E" w:rsidRPr="00983A24">
        <w:rPr>
          <w:rFonts w:ascii="Arial" w:hAnsi="Arial" w:cs="Arial"/>
        </w:rPr>
        <w:t>associations</w:t>
      </w:r>
      <w:r w:rsidR="003233C4" w:rsidRPr="00983A24">
        <w:rPr>
          <w:rFonts w:ascii="Arial" w:hAnsi="Arial" w:cs="Arial"/>
        </w:rPr>
        <w:t xml:space="preserve"> (paragraph </w:t>
      </w:r>
      <w:r w:rsidR="00983A24" w:rsidRPr="00983A24">
        <w:rPr>
          <w:rFonts w:ascii="Arial" w:hAnsi="Arial" w:cs="Arial"/>
        </w:rPr>
        <w:t>4.1</w:t>
      </w:r>
      <w:r w:rsidR="003233C4" w:rsidRPr="00983A24">
        <w:rPr>
          <w:rFonts w:ascii="Arial" w:hAnsi="Arial" w:cs="Arial"/>
        </w:rPr>
        <w:t>)</w:t>
      </w:r>
    </w:p>
    <w:p w:rsidR="005019ED" w:rsidRPr="007D4126" w:rsidRDefault="00650802" w:rsidP="00B85492">
      <w:pPr>
        <w:numPr>
          <w:ilvl w:val="0"/>
          <w:numId w:val="3"/>
        </w:numPr>
        <w:rPr>
          <w:rFonts w:ascii="Arial" w:hAnsi="Arial" w:cs="Arial"/>
        </w:rPr>
      </w:pPr>
      <w:r w:rsidRPr="007D4126">
        <w:rPr>
          <w:rFonts w:ascii="Arial" w:hAnsi="Arial" w:cs="Arial"/>
        </w:rPr>
        <w:t xml:space="preserve">All of our directly managed general needs homes produce a positive financial return, as measured by net present value </w:t>
      </w:r>
      <w:r w:rsidR="005019ED" w:rsidRPr="007D4126">
        <w:rPr>
          <w:rFonts w:ascii="Arial" w:hAnsi="Arial" w:cs="Arial"/>
        </w:rPr>
        <w:t xml:space="preserve"> (</w:t>
      </w:r>
      <w:r w:rsidRPr="007D4126">
        <w:rPr>
          <w:rFonts w:ascii="Arial" w:hAnsi="Arial" w:cs="Arial"/>
        </w:rPr>
        <w:t>section 8)</w:t>
      </w:r>
    </w:p>
    <w:p w:rsidR="001848A6" w:rsidRPr="007D4126" w:rsidRDefault="008651DF" w:rsidP="00B85492">
      <w:pPr>
        <w:numPr>
          <w:ilvl w:val="0"/>
          <w:numId w:val="3"/>
        </w:numPr>
        <w:rPr>
          <w:rFonts w:ascii="Arial" w:hAnsi="Arial" w:cs="Arial"/>
        </w:rPr>
      </w:pPr>
      <w:r w:rsidRPr="007D4126">
        <w:rPr>
          <w:rFonts w:ascii="Arial" w:hAnsi="Arial" w:cs="Arial"/>
        </w:rPr>
        <w:t>We have a</w:t>
      </w:r>
      <w:r w:rsidR="00650802" w:rsidRPr="007D4126">
        <w:rPr>
          <w:rFonts w:ascii="Arial" w:hAnsi="Arial" w:cs="Arial"/>
        </w:rPr>
        <w:t xml:space="preserve">n approach to </w:t>
      </w:r>
      <w:r w:rsidR="001848A6" w:rsidRPr="007D4126">
        <w:rPr>
          <w:rFonts w:ascii="Arial" w:hAnsi="Arial" w:cs="Arial"/>
        </w:rPr>
        <w:t xml:space="preserve">VFM Strategy that contains challenging and measurable targets </w:t>
      </w:r>
    </w:p>
    <w:p w:rsidR="003233C4" w:rsidRPr="007D4126" w:rsidRDefault="003233C4" w:rsidP="00E1346E">
      <w:pPr>
        <w:rPr>
          <w:rFonts w:ascii="Arial" w:hAnsi="Arial" w:cs="Arial"/>
          <w:highlight w:val="yellow"/>
        </w:rPr>
      </w:pPr>
    </w:p>
    <w:p w:rsidR="005019ED" w:rsidRPr="00983A24" w:rsidRDefault="00B85492" w:rsidP="00E1346E">
      <w:pPr>
        <w:rPr>
          <w:rFonts w:ascii="Arial" w:hAnsi="Arial" w:cs="Arial"/>
        </w:rPr>
      </w:pPr>
      <w:r>
        <w:rPr>
          <w:rFonts w:ascii="Arial" w:hAnsi="Arial" w:cs="Arial"/>
        </w:rPr>
        <w:t xml:space="preserve">2.2 </w:t>
      </w:r>
      <w:r w:rsidR="005019ED" w:rsidRPr="00983A24">
        <w:rPr>
          <w:rFonts w:ascii="Arial" w:hAnsi="Arial" w:cs="Arial"/>
        </w:rPr>
        <w:t>However,</w:t>
      </w:r>
      <w:r w:rsidR="00D93FC0" w:rsidRPr="00983A24">
        <w:rPr>
          <w:rFonts w:ascii="Arial" w:hAnsi="Arial" w:cs="Arial"/>
        </w:rPr>
        <w:t xml:space="preserve"> </w:t>
      </w:r>
      <w:r w:rsidR="005019ED" w:rsidRPr="00983A24">
        <w:rPr>
          <w:rFonts w:ascii="Arial" w:hAnsi="Arial" w:cs="Arial"/>
        </w:rPr>
        <w:t>there are some specific areas where we want to do better, as follows:</w:t>
      </w:r>
    </w:p>
    <w:p w:rsidR="005019ED" w:rsidRPr="00983A24" w:rsidRDefault="005019ED" w:rsidP="00E1346E">
      <w:pPr>
        <w:rPr>
          <w:rFonts w:ascii="Arial" w:hAnsi="Arial" w:cs="Arial"/>
        </w:rPr>
      </w:pPr>
    </w:p>
    <w:p w:rsidR="001A1E2D" w:rsidRPr="003D4F85" w:rsidRDefault="00983A24" w:rsidP="00B85492">
      <w:pPr>
        <w:numPr>
          <w:ilvl w:val="0"/>
          <w:numId w:val="4"/>
        </w:numPr>
        <w:rPr>
          <w:rFonts w:ascii="Arial" w:hAnsi="Arial" w:cs="Arial"/>
        </w:rPr>
      </w:pPr>
      <w:r w:rsidRPr="00983A24">
        <w:rPr>
          <w:rFonts w:ascii="Arial" w:hAnsi="Arial" w:cs="Arial"/>
        </w:rPr>
        <w:t>Although r</w:t>
      </w:r>
      <w:r w:rsidR="005019ED" w:rsidRPr="00983A24">
        <w:rPr>
          <w:rFonts w:ascii="Arial" w:hAnsi="Arial" w:cs="Arial"/>
        </w:rPr>
        <w:t>esident satisfaction with our responsive repairs service</w:t>
      </w:r>
      <w:r w:rsidRPr="00983A24">
        <w:rPr>
          <w:rFonts w:ascii="Arial" w:hAnsi="Arial" w:cs="Arial"/>
        </w:rPr>
        <w:t xml:space="preserve"> (as measured by satisfaction with the last repair) is gradually </w:t>
      </w:r>
      <w:r w:rsidRPr="003D4F85">
        <w:rPr>
          <w:rFonts w:ascii="Arial" w:hAnsi="Arial" w:cs="Arial"/>
        </w:rPr>
        <w:t>improving, this is still significantly below the median for the sector</w:t>
      </w:r>
      <w:r w:rsidR="005019ED" w:rsidRPr="003D4F85">
        <w:rPr>
          <w:rFonts w:ascii="Arial" w:hAnsi="Arial" w:cs="Arial"/>
        </w:rPr>
        <w:t xml:space="preserve"> </w:t>
      </w:r>
      <w:r w:rsidRPr="003D4F85">
        <w:rPr>
          <w:rFonts w:ascii="Arial" w:hAnsi="Arial" w:cs="Arial"/>
        </w:rPr>
        <w:t>(see paragraph 4.1)</w:t>
      </w:r>
    </w:p>
    <w:p w:rsidR="00F5056E" w:rsidRPr="003D4F85" w:rsidRDefault="00983A24" w:rsidP="00B85492">
      <w:pPr>
        <w:pStyle w:val="ListParagraph"/>
        <w:numPr>
          <w:ilvl w:val="0"/>
          <w:numId w:val="4"/>
        </w:numPr>
        <w:rPr>
          <w:rFonts w:ascii="Arial" w:hAnsi="Arial" w:cs="Arial"/>
        </w:rPr>
      </w:pPr>
      <w:r w:rsidRPr="003D4F85">
        <w:rPr>
          <w:rFonts w:ascii="Arial" w:hAnsi="Arial" w:cs="Arial"/>
        </w:rPr>
        <w:t xml:space="preserve">Our rent collection rate is </w:t>
      </w:r>
      <w:r w:rsidR="003D4F85" w:rsidRPr="003D4F85">
        <w:rPr>
          <w:rFonts w:ascii="Arial" w:hAnsi="Arial" w:cs="Arial"/>
        </w:rPr>
        <w:t>below the median for the sector (see section 7)</w:t>
      </w:r>
    </w:p>
    <w:p w:rsidR="00D93FC0" w:rsidRPr="003D4F85" w:rsidRDefault="00F5056E" w:rsidP="00B85492">
      <w:pPr>
        <w:numPr>
          <w:ilvl w:val="0"/>
          <w:numId w:val="4"/>
        </w:numPr>
        <w:rPr>
          <w:rFonts w:ascii="Arial" w:hAnsi="Arial" w:cs="Arial"/>
        </w:rPr>
      </w:pPr>
      <w:r w:rsidRPr="003D4F85">
        <w:rPr>
          <w:rFonts w:ascii="Arial" w:hAnsi="Arial" w:cs="Arial"/>
        </w:rPr>
        <w:t xml:space="preserve">Despite the difficulties of making our Victorian and Edwardian street properties energy-efficient, we are investing significant amounts of money to improve the average </w:t>
      </w:r>
      <w:r w:rsidR="001A1E2D" w:rsidRPr="003D4F85">
        <w:rPr>
          <w:rFonts w:ascii="Arial" w:hAnsi="Arial" w:cs="Arial"/>
        </w:rPr>
        <w:t>SAP rating</w:t>
      </w:r>
      <w:r w:rsidRPr="003D4F85">
        <w:rPr>
          <w:rFonts w:ascii="Arial" w:hAnsi="Arial" w:cs="Arial"/>
        </w:rPr>
        <w:t xml:space="preserve"> of our homes.</w:t>
      </w:r>
    </w:p>
    <w:p w:rsidR="003D4F85" w:rsidRDefault="003D4F85">
      <w:pPr>
        <w:jc w:val="both"/>
        <w:rPr>
          <w:rFonts w:ascii="Arial" w:hAnsi="Arial" w:cs="Arial"/>
        </w:rPr>
      </w:pPr>
    </w:p>
    <w:p w:rsidR="003D4F85" w:rsidRDefault="003D4F85">
      <w:pPr>
        <w:jc w:val="both"/>
        <w:rPr>
          <w:rFonts w:ascii="Arial" w:hAnsi="Arial" w:cs="Arial"/>
        </w:rPr>
      </w:pPr>
    </w:p>
    <w:p w:rsidR="003D4F85" w:rsidRDefault="003D4F85">
      <w:pPr>
        <w:jc w:val="both"/>
        <w:rPr>
          <w:rFonts w:ascii="Arial" w:hAnsi="Arial" w:cs="Arial"/>
        </w:rPr>
      </w:pPr>
      <w:r>
        <w:rPr>
          <w:rFonts w:ascii="Arial" w:hAnsi="Arial" w:cs="Arial"/>
        </w:rPr>
        <w:t xml:space="preserve">All of these areas feature in our VFM strategy for 17/18. </w:t>
      </w:r>
    </w:p>
    <w:p w:rsidR="003D4F85" w:rsidRDefault="003D4F85">
      <w:pPr>
        <w:jc w:val="both"/>
        <w:rPr>
          <w:rFonts w:ascii="Arial" w:hAnsi="Arial" w:cs="Arial"/>
        </w:rPr>
      </w:pPr>
    </w:p>
    <w:p w:rsidR="0079297D" w:rsidRPr="007D4126" w:rsidRDefault="0079297D" w:rsidP="007E1BC6">
      <w:pPr>
        <w:jc w:val="both"/>
        <w:rPr>
          <w:rFonts w:ascii="Arial" w:hAnsi="Arial" w:cs="Arial"/>
        </w:rPr>
      </w:pPr>
    </w:p>
    <w:p w:rsidR="00264B95" w:rsidRPr="007D4126" w:rsidRDefault="00C25F17" w:rsidP="00B85492">
      <w:pPr>
        <w:numPr>
          <w:ilvl w:val="0"/>
          <w:numId w:val="2"/>
        </w:numPr>
        <w:jc w:val="both"/>
        <w:rPr>
          <w:rFonts w:ascii="Arial" w:hAnsi="Arial" w:cs="Arial"/>
          <w:b/>
          <w:sz w:val="28"/>
        </w:rPr>
      </w:pPr>
      <w:r w:rsidRPr="007D4126">
        <w:rPr>
          <w:rFonts w:ascii="Arial" w:hAnsi="Arial" w:cs="Arial"/>
          <w:b/>
          <w:sz w:val="28"/>
        </w:rPr>
        <w:t>How we define and measure value for money at Hexagon</w:t>
      </w:r>
    </w:p>
    <w:p w:rsidR="00FA6B86" w:rsidRPr="007D4126" w:rsidRDefault="00FA6B86" w:rsidP="007E1BC6">
      <w:pPr>
        <w:jc w:val="both"/>
        <w:rPr>
          <w:rFonts w:ascii="Arial" w:hAnsi="Arial" w:cs="Arial"/>
        </w:rPr>
      </w:pPr>
    </w:p>
    <w:p w:rsidR="00C25F17" w:rsidRPr="00B85492" w:rsidRDefault="00B85492" w:rsidP="00B85492">
      <w:pPr>
        <w:spacing w:after="200" w:line="276" w:lineRule="auto"/>
        <w:rPr>
          <w:rFonts w:ascii="Arial" w:eastAsiaTheme="minorHAnsi" w:hAnsi="Arial" w:cs="Arial"/>
          <w:szCs w:val="24"/>
          <w:lang w:val="en-GB"/>
        </w:rPr>
      </w:pPr>
      <w:r>
        <w:rPr>
          <w:rFonts w:ascii="Arial" w:eastAsiaTheme="minorHAnsi" w:hAnsi="Arial" w:cs="Arial"/>
          <w:szCs w:val="24"/>
          <w:lang w:val="en-GB"/>
        </w:rPr>
        <w:t xml:space="preserve">3.1 </w:t>
      </w:r>
      <w:r w:rsidR="00C25F17" w:rsidRPr="00B85492">
        <w:rPr>
          <w:rFonts w:ascii="Arial" w:eastAsiaTheme="minorHAnsi" w:hAnsi="Arial" w:cs="Arial"/>
          <w:szCs w:val="24"/>
          <w:lang w:val="en-GB"/>
        </w:rPr>
        <w:t>Hexagon’s VFM approach has 6 strategic Value for Money themes:</w:t>
      </w:r>
    </w:p>
    <w:p w:rsidR="00C25F17" w:rsidRPr="007D4126" w:rsidRDefault="00C25F17" w:rsidP="00B85492">
      <w:pPr>
        <w:pStyle w:val="ListParagraph"/>
        <w:numPr>
          <w:ilvl w:val="0"/>
          <w:numId w:val="5"/>
        </w:numPr>
        <w:spacing w:after="200" w:line="276" w:lineRule="auto"/>
        <w:rPr>
          <w:rFonts w:ascii="Arial" w:eastAsiaTheme="minorHAnsi" w:hAnsi="Arial" w:cs="Arial"/>
          <w:szCs w:val="24"/>
          <w:lang w:val="en-GB"/>
        </w:rPr>
      </w:pPr>
      <w:r w:rsidRPr="007D4126">
        <w:rPr>
          <w:rFonts w:ascii="Arial" w:eastAsiaTheme="minorHAnsi" w:hAnsi="Arial" w:cs="Arial"/>
          <w:szCs w:val="24"/>
          <w:lang w:val="en-GB"/>
        </w:rPr>
        <w:t>Restricting operating costs (including major repairs and void losses) per social housing unit</w:t>
      </w:r>
    </w:p>
    <w:p w:rsidR="00C25F17" w:rsidRPr="007D4126" w:rsidRDefault="00C25F17" w:rsidP="00B85492">
      <w:pPr>
        <w:pStyle w:val="ListParagraph"/>
        <w:numPr>
          <w:ilvl w:val="0"/>
          <w:numId w:val="5"/>
        </w:numPr>
        <w:spacing w:after="200" w:line="276" w:lineRule="auto"/>
        <w:rPr>
          <w:rFonts w:ascii="Arial" w:eastAsiaTheme="minorHAnsi" w:hAnsi="Arial" w:cs="Arial"/>
          <w:szCs w:val="24"/>
          <w:lang w:val="en-GB"/>
        </w:rPr>
      </w:pPr>
      <w:r w:rsidRPr="007D4126">
        <w:rPr>
          <w:rFonts w:ascii="Arial" w:eastAsiaTheme="minorHAnsi" w:hAnsi="Arial" w:cs="Arial"/>
          <w:szCs w:val="24"/>
          <w:lang w:val="en-GB"/>
        </w:rPr>
        <w:t>Restricting the growth of interest costs per social housing unit</w:t>
      </w:r>
    </w:p>
    <w:p w:rsidR="00C25F17" w:rsidRPr="007D4126" w:rsidRDefault="00C25F17" w:rsidP="00B85492">
      <w:pPr>
        <w:pStyle w:val="ListParagraph"/>
        <w:numPr>
          <w:ilvl w:val="0"/>
          <w:numId w:val="5"/>
        </w:numPr>
        <w:spacing w:after="200" w:line="276" w:lineRule="auto"/>
        <w:rPr>
          <w:rFonts w:ascii="Arial" w:eastAsiaTheme="minorHAnsi" w:hAnsi="Arial" w:cs="Arial"/>
          <w:szCs w:val="24"/>
          <w:lang w:val="en-GB"/>
        </w:rPr>
      </w:pPr>
      <w:r w:rsidRPr="007D4126">
        <w:rPr>
          <w:rFonts w:ascii="Arial" w:eastAsiaTheme="minorHAnsi" w:hAnsi="Arial" w:cs="Arial"/>
          <w:szCs w:val="24"/>
          <w:lang w:val="en-GB"/>
        </w:rPr>
        <w:t>Effective asset management</w:t>
      </w:r>
    </w:p>
    <w:p w:rsidR="00C25F17" w:rsidRPr="007D4126" w:rsidRDefault="00C25F17" w:rsidP="00B85492">
      <w:pPr>
        <w:pStyle w:val="ListParagraph"/>
        <w:numPr>
          <w:ilvl w:val="0"/>
          <w:numId w:val="5"/>
        </w:numPr>
        <w:spacing w:after="200" w:line="276" w:lineRule="auto"/>
        <w:rPr>
          <w:rFonts w:ascii="Arial" w:eastAsiaTheme="minorHAnsi" w:hAnsi="Arial" w:cs="Arial"/>
          <w:szCs w:val="24"/>
          <w:lang w:val="en-GB"/>
        </w:rPr>
      </w:pPr>
      <w:r w:rsidRPr="007D4126">
        <w:rPr>
          <w:rFonts w:ascii="Arial" w:eastAsiaTheme="minorHAnsi" w:hAnsi="Arial" w:cs="Arial"/>
          <w:szCs w:val="24"/>
          <w:lang w:val="en-GB"/>
        </w:rPr>
        <w:t>Maximising development (within our capacity)</w:t>
      </w:r>
    </w:p>
    <w:p w:rsidR="00C25F17" w:rsidRPr="007D4126" w:rsidRDefault="00C25F17" w:rsidP="00B85492">
      <w:pPr>
        <w:pStyle w:val="ListParagraph"/>
        <w:numPr>
          <w:ilvl w:val="0"/>
          <w:numId w:val="5"/>
        </w:numPr>
        <w:spacing w:after="200" w:line="276" w:lineRule="auto"/>
        <w:rPr>
          <w:rFonts w:ascii="Arial" w:eastAsiaTheme="minorHAnsi" w:hAnsi="Arial" w:cs="Arial"/>
          <w:szCs w:val="24"/>
          <w:lang w:val="en-GB"/>
        </w:rPr>
      </w:pPr>
      <w:r w:rsidRPr="007D4126">
        <w:rPr>
          <w:rFonts w:ascii="Arial" w:eastAsiaTheme="minorHAnsi" w:hAnsi="Arial" w:cs="Arial"/>
          <w:szCs w:val="24"/>
          <w:lang w:val="en-GB"/>
        </w:rPr>
        <w:t>Improving resident satisfaction</w:t>
      </w:r>
    </w:p>
    <w:p w:rsidR="00C25F17" w:rsidRPr="007D4126" w:rsidRDefault="00C25F17" w:rsidP="00B85492">
      <w:pPr>
        <w:pStyle w:val="ListParagraph"/>
        <w:numPr>
          <w:ilvl w:val="0"/>
          <w:numId w:val="5"/>
        </w:numPr>
        <w:spacing w:after="200" w:line="276" w:lineRule="auto"/>
        <w:rPr>
          <w:rFonts w:ascii="Arial" w:eastAsiaTheme="minorHAnsi" w:hAnsi="Arial" w:cs="Arial"/>
          <w:szCs w:val="24"/>
          <w:lang w:val="en-GB"/>
        </w:rPr>
      </w:pPr>
      <w:r w:rsidRPr="007D4126">
        <w:rPr>
          <w:rFonts w:ascii="Arial" w:eastAsiaTheme="minorHAnsi" w:hAnsi="Arial" w:cs="Arial"/>
          <w:szCs w:val="24"/>
          <w:lang w:val="en-GB"/>
        </w:rPr>
        <w:t>Delivering social value</w:t>
      </w:r>
    </w:p>
    <w:p w:rsidR="004B48D8" w:rsidRDefault="004B48D8" w:rsidP="0071230F">
      <w:pPr>
        <w:pStyle w:val="ListParagraph"/>
        <w:spacing w:after="200" w:line="276" w:lineRule="auto"/>
        <w:ind w:left="1080"/>
        <w:rPr>
          <w:rFonts w:ascii="Arial" w:eastAsiaTheme="minorHAnsi" w:hAnsi="Arial" w:cs="Arial"/>
          <w:szCs w:val="24"/>
          <w:lang w:val="en-GB"/>
        </w:rPr>
      </w:pPr>
    </w:p>
    <w:p w:rsidR="003D4F85" w:rsidRPr="007D4126" w:rsidRDefault="003D4F85" w:rsidP="0071230F">
      <w:pPr>
        <w:pStyle w:val="ListParagraph"/>
        <w:spacing w:after="200" w:line="276" w:lineRule="auto"/>
        <w:ind w:left="1080"/>
        <w:rPr>
          <w:rFonts w:ascii="Arial" w:eastAsiaTheme="minorHAnsi" w:hAnsi="Arial" w:cs="Arial"/>
          <w:szCs w:val="24"/>
          <w:lang w:val="en-GB"/>
        </w:rPr>
      </w:pPr>
    </w:p>
    <w:tbl>
      <w:tblPr>
        <w:tblW w:w="14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2"/>
      </w:tblGrid>
      <w:tr w:rsidR="00C25F17" w:rsidRPr="007D4126" w:rsidTr="00F44B14">
        <w:trPr>
          <w:trHeight w:val="540"/>
        </w:trPr>
        <w:tc>
          <w:tcPr>
            <w:tcW w:w="14422" w:type="dxa"/>
            <w:tcBorders>
              <w:top w:val="nil"/>
              <w:left w:val="nil"/>
              <w:bottom w:val="nil"/>
              <w:right w:val="nil"/>
            </w:tcBorders>
            <w:shd w:val="clear" w:color="auto" w:fill="auto"/>
          </w:tcPr>
          <w:p w:rsidR="00C25F17" w:rsidRPr="00B85492" w:rsidRDefault="00C25F17" w:rsidP="00B85492">
            <w:pPr>
              <w:pStyle w:val="ListParagraph"/>
              <w:numPr>
                <w:ilvl w:val="1"/>
                <w:numId w:val="11"/>
              </w:numPr>
              <w:rPr>
                <w:rFonts w:ascii="Arial" w:hAnsi="Arial" w:cs="Arial"/>
                <w:b/>
                <w:szCs w:val="24"/>
                <w:lang w:val="en-GB"/>
              </w:rPr>
            </w:pPr>
            <w:r w:rsidRPr="00B85492">
              <w:rPr>
                <w:rFonts w:ascii="Arial" w:hAnsi="Arial" w:cs="Arial"/>
                <w:szCs w:val="24"/>
                <w:lang w:val="en-GB"/>
              </w:rPr>
              <w:lastRenderedPageBreak/>
              <w:t xml:space="preserve">The Board has agreed a suite of high level measures which allow progress to tracked on each of the themes and cover all of the Association’s activities:  </w:t>
            </w:r>
          </w:p>
        </w:tc>
      </w:tr>
    </w:tbl>
    <w:p w:rsidR="00C25F17" w:rsidRPr="007D4126" w:rsidRDefault="00C25F17" w:rsidP="00C25F17">
      <w:pPr>
        <w:rPr>
          <w:rFonts w:ascii="Arial" w:hAnsi="Arial" w:cs="Arial"/>
          <w:szCs w:val="24"/>
          <w:lang w:val="en-U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7513"/>
      </w:tblGrid>
      <w:tr w:rsidR="00C25F17" w:rsidRPr="007D4126" w:rsidTr="00F44B14">
        <w:tc>
          <w:tcPr>
            <w:tcW w:w="6912" w:type="dxa"/>
            <w:shd w:val="clear" w:color="auto" w:fill="auto"/>
          </w:tcPr>
          <w:p w:rsidR="00C25F17" w:rsidRPr="007D4126" w:rsidRDefault="00C25F17" w:rsidP="00C25F17">
            <w:pPr>
              <w:rPr>
                <w:rFonts w:ascii="Arial" w:hAnsi="Arial" w:cs="Arial"/>
                <w:szCs w:val="24"/>
                <w:lang w:val="en-GB"/>
              </w:rPr>
            </w:pPr>
            <w:r w:rsidRPr="007D4126">
              <w:rPr>
                <w:rFonts w:ascii="Arial" w:hAnsi="Arial" w:cs="Arial"/>
                <w:szCs w:val="24"/>
                <w:lang w:val="en-GB"/>
              </w:rPr>
              <w:t>Theme</w:t>
            </w:r>
          </w:p>
        </w:tc>
        <w:tc>
          <w:tcPr>
            <w:tcW w:w="7513" w:type="dxa"/>
            <w:shd w:val="clear" w:color="auto" w:fill="auto"/>
          </w:tcPr>
          <w:p w:rsidR="00C25F17" w:rsidRPr="007D4126" w:rsidRDefault="00C25F17" w:rsidP="00C25F17">
            <w:pPr>
              <w:rPr>
                <w:rFonts w:ascii="Arial" w:hAnsi="Arial" w:cs="Arial"/>
                <w:szCs w:val="24"/>
                <w:lang w:val="en-GB"/>
              </w:rPr>
            </w:pPr>
            <w:r w:rsidRPr="007D4126">
              <w:rPr>
                <w:rFonts w:ascii="Arial" w:hAnsi="Arial" w:cs="Arial"/>
                <w:szCs w:val="24"/>
                <w:lang w:val="en-GB"/>
              </w:rPr>
              <w:t>Measure</w:t>
            </w:r>
          </w:p>
        </w:tc>
      </w:tr>
      <w:tr w:rsidR="00C25F17" w:rsidRPr="007D4126" w:rsidTr="00F44B14">
        <w:tc>
          <w:tcPr>
            <w:tcW w:w="6912" w:type="dxa"/>
            <w:shd w:val="clear" w:color="auto" w:fill="auto"/>
          </w:tcPr>
          <w:p w:rsidR="00C25F17" w:rsidRPr="007D4126" w:rsidRDefault="00C25F17" w:rsidP="00C25F17">
            <w:pPr>
              <w:rPr>
                <w:rFonts w:ascii="Arial" w:hAnsi="Arial" w:cs="Arial"/>
                <w:szCs w:val="24"/>
                <w:lang w:val="en-GB"/>
              </w:rPr>
            </w:pPr>
            <w:r w:rsidRPr="007D4126">
              <w:rPr>
                <w:rFonts w:ascii="Arial" w:hAnsi="Arial" w:cs="Arial"/>
                <w:szCs w:val="24"/>
                <w:lang w:val="en-GB"/>
              </w:rPr>
              <w:t>Restricting operating costs (including major repairs and void losses) per social housing unit</w:t>
            </w:r>
          </w:p>
        </w:tc>
        <w:tc>
          <w:tcPr>
            <w:tcW w:w="7513" w:type="dxa"/>
            <w:shd w:val="clear" w:color="auto" w:fill="auto"/>
          </w:tcPr>
          <w:p w:rsidR="00C25F17" w:rsidRPr="007D4126" w:rsidRDefault="00C25F17" w:rsidP="00C25F17">
            <w:pPr>
              <w:rPr>
                <w:rFonts w:ascii="Arial" w:hAnsi="Arial" w:cs="Arial"/>
                <w:szCs w:val="24"/>
                <w:highlight w:val="yellow"/>
                <w:lang w:val="en-GB"/>
              </w:rPr>
            </w:pPr>
            <w:r w:rsidRPr="007D4126">
              <w:rPr>
                <w:rFonts w:ascii="Arial" w:hAnsi="Arial" w:cs="Arial"/>
                <w:szCs w:val="24"/>
                <w:lang w:val="en-GB"/>
              </w:rPr>
              <w:t xml:space="preserve">Operating cost per social housing unit </w:t>
            </w:r>
          </w:p>
        </w:tc>
      </w:tr>
      <w:tr w:rsidR="00C25F17" w:rsidRPr="007D4126" w:rsidTr="00F44B14">
        <w:tc>
          <w:tcPr>
            <w:tcW w:w="6912" w:type="dxa"/>
            <w:shd w:val="clear" w:color="auto" w:fill="auto"/>
          </w:tcPr>
          <w:p w:rsidR="00C25F17" w:rsidRPr="007D4126" w:rsidRDefault="00C25F17" w:rsidP="00C25F17">
            <w:pPr>
              <w:rPr>
                <w:rFonts w:ascii="Arial" w:hAnsi="Arial" w:cs="Arial"/>
                <w:szCs w:val="24"/>
                <w:lang w:val="en-GB"/>
              </w:rPr>
            </w:pPr>
            <w:r w:rsidRPr="007D4126">
              <w:rPr>
                <w:rFonts w:ascii="Arial" w:hAnsi="Arial" w:cs="Arial"/>
                <w:szCs w:val="24"/>
                <w:lang w:val="en-GB"/>
              </w:rPr>
              <w:t>Restricting growth of interest costs per social housing unit</w:t>
            </w:r>
          </w:p>
        </w:tc>
        <w:tc>
          <w:tcPr>
            <w:tcW w:w="7513" w:type="dxa"/>
            <w:shd w:val="clear" w:color="auto" w:fill="auto"/>
          </w:tcPr>
          <w:p w:rsidR="00C25F17" w:rsidRPr="007D4126" w:rsidRDefault="00C25F17" w:rsidP="00C25F17">
            <w:pPr>
              <w:rPr>
                <w:rFonts w:ascii="Arial" w:hAnsi="Arial" w:cs="Arial"/>
                <w:szCs w:val="24"/>
                <w:highlight w:val="yellow"/>
                <w:lang w:val="en-GB"/>
              </w:rPr>
            </w:pPr>
            <w:r w:rsidRPr="007D4126">
              <w:rPr>
                <w:rFonts w:ascii="Arial" w:hAnsi="Arial" w:cs="Arial"/>
                <w:szCs w:val="24"/>
                <w:lang w:val="en-GB"/>
              </w:rPr>
              <w:t>Interest paid as a percentage of average borrowings</w:t>
            </w:r>
          </w:p>
        </w:tc>
      </w:tr>
      <w:tr w:rsidR="00C25F17" w:rsidRPr="007D4126" w:rsidTr="00F44B14">
        <w:tc>
          <w:tcPr>
            <w:tcW w:w="6912" w:type="dxa"/>
            <w:shd w:val="clear" w:color="auto" w:fill="auto"/>
          </w:tcPr>
          <w:p w:rsidR="00C25F17" w:rsidRPr="007D4126" w:rsidRDefault="00C25F17" w:rsidP="00C25F17">
            <w:pPr>
              <w:rPr>
                <w:rFonts w:ascii="Arial" w:hAnsi="Arial" w:cs="Arial"/>
                <w:szCs w:val="24"/>
                <w:lang w:val="en-GB"/>
              </w:rPr>
            </w:pPr>
            <w:r w:rsidRPr="007D4126">
              <w:rPr>
                <w:rFonts w:ascii="Arial" w:hAnsi="Arial" w:cs="Arial"/>
                <w:szCs w:val="24"/>
                <w:lang w:val="en-GB"/>
              </w:rPr>
              <w:t>Effective asset management</w:t>
            </w:r>
          </w:p>
        </w:tc>
        <w:tc>
          <w:tcPr>
            <w:tcW w:w="7513" w:type="dxa"/>
            <w:shd w:val="clear" w:color="auto" w:fill="auto"/>
          </w:tcPr>
          <w:p w:rsidR="00C25F17" w:rsidRPr="007D4126" w:rsidRDefault="00C25F17" w:rsidP="00C25F17">
            <w:pPr>
              <w:rPr>
                <w:rFonts w:ascii="Arial" w:hAnsi="Arial" w:cs="Arial"/>
                <w:szCs w:val="24"/>
                <w:lang w:val="en-GB"/>
              </w:rPr>
            </w:pPr>
            <w:r w:rsidRPr="007D4126">
              <w:rPr>
                <w:rFonts w:ascii="Arial" w:hAnsi="Arial" w:cs="Arial"/>
                <w:szCs w:val="24"/>
                <w:lang w:val="en-GB"/>
              </w:rPr>
              <w:t>Return on capital employed</w:t>
            </w:r>
          </w:p>
        </w:tc>
      </w:tr>
      <w:tr w:rsidR="00C25F17" w:rsidRPr="007D4126" w:rsidTr="00F44B14">
        <w:tc>
          <w:tcPr>
            <w:tcW w:w="6912" w:type="dxa"/>
            <w:shd w:val="clear" w:color="auto" w:fill="auto"/>
          </w:tcPr>
          <w:p w:rsidR="00C25F17" w:rsidRPr="007D4126" w:rsidRDefault="00C25F17" w:rsidP="00C25F17">
            <w:pPr>
              <w:rPr>
                <w:rFonts w:ascii="Arial" w:hAnsi="Arial" w:cs="Arial"/>
                <w:szCs w:val="24"/>
                <w:lang w:val="en-GB"/>
              </w:rPr>
            </w:pPr>
            <w:r w:rsidRPr="007D4126">
              <w:rPr>
                <w:rFonts w:ascii="Arial" w:hAnsi="Arial" w:cs="Arial"/>
                <w:szCs w:val="24"/>
                <w:lang w:val="en-GB"/>
              </w:rPr>
              <w:t>Maximising development (within our capacity)</w:t>
            </w:r>
          </w:p>
        </w:tc>
        <w:tc>
          <w:tcPr>
            <w:tcW w:w="7513" w:type="dxa"/>
            <w:shd w:val="clear" w:color="auto" w:fill="auto"/>
          </w:tcPr>
          <w:p w:rsidR="00C25F17" w:rsidRPr="007D4126" w:rsidRDefault="00C25F17" w:rsidP="00C25F17">
            <w:pPr>
              <w:rPr>
                <w:rFonts w:ascii="Arial" w:hAnsi="Arial" w:cs="Arial"/>
                <w:szCs w:val="24"/>
                <w:lang w:val="en-GB"/>
              </w:rPr>
            </w:pPr>
            <w:r w:rsidRPr="007D4126">
              <w:rPr>
                <w:rFonts w:ascii="Arial" w:hAnsi="Arial" w:cs="Arial"/>
                <w:szCs w:val="24"/>
                <w:lang w:val="en-GB"/>
              </w:rPr>
              <w:t>Units developed as a percentage of units owned</w:t>
            </w:r>
          </w:p>
        </w:tc>
      </w:tr>
      <w:tr w:rsidR="00C25F17" w:rsidRPr="007D4126" w:rsidTr="00F44B14">
        <w:tc>
          <w:tcPr>
            <w:tcW w:w="6912" w:type="dxa"/>
            <w:shd w:val="clear" w:color="auto" w:fill="auto"/>
          </w:tcPr>
          <w:p w:rsidR="00C25F17" w:rsidRPr="007D4126" w:rsidRDefault="00C25F17" w:rsidP="00C25F17">
            <w:pPr>
              <w:rPr>
                <w:rFonts w:ascii="Arial" w:hAnsi="Arial" w:cs="Arial"/>
                <w:szCs w:val="24"/>
                <w:lang w:val="en-GB"/>
              </w:rPr>
            </w:pPr>
            <w:r w:rsidRPr="007D4126">
              <w:rPr>
                <w:rFonts w:ascii="Arial" w:hAnsi="Arial" w:cs="Arial"/>
                <w:szCs w:val="24"/>
                <w:lang w:val="en-GB"/>
              </w:rPr>
              <w:t>Maximising development (within our capacity)</w:t>
            </w:r>
          </w:p>
        </w:tc>
        <w:tc>
          <w:tcPr>
            <w:tcW w:w="7513" w:type="dxa"/>
            <w:shd w:val="clear" w:color="auto" w:fill="auto"/>
          </w:tcPr>
          <w:p w:rsidR="00C25F17" w:rsidRPr="007D4126" w:rsidRDefault="00C25F17" w:rsidP="00C25F17">
            <w:pPr>
              <w:rPr>
                <w:rFonts w:ascii="Arial" w:hAnsi="Arial" w:cs="Arial"/>
                <w:szCs w:val="24"/>
                <w:lang w:val="en-GB"/>
              </w:rPr>
            </w:pPr>
            <w:r w:rsidRPr="007D4126">
              <w:rPr>
                <w:rFonts w:ascii="Arial" w:hAnsi="Arial" w:cs="Arial"/>
                <w:szCs w:val="24"/>
                <w:lang w:val="en-GB"/>
              </w:rPr>
              <w:t xml:space="preserve">£m distance from an interest cover breach </w:t>
            </w:r>
          </w:p>
        </w:tc>
      </w:tr>
      <w:tr w:rsidR="00C25F17" w:rsidRPr="007D4126" w:rsidTr="00F44B14">
        <w:tc>
          <w:tcPr>
            <w:tcW w:w="6912" w:type="dxa"/>
            <w:shd w:val="clear" w:color="auto" w:fill="auto"/>
          </w:tcPr>
          <w:p w:rsidR="00C25F17" w:rsidRPr="007D4126" w:rsidRDefault="00C25F17" w:rsidP="00C25F17">
            <w:pPr>
              <w:rPr>
                <w:rFonts w:ascii="Arial" w:hAnsi="Arial" w:cs="Arial"/>
                <w:szCs w:val="24"/>
                <w:lang w:val="en-GB"/>
              </w:rPr>
            </w:pPr>
            <w:r w:rsidRPr="007D4126">
              <w:rPr>
                <w:rFonts w:ascii="Arial" w:hAnsi="Arial" w:cs="Arial"/>
                <w:szCs w:val="24"/>
                <w:lang w:val="en-GB"/>
              </w:rPr>
              <w:t>Maximising development (within our capacity)</w:t>
            </w:r>
          </w:p>
        </w:tc>
        <w:tc>
          <w:tcPr>
            <w:tcW w:w="7513" w:type="dxa"/>
            <w:shd w:val="clear" w:color="auto" w:fill="auto"/>
          </w:tcPr>
          <w:p w:rsidR="00C25F17" w:rsidRPr="007D4126" w:rsidRDefault="00C25F17" w:rsidP="00C25F17">
            <w:pPr>
              <w:rPr>
                <w:rFonts w:ascii="Arial" w:hAnsi="Arial" w:cs="Arial"/>
                <w:szCs w:val="24"/>
                <w:lang w:val="en-GB"/>
              </w:rPr>
            </w:pPr>
            <w:r w:rsidRPr="007D4126">
              <w:rPr>
                <w:rFonts w:ascii="Arial" w:hAnsi="Arial" w:cs="Arial"/>
                <w:szCs w:val="24"/>
                <w:lang w:val="en-GB"/>
              </w:rPr>
              <w:t xml:space="preserve">Cumulative surplus on outright sales </w:t>
            </w:r>
          </w:p>
        </w:tc>
      </w:tr>
      <w:tr w:rsidR="00C25F17" w:rsidRPr="007D4126" w:rsidTr="00F44B14">
        <w:tc>
          <w:tcPr>
            <w:tcW w:w="6912" w:type="dxa"/>
            <w:shd w:val="clear" w:color="auto" w:fill="auto"/>
          </w:tcPr>
          <w:p w:rsidR="00C25F17" w:rsidRPr="007D4126" w:rsidRDefault="00C25F17" w:rsidP="00C25F17">
            <w:pPr>
              <w:rPr>
                <w:rFonts w:ascii="Arial" w:hAnsi="Arial" w:cs="Arial"/>
                <w:szCs w:val="24"/>
                <w:lang w:val="en-GB"/>
              </w:rPr>
            </w:pPr>
            <w:r w:rsidRPr="007D4126">
              <w:rPr>
                <w:rFonts w:ascii="Arial" w:hAnsi="Arial" w:cs="Arial"/>
                <w:szCs w:val="24"/>
                <w:lang w:val="en-GB"/>
              </w:rPr>
              <w:t>Improving resident satisfaction</w:t>
            </w:r>
          </w:p>
        </w:tc>
        <w:tc>
          <w:tcPr>
            <w:tcW w:w="7513" w:type="dxa"/>
            <w:shd w:val="clear" w:color="auto" w:fill="auto"/>
          </w:tcPr>
          <w:p w:rsidR="00C25F17" w:rsidRPr="007D4126" w:rsidRDefault="00C25F17" w:rsidP="00C25F17">
            <w:pPr>
              <w:rPr>
                <w:rFonts w:ascii="Arial" w:hAnsi="Arial" w:cs="Arial"/>
                <w:szCs w:val="24"/>
                <w:lang w:val="en-GB"/>
              </w:rPr>
            </w:pPr>
            <w:r w:rsidRPr="007D4126">
              <w:rPr>
                <w:rFonts w:ascii="Arial" w:hAnsi="Arial" w:cs="Arial"/>
                <w:szCs w:val="24"/>
                <w:lang w:val="en-GB"/>
              </w:rPr>
              <w:t>% satisfied with last repair</w:t>
            </w:r>
          </w:p>
        </w:tc>
      </w:tr>
      <w:tr w:rsidR="00C25F17" w:rsidRPr="007D4126" w:rsidTr="00F44B14">
        <w:tc>
          <w:tcPr>
            <w:tcW w:w="6912" w:type="dxa"/>
            <w:tcBorders>
              <w:bottom w:val="single" w:sz="4" w:space="0" w:color="auto"/>
            </w:tcBorders>
            <w:shd w:val="clear" w:color="auto" w:fill="auto"/>
          </w:tcPr>
          <w:p w:rsidR="00C25F17" w:rsidRPr="007D4126" w:rsidRDefault="00C25F17" w:rsidP="00C25F17">
            <w:pPr>
              <w:rPr>
                <w:rFonts w:ascii="Arial" w:hAnsi="Arial" w:cs="Arial"/>
                <w:szCs w:val="24"/>
                <w:lang w:val="en-GB"/>
              </w:rPr>
            </w:pPr>
            <w:r w:rsidRPr="007D4126">
              <w:rPr>
                <w:rFonts w:ascii="Arial" w:hAnsi="Arial" w:cs="Arial"/>
                <w:szCs w:val="24"/>
                <w:lang w:val="en-GB"/>
              </w:rPr>
              <w:t>Delivering social value</w:t>
            </w:r>
          </w:p>
        </w:tc>
        <w:tc>
          <w:tcPr>
            <w:tcW w:w="7513" w:type="dxa"/>
            <w:tcBorders>
              <w:bottom w:val="single" w:sz="4" w:space="0" w:color="auto"/>
            </w:tcBorders>
            <w:shd w:val="clear" w:color="auto" w:fill="auto"/>
          </w:tcPr>
          <w:p w:rsidR="00C25F17" w:rsidRPr="007D4126" w:rsidRDefault="00C25F17" w:rsidP="00C25F17">
            <w:pPr>
              <w:rPr>
                <w:rFonts w:ascii="Arial" w:hAnsi="Arial" w:cs="Arial"/>
                <w:szCs w:val="24"/>
                <w:lang w:val="en-GB"/>
              </w:rPr>
            </w:pPr>
            <w:r w:rsidRPr="007D4126">
              <w:rPr>
                <w:rFonts w:ascii="Arial" w:hAnsi="Arial" w:cs="Arial"/>
                <w:szCs w:val="24"/>
                <w:lang w:val="en-GB"/>
              </w:rPr>
              <w:t>Average SAP rating of properties</w:t>
            </w:r>
          </w:p>
        </w:tc>
      </w:tr>
      <w:tr w:rsidR="00C25F17" w:rsidRPr="007D4126" w:rsidTr="00F44B14">
        <w:tc>
          <w:tcPr>
            <w:tcW w:w="6912" w:type="dxa"/>
            <w:tcBorders>
              <w:bottom w:val="single" w:sz="4" w:space="0" w:color="auto"/>
            </w:tcBorders>
            <w:shd w:val="clear" w:color="auto" w:fill="auto"/>
          </w:tcPr>
          <w:p w:rsidR="00C25F17" w:rsidRPr="007D4126" w:rsidRDefault="00C25F17" w:rsidP="00C25F17">
            <w:pPr>
              <w:rPr>
                <w:rFonts w:ascii="Arial" w:hAnsi="Arial" w:cs="Arial"/>
                <w:szCs w:val="24"/>
                <w:lang w:val="en-GB"/>
              </w:rPr>
            </w:pPr>
            <w:r w:rsidRPr="007D4126">
              <w:rPr>
                <w:rFonts w:ascii="Arial" w:hAnsi="Arial" w:cs="Arial"/>
                <w:szCs w:val="24"/>
                <w:lang w:val="en-GB"/>
              </w:rPr>
              <w:t>Delivering social value</w:t>
            </w:r>
          </w:p>
        </w:tc>
        <w:tc>
          <w:tcPr>
            <w:tcW w:w="7513" w:type="dxa"/>
            <w:tcBorders>
              <w:bottom w:val="single" w:sz="4" w:space="0" w:color="auto"/>
            </w:tcBorders>
            <w:shd w:val="clear" w:color="auto" w:fill="auto"/>
          </w:tcPr>
          <w:p w:rsidR="00C25F17" w:rsidRPr="007D4126" w:rsidRDefault="00C25F17" w:rsidP="00C25F17">
            <w:pPr>
              <w:rPr>
                <w:rFonts w:ascii="Arial" w:hAnsi="Arial" w:cs="Arial"/>
                <w:szCs w:val="24"/>
                <w:lang w:val="en-GB"/>
              </w:rPr>
            </w:pPr>
            <w:r w:rsidRPr="007D4126">
              <w:rPr>
                <w:rFonts w:ascii="Arial" w:hAnsi="Arial" w:cs="Arial"/>
                <w:szCs w:val="24"/>
                <w:lang w:val="en-GB"/>
              </w:rPr>
              <w:t>Annual social value delivered per £ spent on employment  initiatives</w:t>
            </w:r>
          </w:p>
        </w:tc>
      </w:tr>
      <w:tr w:rsidR="00C25F17" w:rsidRPr="007D4126" w:rsidTr="00F44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425" w:type="dxa"/>
            <w:gridSpan w:val="2"/>
            <w:tcBorders>
              <w:top w:val="single" w:sz="4" w:space="0" w:color="auto"/>
            </w:tcBorders>
            <w:shd w:val="clear" w:color="auto" w:fill="auto"/>
          </w:tcPr>
          <w:p w:rsidR="00C25F17" w:rsidRPr="007D4126" w:rsidRDefault="00C25F17" w:rsidP="00C25F17">
            <w:pPr>
              <w:spacing w:before="240"/>
              <w:rPr>
                <w:rFonts w:ascii="Arial" w:hAnsi="Arial" w:cs="Arial"/>
                <w:szCs w:val="24"/>
                <w:lang w:val="en-GB"/>
              </w:rPr>
            </w:pPr>
            <w:r w:rsidRPr="007D4126">
              <w:rPr>
                <w:rFonts w:ascii="Arial" w:hAnsi="Arial" w:cs="Arial"/>
                <w:szCs w:val="24"/>
                <w:lang w:val="en-GB"/>
              </w:rPr>
              <w:t xml:space="preserve">These measures have been chosen because they encompass everything that the Association spends, but also include the most readily available measures of outcome (new homes, resident satisfaction and social value). Definitions of each measure are included in the Association’s Value for Money Strategy </w:t>
            </w:r>
          </w:p>
        </w:tc>
      </w:tr>
    </w:tbl>
    <w:p w:rsidR="00C25F17" w:rsidRPr="007D4126" w:rsidRDefault="00C25F17" w:rsidP="00C25F17">
      <w:pPr>
        <w:jc w:val="both"/>
        <w:rPr>
          <w:rFonts w:ascii="Arial" w:eastAsiaTheme="minorHAnsi" w:hAnsi="Arial" w:cs="Arial"/>
          <w:szCs w:val="24"/>
        </w:rPr>
      </w:pPr>
    </w:p>
    <w:p w:rsidR="00C25F17" w:rsidRPr="007D4126" w:rsidRDefault="00C25F17" w:rsidP="00C25F17">
      <w:pPr>
        <w:jc w:val="both"/>
        <w:rPr>
          <w:rFonts w:ascii="Arial" w:hAnsi="Arial" w:cs="Arial"/>
          <w:b/>
        </w:rPr>
      </w:pPr>
      <w:r w:rsidRPr="007D4126">
        <w:rPr>
          <w:rFonts w:ascii="Arial" w:eastAsiaTheme="minorHAnsi" w:hAnsi="Arial" w:cs="Arial"/>
          <w:szCs w:val="24"/>
        </w:rPr>
        <w:t xml:space="preserve">Three-year targets for each of the measures have been set for the period from April </w:t>
      </w:r>
      <w:r w:rsidR="005D7D7C" w:rsidRPr="007D4126">
        <w:rPr>
          <w:rFonts w:ascii="Arial" w:eastAsiaTheme="minorHAnsi" w:hAnsi="Arial" w:cs="Arial"/>
          <w:szCs w:val="24"/>
        </w:rPr>
        <w:t>20</w:t>
      </w:r>
      <w:r w:rsidRPr="007D4126">
        <w:rPr>
          <w:rFonts w:ascii="Arial" w:eastAsiaTheme="minorHAnsi" w:hAnsi="Arial" w:cs="Arial"/>
          <w:szCs w:val="24"/>
        </w:rPr>
        <w:t xml:space="preserve">17 to March 2020, so that the Board can monitor progress in delivering VFM over the course of the three-year corporate planning period.  </w:t>
      </w:r>
      <w:r w:rsidR="004B48D8" w:rsidRPr="007D4126">
        <w:rPr>
          <w:rFonts w:ascii="Arial" w:eastAsiaTheme="minorHAnsi" w:hAnsi="Arial" w:cs="Arial"/>
          <w:szCs w:val="24"/>
        </w:rPr>
        <w:t>Hexagon has also signed up to a sector-wide initiative to compare 21 VFM indicators, known as the “</w:t>
      </w:r>
      <w:r w:rsidR="008321DF" w:rsidRPr="007D4126">
        <w:rPr>
          <w:rFonts w:ascii="Arial" w:eastAsiaTheme="minorHAnsi" w:hAnsi="Arial" w:cs="Arial"/>
          <w:szCs w:val="24"/>
        </w:rPr>
        <w:t>S</w:t>
      </w:r>
      <w:r w:rsidR="004B48D8" w:rsidRPr="007D4126">
        <w:rPr>
          <w:rFonts w:ascii="Arial" w:eastAsiaTheme="minorHAnsi" w:hAnsi="Arial" w:cs="Arial"/>
          <w:szCs w:val="24"/>
        </w:rPr>
        <w:t xml:space="preserve">ector </w:t>
      </w:r>
      <w:r w:rsidR="008321DF" w:rsidRPr="007D4126">
        <w:rPr>
          <w:rFonts w:ascii="Arial" w:eastAsiaTheme="minorHAnsi" w:hAnsi="Arial" w:cs="Arial"/>
          <w:szCs w:val="24"/>
        </w:rPr>
        <w:t>S</w:t>
      </w:r>
      <w:r w:rsidR="004B48D8" w:rsidRPr="007D4126">
        <w:rPr>
          <w:rFonts w:ascii="Arial" w:eastAsiaTheme="minorHAnsi" w:hAnsi="Arial" w:cs="Arial"/>
          <w:szCs w:val="24"/>
        </w:rPr>
        <w:t xml:space="preserve">corecard”. </w:t>
      </w:r>
      <w:r w:rsidR="00DF531F" w:rsidRPr="007D4126">
        <w:rPr>
          <w:rFonts w:ascii="Arial" w:eastAsiaTheme="minorHAnsi" w:hAnsi="Arial" w:cs="Arial"/>
          <w:szCs w:val="24"/>
        </w:rPr>
        <w:t xml:space="preserve">Initial results from the sector scorecard are set out </w:t>
      </w:r>
      <w:r w:rsidR="008321DF" w:rsidRPr="007D4126">
        <w:rPr>
          <w:rFonts w:ascii="Arial" w:eastAsiaTheme="minorHAnsi" w:hAnsi="Arial" w:cs="Arial"/>
          <w:szCs w:val="24"/>
        </w:rPr>
        <w:t>in section 7 below</w:t>
      </w:r>
      <w:r w:rsidR="00DF531F" w:rsidRPr="007D4126">
        <w:rPr>
          <w:rFonts w:ascii="Arial" w:eastAsiaTheme="minorHAnsi" w:hAnsi="Arial" w:cs="Arial"/>
          <w:szCs w:val="24"/>
        </w:rPr>
        <w:t>.</w:t>
      </w:r>
    </w:p>
    <w:p w:rsidR="00C25F17" w:rsidRPr="007D4126" w:rsidRDefault="00C25F17" w:rsidP="007E1BC6">
      <w:pPr>
        <w:jc w:val="both"/>
        <w:rPr>
          <w:rFonts w:ascii="Arial" w:hAnsi="Arial" w:cs="Arial"/>
          <w:b/>
        </w:rPr>
      </w:pPr>
    </w:p>
    <w:p w:rsidR="00C25F17" w:rsidRDefault="00C25F17" w:rsidP="007E1BC6">
      <w:pPr>
        <w:jc w:val="both"/>
        <w:rPr>
          <w:rFonts w:ascii="Arial" w:hAnsi="Arial" w:cs="Arial"/>
          <w:b/>
        </w:rPr>
      </w:pPr>
    </w:p>
    <w:p w:rsidR="003D4F85" w:rsidRDefault="003D4F85" w:rsidP="007E1BC6">
      <w:pPr>
        <w:jc w:val="both"/>
        <w:rPr>
          <w:rFonts w:ascii="Arial" w:hAnsi="Arial" w:cs="Arial"/>
          <w:b/>
        </w:rPr>
      </w:pPr>
    </w:p>
    <w:p w:rsidR="003D4F85" w:rsidRDefault="003D4F85" w:rsidP="007E1BC6">
      <w:pPr>
        <w:jc w:val="both"/>
        <w:rPr>
          <w:rFonts w:ascii="Arial" w:hAnsi="Arial" w:cs="Arial"/>
          <w:b/>
        </w:rPr>
      </w:pPr>
    </w:p>
    <w:p w:rsidR="003D4F85" w:rsidRDefault="003D4F85" w:rsidP="007E1BC6">
      <w:pPr>
        <w:jc w:val="both"/>
        <w:rPr>
          <w:rFonts w:ascii="Arial" w:hAnsi="Arial" w:cs="Arial"/>
          <w:b/>
        </w:rPr>
      </w:pPr>
    </w:p>
    <w:p w:rsidR="003D4F85" w:rsidRDefault="003D4F85" w:rsidP="007E1BC6">
      <w:pPr>
        <w:jc w:val="both"/>
        <w:rPr>
          <w:rFonts w:ascii="Arial" w:hAnsi="Arial" w:cs="Arial"/>
          <w:b/>
        </w:rPr>
      </w:pPr>
    </w:p>
    <w:p w:rsidR="003D4F85" w:rsidRDefault="003D4F85" w:rsidP="007E1BC6">
      <w:pPr>
        <w:jc w:val="both"/>
        <w:rPr>
          <w:rFonts w:ascii="Arial" w:hAnsi="Arial" w:cs="Arial"/>
          <w:b/>
        </w:rPr>
      </w:pPr>
    </w:p>
    <w:p w:rsidR="003D4F85" w:rsidRDefault="003D4F85" w:rsidP="007E1BC6">
      <w:pPr>
        <w:jc w:val="both"/>
        <w:rPr>
          <w:rFonts w:ascii="Arial" w:hAnsi="Arial" w:cs="Arial"/>
          <w:b/>
        </w:rPr>
      </w:pPr>
    </w:p>
    <w:p w:rsidR="003D4F85" w:rsidRPr="007D4126" w:rsidRDefault="003D4F85" w:rsidP="007E1BC6">
      <w:pPr>
        <w:jc w:val="both"/>
        <w:rPr>
          <w:rFonts w:ascii="Arial" w:hAnsi="Arial" w:cs="Arial"/>
          <w:b/>
        </w:rPr>
      </w:pPr>
    </w:p>
    <w:p w:rsidR="00983925" w:rsidRPr="007D4126" w:rsidRDefault="00815B19" w:rsidP="00B85492">
      <w:pPr>
        <w:numPr>
          <w:ilvl w:val="0"/>
          <w:numId w:val="11"/>
        </w:numPr>
        <w:jc w:val="both"/>
        <w:rPr>
          <w:rFonts w:ascii="Arial" w:hAnsi="Arial" w:cs="Arial"/>
          <w:b/>
        </w:rPr>
      </w:pPr>
      <w:r w:rsidRPr="007D4126">
        <w:rPr>
          <w:rFonts w:ascii="Arial" w:hAnsi="Arial" w:cs="Arial"/>
          <w:sz w:val="28"/>
        </w:rPr>
        <w:lastRenderedPageBreak/>
        <w:t xml:space="preserve">Outcomes against the high level </w:t>
      </w:r>
      <w:r w:rsidR="00650802" w:rsidRPr="007D4126">
        <w:rPr>
          <w:rFonts w:ascii="Arial" w:hAnsi="Arial" w:cs="Arial"/>
          <w:sz w:val="28"/>
        </w:rPr>
        <w:t xml:space="preserve">VFM </w:t>
      </w:r>
      <w:r w:rsidRPr="007D4126">
        <w:rPr>
          <w:rFonts w:ascii="Arial" w:hAnsi="Arial" w:cs="Arial"/>
          <w:sz w:val="28"/>
        </w:rPr>
        <w:t>measures</w:t>
      </w:r>
    </w:p>
    <w:p w:rsidR="00FA6B86" w:rsidRPr="007D4126" w:rsidRDefault="00815B19" w:rsidP="007E1BC6">
      <w:pPr>
        <w:jc w:val="both"/>
        <w:rPr>
          <w:rFonts w:ascii="Arial" w:hAnsi="Arial" w:cs="Arial"/>
        </w:rPr>
      </w:pPr>
      <w:r w:rsidRPr="007D4126">
        <w:rPr>
          <w:rFonts w:ascii="Arial" w:hAnsi="Arial" w:cs="Arial"/>
        </w:rPr>
        <w:t xml:space="preserve">4.1 Although the </w:t>
      </w:r>
      <w:r w:rsidR="00F42FE5" w:rsidRPr="007D4126">
        <w:rPr>
          <w:rFonts w:ascii="Arial" w:hAnsi="Arial" w:cs="Arial"/>
        </w:rPr>
        <w:t xml:space="preserve">high level measures </w:t>
      </w:r>
      <w:r w:rsidRPr="007D4126">
        <w:rPr>
          <w:rFonts w:ascii="Arial" w:hAnsi="Arial" w:cs="Arial"/>
        </w:rPr>
        <w:t xml:space="preserve">were only agreed in March 2017, they are set out here to provide a baseline for reporting progress in future years, and </w:t>
      </w:r>
      <w:r w:rsidR="00F42FE5" w:rsidRPr="007D4126">
        <w:rPr>
          <w:rFonts w:ascii="Arial" w:hAnsi="Arial" w:cs="Arial"/>
        </w:rPr>
        <w:t xml:space="preserve">to show </w:t>
      </w:r>
      <w:r w:rsidRPr="007D4126">
        <w:rPr>
          <w:rFonts w:ascii="Arial" w:hAnsi="Arial" w:cs="Arial"/>
        </w:rPr>
        <w:t xml:space="preserve">how other </w:t>
      </w:r>
      <w:r w:rsidR="007106FC" w:rsidRPr="007D4126">
        <w:rPr>
          <w:rFonts w:ascii="Arial" w:hAnsi="Arial" w:cs="Arial"/>
        </w:rPr>
        <w:t xml:space="preserve">English housing associations </w:t>
      </w:r>
      <w:r w:rsidR="0071230F" w:rsidRPr="007D4126">
        <w:rPr>
          <w:rFonts w:ascii="Arial" w:hAnsi="Arial" w:cs="Arial"/>
        </w:rPr>
        <w:t>compare</w:t>
      </w:r>
      <w:r w:rsidRPr="007D4126">
        <w:rPr>
          <w:rFonts w:ascii="Arial" w:hAnsi="Arial" w:cs="Arial"/>
        </w:rPr>
        <w:t xml:space="preserve">, where this is available. </w:t>
      </w:r>
    </w:p>
    <w:p w:rsidR="0061713B" w:rsidRPr="007D4126" w:rsidRDefault="0061713B" w:rsidP="007E1BC6">
      <w:pPr>
        <w:jc w:val="both"/>
        <w:rPr>
          <w:rFonts w:ascii="Arial" w:hAnsi="Arial" w:cs="Arial"/>
        </w:rPr>
      </w:pPr>
    </w:p>
    <w:p w:rsidR="00715A63" w:rsidRPr="007D4126" w:rsidRDefault="00715A63" w:rsidP="007E1BC6">
      <w:pPr>
        <w:jc w:val="both"/>
        <w:rPr>
          <w:rFonts w:ascii="Arial" w:hAnsi="Arial" w:cs="Arial"/>
          <w:highlight w:val="yellow"/>
        </w:rPr>
      </w:pPr>
    </w:p>
    <w:tbl>
      <w:tblPr>
        <w:tblW w:w="13198" w:type="dxa"/>
        <w:tblInd w:w="93" w:type="dxa"/>
        <w:tblLayout w:type="fixed"/>
        <w:tblLook w:val="04A0" w:firstRow="1" w:lastRow="0" w:firstColumn="1" w:lastColumn="0" w:noHBand="0" w:noVBand="1"/>
      </w:tblPr>
      <w:tblGrid>
        <w:gridCol w:w="6390"/>
        <w:gridCol w:w="1810"/>
        <w:gridCol w:w="1810"/>
        <w:gridCol w:w="3188"/>
      </w:tblGrid>
      <w:tr w:rsidR="00715A63" w:rsidRPr="007D4126" w:rsidTr="005A0205">
        <w:trPr>
          <w:trHeight w:val="300"/>
        </w:trPr>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A63" w:rsidRPr="007D4126" w:rsidRDefault="00715A63" w:rsidP="00715A63">
            <w:pPr>
              <w:rPr>
                <w:rFonts w:ascii="Arial" w:hAnsi="Arial" w:cs="Arial"/>
                <w:color w:val="000000"/>
                <w:sz w:val="22"/>
                <w:szCs w:val="22"/>
                <w:lang w:val="en-US"/>
              </w:rPr>
            </w:pPr>
            <w:r w:rsidRPr="007D4126">
              <w:rPr>
                <w:rFonts w:ascii="Arial" w:hAnsi="Arial" w:cs="Arial"/>
                <w:color w:val="000000"/>
                <w:sz w:val="22"/>
                <w:szCs w:val="22"/>
                <w:lang w:val="en-US"/>
              </w:rPr>
              <w:t xml:space="preserve">Year to </w:t>
            </w:r>
          </w:p>
        </w:tc>
        <w:tc>
          <w:tcPr>
            <w:tcW w:w="1810" w:type="dxa"/>
            <w:tcBorders>
              <w:top w:val="single" w:sz="4" w:space="0" w:color="auto"/>
              <w:left w:val="nil"/>
              <w:bottom w:val="single" w:sz="4" w:space="0" w:color="auto"/>
              <w:right w:val="single" w:sz="4" w:space="0" w:color="auto"/>
            </w:tcBorders>
          </w:tcPr>
          <w:p w:rsidR="00715A63" w:rsidRPr="007D4126" w:rsidRDefault="00715A63" w:rsidP="00715A63">
            <w:pPr>
              <w:jc w:val="right"/>
              <w:rPr>
                <w:rFonts w:ascii="Arial" w:hAnsi="Arial" w:cs="Arial"/>
                <w:color w:val="000000"/>
                <w:sz w:val="22"/>
                <w:szCs w:val="22"/>
                <w:lang w:val="en-US"/>
              </w:rPr>
            </w:pPr>
            <w:r w:rsidRPr="007D4126">
              <w:rPr>
                <w:rFonts w:ascii="Arial" w:hAnsi="Arial" w:cs="Arial"/>
                <w:color w:val="000000"/>
                <w:sz w:val="22"/>
                <w:szCs w:val="22"/>
                <w:lang w:val="en-US"/>
              </w:rPr>
              <w:t>2017</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A63" w:rsidRPr="007D4126" w:rsidRDefault="00715A63" w:rsidP="00715A63">
            <w:pPr>
              <w:jc w:val="right"/>
              <w:rPr>
                <w:rFonts w:ascii="Arial" w:hAnsi="Arial" w:cs="Arial"/>
                <w:color w:val="000000"/>
                <w:sz w:val="22"/>
                <w:szCs w:val="22"/>
                <w:lang w:val="en-US"/>
              </w:rPr>
            </w:pPr>
            <w:r w:rsidRPr="007D4126">
              <w:rPr>
                <w:rFonts w:ascii="Arial" w:hAnsi="Arial" w:cs="Arial"/>
                <w:color w:val="000000"/>
                <w:sz w:val="22"/>
                <w:szCs w:val="22"/>
                <w:lang w:val="en-US"/>
              </w:rPr>
              <w:t>Other landlords</w:t>
            </w:r>
            <w:r w:rsidR="008A5FBB" w:rsidRPr="007D4126">
              <w:rPr>
                <w:rFonts w:ascii="Arial" w:hAnsi="Arial" w:cs="Arial"/>
                <w:color w:val="000000"/>
                <w:sz w:val="22"/>
                <w:szCs w:val="22"/>
                <w:lang w:val="en-US"/>
              </w:rPr>
              <w:t xml:space="preserve"> </w:t>
            </w:r>
            <w:r w:rsidR="008A5FBB" w:rsidRPr="00521193">
              <w:rPr>
                <w:rFonts w:ascii="Arial" w:hAnsi="Arial" w:cs="Arial"/>
                <w:color w:val="000000"/>
                <w:sz w:val="22"/>
                <w:szCs w:val="22"/>
                <w:lang w:val="en-US"/>
              </w:rPr>
              <w:t>(median)</w:t>
            </w:r>
          </w:p>
        </w:tc>
        <w:tc>
          <w:tcPr>
            <w:tcW w:w="3188" w:type="dxa"/>
            <w:tcBorders>
              <w:top w:val="single" w:sz="4" w:space="0" w:color="auto"/>
              <w:left w:val="single" w:sz="4" w:space="0" w:color="auto"/>
              <w:bottom w:val="single" w:sz="4" w:space="0" w:color="auto"/>
              <w:right w:val="single" w:sz="4" w:space="0" w:color="auto"/>
            </w:tcBorders>
          </w:tcPr>
          <w:p w:rsidR="00715A63" w:rsidRPr="007D4126" w:rsidRDefault="00715A63" w:rsidP="00715A63">
            <w:pPr>
              <w:jc w:val="right"/>
              <w:rPr>
                <w:rFonts w:ascii="Arial" w:hAnsi="Arial" w:cs="Arial"/>
                <w:color w:val="000000"/>
                <w:sz w:val="22"/>
                <w:szCs w:val="22"/>
                <w:lang w:val="en-US"/>
              </w:rPr>
            </w:pPr>
            <w:r w:rsidRPr="007D4126">
              <w:rPr>
                <w:rFonts w:ascii="Arial" w:hAnsi="Arial" w:cs="Arial"/>
                <w:color w:val="000000"/>
                <w:sz w:val="22"/>
                <w:szCs w:val="22"/>
                <w:lang w:val="en-US"/>
              </w:rPr>
              <w:t>Source of comparative</w:t>
            </w:r>
          </w:p>
        </w:tc>
      </w:tr>
      <w:tr w:rsidR="00715A63" w:rsidRPr="007D4126" w:rsidTr="005A0205">
        <w:trPr>
          <w:trHeight w:val="300"/>
        </w:trPr>
        <w:tc>
          <w:tcPr>
            <w:tcW w:w="6390" w:type="dxa"/>
            <w:tcBorders>
              <w:top w:val="nil"/>
              <w:left w:val="single" w:sz="4" w:space="0" w:color="auto"/>
              <w:bottom w:val="single" w:sz="4" w:space="0" w:color="auto"/>
              <w:right w:val="single" w:sz="4" w:space="0" w:color="auto"/>
            </w:tcBorders>
            <w:shd w:val="clear" w:color="auto" w:fill="auto"/>
            <w:noWrap/>
            <w:vAlign w:val="bottom"/>
            <w:hideMark/>
          </w:tcPr>
          <w:p w:rsidR="00715A63" w:rsidRPr="007D4126" w:rsidRDefault="00715A63" w:rsidP="00715A63">
            <w:pPr>
              <w:rPr>
                <w:rFonts w:ascii="Arial" w:hAnsi="Arial" w:cs="Arial"/>
                <w:color w:val="000000"/>
                <w:sz w:val="22"/>
                <w:szCs w:val="22"/>
                <w:lang w:val="en-US"/>
              </w:rPr>
            </w:pPr>
            <w:r w:rsidRPr="007D4126">
              <w:rPr>
                <w:rFonts w:ascii="Arial" w:hAnsi="Arial" w:cs="Arial"/>
                <w:color w:val="000000"/>
                <w:sz w:val="22"/>
                <w:szCs w:val="22"/>
                <w:lang w:val="en-US"/>
              </w:rPr>
              <w:t>Operating costs per directly managed social housing unit (£/ unit)</w:t>
            </w:r>
          </w:p>
        </w:tc>
        <w:tc>
          <w:tcPr>
            <w:tcW w:w="1810" w:type="dxa"/>
            <w:tcBorders>
              <w:top w:val="single" w:sz="4" w:space="0" w:color="auto"/>
              <w:left w:val="nil"/>
              <w:bottom w:val="single" w:sz="4" w:space="0" w:color="auto"/>
              <w:right w:val="single" w:sz="4" w:space="0" w:color="auto"/>
            </w:tcBorders>
          </w:tcPr>
          <w:p w:rsidR="00715A63" w:rsidRPr="007D4126" w:rsidRDefault="00715A63" w:rsidP="00715A63">
            <w:pPr>
              <w:jc w:val="right"/>
              <w:rPr>
                <w:rFonts w:ascii="Arial" w:hAnsi="Arial" w:cs="Arial"/>
                <w:color w:val="000000"/>
                <w:sz w:val="22"/>
                <w:szCs w:val="22"/>
                <w:lang w:val="en-US"/>
              </w:rPr>
            </w:pPr>
          </w:p>
          <w:p w:rsidR="00715A63" w:rsidRPr="007D4126" w:rsidRDefault="00715A63" w:rsidP="00715A63">
            <w:pPr>
              <w:jc w:val="right"/>
              <w:rPr>
                <w:rFonts w:ascii="Arial" w:hAnsi="Arial" w:cs="Arial"/>
                <w:color w:val="000000"/>
                <w:sz w:val="22"/>
                <w:szCs w:val="22"/>
                <w:lang w:val="en-US"/>
              </w:rPr>
            </w:pPr>
            <w:r w:rsidRPr="007D4126">
              <w:rPr>
                <w:rFonts w:ascii="Arial" w:hAnsi="Arial" w:cs="Arial"/>
                <w:color w:val="000000"/>
                <w:sz w:val="22"/>
                <w:szCs w:val="22"/>
                <w:lang w:val="en-US"/>
              </w:rPr>
              <w:t>£4221</w:t>
            </w:r>
          </w:p>
        </w:tc>
        <w:tc>
          <w:tcPr>
            <w:tcW w:w="1810" w:type="dxa"/>
            <w:tcBorders>
              <w:top w:val="nil"/>
              <w:left w:val="single" w:sz="4" w:space="0" w:color="auto"/>
              <w:bottom w:val="single" w:sz="4" w:space="0" w:color="auto"/>
              <w:right w:val="single" w:sz="4" w:space="0" w:color="auto"/>
            </w:tcBorders>
            <w:shd w:val="clear" w:color="auto" w:fill="auto"/>
            <w:noWrap/>
            <w:vAlign w:val="bottom"/>
            <w:hideMark/>
          </w:tcPr>
          <w:p w:rsidR="00715A63" w:rsidRPr="007D4126" w:rsidRDefault="007106FC">
            <w:pPr>
              <w:jc w:val="right"/>
              <w:rPr>
                <w:rFonts w:ascii="Arial" w:hAnsi="Arial" w:cs="Arial"/>
                <w:color w:val="000000"/>
                <w:sz w:val="22"/>
                <w:szCs w:val="22"/>
                <w:lang w:val="en-US"/>
              </w:rPr>
            </w:pPr>
            <w:r w:rsidRPr="007D4126">
              <w:rPr>
                <w:rFonts w:ascii="Arial" w:hAnsi="Arial" w:cs="Arial"/>
                <w:color w:val="000000"/>
                <w:sz w:val="22"/>
                <w:szCs w:val="22"/>
                <w:lang w:val="en-US"/>
              </w:rPr>
              <w:t>£3055</w:t>
            </w:r>
          </w:p>
        </w:tc>
        <w:tc>
          <w:tcPr>
            <w:tcW w:w="3188" w:type="dxa"/>
            <w:tcBorders>
              <w:top w:val="nil"/>
              <w:left w:val="single" w:sz="4" w:space="0" w:color="auto"/>
              <w:bottom w:val="single" w:sz="4" w:space="0" w:color="auto"/>
              <w:right w:val="single" w:sz="4" w:space="0" w:color="auto"/>
            </w:tcBorders>
          </w:tcPr>
          <w:p w:rsidR="007106FC" w:rsidRPr="007D4126" w:rsidRDefault="007106FC" w:rsidP="00715A63">
            <w:pPr>
              <w:jc w:val="center"/>
              <w:rPr>
                <w:rFonts w:ascii="Arial" w:hAnsi="Arial" w:cs="Arial"/>
                <w:color w:val="000000"/>
                <w:sz w:val="22"/>
                <w:szCs w:val="22"/>
                <w:highlight w:val="yellow"/>
                <w:lang w:val="en-US"/>
              </w:rPr>
            </w:pPr>
          </w:p>
          <w:p w:rsidR="00715A63" w:rsidRPr="007D4126" w:rsidRDefault="00715A63" w:rsidP="005A0205">
            <w:pPr>
              <w:jc w:val="right"/>
              <w:rPr>
                <w:rFonts w:ascii="Arial" w:hAnsi="Arial" w:cs="Arial"/>
                <w:color w:val="000000"/>
                <w:sz w:val="22"/>
                <w:szCs w:val="22"/>
                <w:highlight w:val="yellow"/>
                <w:lang w:val="en-US"/>
              </w:rPr>
            </w:pPr>
            <w:r w:rsidRPr="007D4126">
              <w:rPr>
                <w:rFonts w:ascii="Arial" w:hAnsi="Arial" w:cs="Arial"/>
                <w:color w:val="000000"/>
                <w:sz w:val="22"/>
                <w:szCs w:val="22"/>
                <w:lang w:val="en-US"/>
              </w:rPr>
              <w:t>Global accounts 15/16</w:t>
            </w:r>
          </w:p>
        </w:tc>
      </w:tr>
      <w:tr w:rsidR="00715A63" w:rsidRPr="007D4126" w:rsidTr="005A0205">
        <w:trPr>
          <w:trHeight w:val="300"/>
        </w:trPr>
        <w:tc>
          <w:tcPr>
            <w:tcW w:w="6390" w:type="dxa"/>
            <w:tcBorders>
              <w:top w:val="nil"/>
              <w:left w:val="single" w:sz="4" w:space="0" w:color="auto"/>
              <w:bottom w:val="single" w:sz="4" w:space="0" w:color="auto"/>
              <w:right w:val="single" w:sz="4" w:space="0" w:color="auto"/>
            </w:tcBorders>
            <w:shd w:val="clear" w:color="auto" w:fill="auto"/>
            <w:noWrap/>
            <w:vAlign w:val="bottom"/>
            <w:hideMark/>
          </w:tcPr>
          <w:p w:rsidR="00715A63" w:rsidRPr="007D4126" w:rsidRDefault="00715A63" w:rsidP="00715A63">
            <w:pPr>
              <w:rPr>
                <w:rFonts w:ascii="Arial" w:hAnsi="Arial" w:cs="Arial"/>
                <w:color w:val="000000"/>
                <w:sz w:val="22"/>
                <w:szCs w:val="22"/>
                <w:lang w:val="en-US"/>
              </w:rPr>
            </w:pPr>
            <w:r w:rsidRPr="007D4126">
              <w:rPr>
                <w:rFonts w:ascii="Arial" w:hAnsi="Arial" w:cs="Arial"/>
                <w:color w:val="000000"/>
                <w:sz w:val="22"/>
                <w:szCs w:val="22"/>
                <w:lang w:val="en-US"/>
              </w:rPr>
              <w:t>Weighted interest rate</w:t>
            </w:r>
          </w:p>
        </w:tc>
        <w:tc>
          <w:tcPr>
            <w:tcW w:w="1810" w:type="dxa"/>
            <w:tcBorders>
              <w:top w:val="single" w:sz="4" w:space="0" w:color="auto"/>
              <w:left w:val="nil"/>
              <w:bottom w:val="single" w:sz="4" w:space="0" w:color="auto"/>
              <w:right w:val="single" w:sz="4" w:space="0" w:color="auto"/>
            </w:tcBorders>
          </w:tcPr>
          <w:p w:rsidR="00715A63" w:rsidRPr="007D4126" w:rsidRDefault="00715A63" w:rsidP="00715A63">
            <w:pPr>
              <w:jc w:val="right"/>
              <w:rPr>
                <w:rFonts w:ascii="Arial" w:hAnsi="Arial" w:cs="Arial"/>
                <w:color w:val="000000"/>
                <w:sz w:val="22"/>
                <w:szCs w:val="22"/>
                <w:lang w:val="en-US"/>
              </w:rPr>
            </w:pPr>
            <w:r w:rsidRPr="007D4126">
              <w:rPr>
                <w:rFonts w:ascii="Arial" w:hAnsi="Arial" w:cs="Arial"/>
                <w:color w:val="000000"/>
                <w:sz w:val="22"/>
                <w:szCs w:val="22"/>
                <w:lang w:val="en-US"/>
              </w:rPr>
              <w:t>2.97%</w:t>
            </w:r>
          </w:p>
        </w:tc>
        <w:tc>
          <w:tcPr>
            <w:tcW w:w="1810" w:type="dxa"/>
            <w:tcBorders>
              <w:top w:val="nil"/>
              <w:left w:val="single" w:sz="4" w:space="0" w:color="auto"/>
              <w:bottom w:val="single" w:sz="4" w:space="0" w:color="auto"/>
              <w:right w:val="single" w:sz="4" w:space="0" w:color="auto"/>
            </w:tcBorders>
            <w:shd w:val="clear" w:color="auto" w:fill="auto"/>
            <w:noWrap/>
            <w:vAlign w:val="bottom"/>
            <w:hideMark/>
          </w:tcPr>
          <w:p w:rsidR="00715A63" w:rsidRPr="007D4126" w:rsidRDefault="007106FC" w:rsidP="00715A63">
            <w:pPr>
              <w:jc w:val="right"/>
              <w:rPr>
                <w:rFonts w:ascii="Arial" w:hAnsi="Arial" w:cs="Arial"/>
                <w:color w:val="000000"/>
                <w:sz w:val="22"/>
                <w:szCs w:val="22"/>
                <w:highlight w:val="yellow"/>
                <w:lang w:val="en-US"/>
              </w:rPr>
            </w:pPr>
            <w:r w:rsidRPr="007D4126">
              <w:rPr>
                <w:rFonts w:ascii="Arial" w:hAnsi="Arial" w:cs="Arial"/>
                <w:color w:val="000000"/>
                <w:sz w:val="22"/>
                <w:szCs w:val="22"/>
                <w:lang w:val="en-US"/>
              </w:rPr>
              <w:t>4.94</w:t>
            </w:r>
            <w:r w:rsidR="00715A63" w:rsidRPr="007D4126">
              <w:rPr>
                <w:rFonts w:ascii="Arial" w:hAnsi="Arial" w:cs="Arial"/>
                <w:color w:val="000000"/>
                <w:sz w:val="22"/>
                <w:szCs w:val="22"/>
                <w:lang w:val="en-US"/>
              </w:rPr>
              <w:t>%</w:t>
            </w:r>
          </w:p>
        </w:tc>
        <w:tc>
          <w:tcPr>
            <w:tcW w:w="3188" w:type="dxa"/>
            <w:tcBorders>
              <w:top w:val="nil"/>
              <w:left w:val="single" w:sz="4" w:space="0" w:color="auto"/>
              <w:bottom w:val="single" w:sz="4" w:space="0" w:color="auto"/>
              <w:right w:val="single" w:sz="4" w:space="0" w:color="auto"/>
            </w:tcBorders>
          </w:tcPr>
          <w:p w:rsidR="00715A63" w:rsidRPr="007D4126" w:rsidRDefault="007106FC" w:rsidP="00715A63">
            <w:pPr>
              <w:jc w:val="right"/>
              <w:rPr>
                <w:rFonts w:ascii="Arial" w:hAnsi="Arial" w:cs="Arial"/>
                <w:color w:val="000000"/>
                <w:sz w:val="22"/>
                <w:szCs w:val="22"/>
                <w:highlight w:val="yellow"/>
                <w:lang w:val="en-US"/>
              </w:rPr>
            </w:pPr>
            <w:r w:rsidRPr="007D4126">
              <w:rPr>
                <w:rFonts w:ascii="Arial" w:hAnsi="Arial" w:cs="Arial"/>
                <w:color w:val="000000"/>
                <w:sz w:val="22"/>
                <w:szCs w:val="22"/>
                <w:lang w:val="en-US"/>
              </w:rPr>
              <w:t>Global accounts 15/16</w:t>
            </w:r>
          </w:p>
        </w:tc>
      </w:tr>
      <w:tr w:rsidR="00715A63" w:rsidRPr="007D4126" w:rsidTr="005A0205">
        <w:trPr>
          <w:trHeight w:val="300"/>
        </w:trPr>
        <w:tc>
          <w:tcPr>
            <w:tcW w:w="6390" w:type="dxa"/>
            <w:tcBorders>
              <w:top w:val="nil"/>
              <w:left w:val="single" w:sz="4" w:space="0" w:color="auto"/>
              <w:bottom w:val="single" w:sz="4" w:space="0" w:color="auto"/>
              <w:right w:val="single" w:sz="4" w:space="0" w:color="auto"/>
            </w:tcBorders>
            <w:shd w:val="clear" w:color="auto" w:fill="auto"/>
            <w:noWrap/>
            <w:vAlign w:val="bottom"/>
            <w:hideMark/>
          </w:tcPr>
          <w:p w:rsidR="00715A63" w:rsidRPr="007D4126" w:rsidRDefault="00715A63" w:rsidP="00715A63">
            <w:pPr>
              <w:rPr>
                <w:rFonts w:ascii="Arial" w:hAnsi="Arial" w:cs="Arial"/>
                <w:color w:val="000000"/>
                <w:sz w:val="22"/>
                <w:szCs w:val="22"/>
                <w:lang w:val="en-US"/>
              </w:rPr>
            </w:pPr>
            <w:r w:rsidRPr="007D4126">
              <w:rPr>
                <w:rFonts w:ascii="Arial" w:hAnsi="Arial" w:cs="Arial"/>
                <w:color w:val="000000"/>
                <w:sz w:val="22"/>
                <w:szCs w:val="22"/>
                <w:lang w:val="en-US"/>
              </w:rPr>
              <w:t>Return on capital employed</w:t>
            </w:r>
          </w:p>
        </w:tc>
        <w:tc>
          <w:tcPr>
            <w:tcW w:w="1810" w:type="dxa"/>
            <w:tcBorders>
              <w:top w:val="single" w:sz="4" w:space="0" w:color="auto"/>
              <w:left w:val="nil"/>
              <w:bottom w:val="single" w:sz="4" w:space="0" w:color="auto"/>
              <w:right w:val="single" w:sz="4" w:space="0" w:color="auto"/>
            </w:tcBorders>
          </w:tcPr>
          <w:p w:rsidR="00715A63" w:rsidRPr="007D4126" w:rsidRDefault="00715A63" w:rsidP="004706D2">
            <w:pPr>
              <w:jc w:val="right"/>
              <w:rPr>
                <w:rFonts w:ascii="Arial" w:hAnsi="Arial" w:cs="Arial"/>
                <w:color w:val="000000"/>
                <w:sz w:val="22"/>
                <w:szCs w:val="22"/>
                <w:lang w:val="en-US"/>
              </w:rPr>
            </w:pPr>
            <w:r w:rsidRPr="004706D2">
              <w:rPr>
                <w:rFonts w:ascii="Arial" w:hAnsi="Arial" w:cs="Arial"/>
                <w:color w:val="000000"/>
                <w:sz w:val="22"/>
                <w:szCs w:val="22"/>
                <w:lang w:val="en-US"/>
              </w:rPr>
              <w:t>2.</w:t>
            </w:r>
            <w:r w:rsidR="004706D2" w:rsidRPr="004706D2">
              <w:rPr>
                <w:rFonts w:ascii="Arial" w:hAnsi="Arial" w:cs="Arial"/>
                <w:color w:val="000000"/>
                <w:sz w:val="22"/>
                <w:szCs w:val="22"/>
                <w:lang w:val="en-US"/>
              </w:rPr>
              <w:t>34</w:t>
            </w:r>
            <w:r w:rsidRPr="004706D2">
              <w:rPr>
                <w:rFonts w:ascii="Arial" w:hAnsi="Arial" w:cs="Arial"/>
                <w:color w:val="000000"/>
                <w:sz w:val="22"/>
                <w:szCs w:val="22"/>
                <w:lang w:val="en-US"/>
              </w:rPr>
              <w:t>%</w:t>
            </w:r>
          </w:p>
        </w:tc>
        <w:tc>
          <w:tcPr>
            <w:tcW w:w="1810" w:type="dxa"/>
            <w:tcBorders>
              <w:top w:val="nil"/>
              <w:left w:val="single" w:sz="4" w:space="0" w:color="auto"/>
              <w:bottom w:val="single" w:sz="4" w:space="0" w:color="auto"/>
              <w:right w:val="single" w:sz="4" w:space="0" w:color="auto"/>
            </w:tcBorders>
            <w:shd w:val="clear" w:color="auto" w:fill="auto"/>
            <w:noWrap/>
            <w:vAlign w:val="bottom"/>
            <w:hideMark/>
          </w:tcPr>
          <w:p w:rsidR="00715A63" w:rsidRPr="00521193" w:rsidRDefault="0032770B" w:rsidP="008321DF">
            <w:pPr>
              <w:jc w:val="right"/>
              <w:rPr>
                <w:rFonts w:ascii="Arial" w:hAnsi="Arial" w:cs="Arial"/>
                <w:color w:val="000000"/>
                <w:sz w:val="22"/>
                <w:szCs w:val="22"/>
                <w:lang w:val="en-US"/>
              </w:rPr>
            </w:pPr>
            <w:r w:rsidRPr="00521193">
              <w:rPr>
                <w:rFonts w:ascii="Arial" w:hAnsi="Arial" w:cs="Arial"/>
                <w:color w:val="000000"/>
                <w:sz w:val="22"/>
                <w:szCs w:val="22"/>
                <w:lang w:val="en-US"/>
              </w:rPr>
              <w:t>4.11%</w:t>
            </w:r>
          </w:p>
        </w:tc>
        <w:tc>
          <w:tcPr>
            <w:tcW w:w="3188" w:type="dxa"/>
            <w:tcBorders>
              <w:top w:val="nil"/>
              <w:left w:val="single" w:sz="4" w:space="0" w:color="auto"/>
              <w:bottom w:val="single" w:sz="4" w:space="0" w:color="auto"/>
              <w:right w:val="single" w:sz="4" w:space="0" w:color="auto"/>
            </w:tcBorders>
          </w:tcPr>
          <w:p w:rsidR="00715A63" w:rsidRPr="007D4126" w:rsidRDefault="00715A63" w:rsidP="00715A63">
            <w:pPr>
              <w:jc w:val="right"/>
              <w:rPr>
                <w:rFonts w:ascii="Arial" w:hAnsi="Arial" w:cs="Arial"/>
                <w:color w:val="000000"/>
                <w:sz w:val="22"/>
                <w:szCs w:val="22"/>
                <w:lang w:val="en-US"/>
              </w:rPr>
            </w:pPr>
            <w:r w:rsidRPr="007D4126">
              <w:rPr>
                <w:rFonts w:ascii="Arial" w:hAnsi="Arial" w:cs="Arial"/>
                <w:color w:val="000000"/>
                <w:sz w:val="22"/>
                <w:szCs w:val="22"/>
                <w:lang w:val="en-US"/>
              </w:rPr>
              <w:t>Sector scorecard 16/17</w:t>
            </w:r>
          </w:p>
        </w:tc>
      </w:tr>
      <w:tr w:rsidR="00715A63" w:rsidRPr="007D4126" w:rsidTr="005A0205">
        <w:trPr>
          <w:trHeight w:val="300"/>
        </w:trPr>
        <w:tc>
          <w:tcPr>
            <w:tcW w:w="6390" w:type="dxa"/>
            <w:tcBorders>
              <w:top w:val="nil"/>
              <w:left w:val="single" w:sz="4" w:space="0" w:color="auto"/>
              <w:bottom w:val="single" w:sz="4" w:space="0" w:color="auto"/>
              <w:right w:val="single" w:sz="4" w:space="0" w:color="auto"/>
            </w:tcBorders>
            <w:shd w:val="clear" w:color="auto" w:fill="auto"/>
            <w:noWrap/>
            <w:vAlign w:val="bottom"/>
            <w:hideMark/>
          </w:tcPr>
          <w:p w:rsidR="00715A63" w:rsidRPr="007D4126" w:rsidRDefault="00715A63" w:rsidP="00715A63">
            <w:pPr>
              <w:rPr>
                <w:rFonts w:ascii="Arial" w:hAnsi="Arial" w:cs="Arial"/>
                <w:color w:val="000000"/>
                <w:sz w:val="22"/>
                <w:szCs w:val="22"/>
                <w:lang w:val="en-US"/>
              </w:rPr>
            </w:pPr>
            <w:r w:rsidRPr="007D4126">
              <w:rPr>
                <w:rFonts w:ascii="Arial" w:hAnsi="Arial" w:cs="Arial"/>
                <w:color w:val="000000"/>
                <w:sz w:val="22"/>
                <w:szCs w:val="22"/>
                <w:lang w:val="en-US"/>
              </w:rPr>
              <w:t>Units developed as a % of units owned</w:t>
            </w:r>
          </w:p>
        </w:tc>
        <w:tc>
          <w:tcPr>
            <w:tcW w:w="1810" w:type="dxa"/>
            <w:tcBorders>
              <w:top w:val="single" w:sz="4" w:space="0" w:color="auto"/>
              <w:left w:val="nil"/>
              <w:bottom w:val="single" w:sz="4" w:space="0" w:color="auto"/>
              <w:right w:val="single" w:sz="4" w:space="0" w:color="auto"/>
            </w:tcBorders>
          </w:tcPr>
          <w:p w:rsidR="00715A63" w:rsidRPr="007D4126" w:rsidRDefault="00715A63" w:rsidP="004706D2">
            <w:pPr>
              <w:jc w:val="right"/>
              <w:rPr>
                <w:rFonts w:ascii="Arial" w:hAnsi="Arial" w:cs="Arial"/>
                <w:color w:val="000000"/>
                <w:sz w:val="22"/>
                <w:szCs w:val="22"/>
                <w:highlight w:val="green"/>
                <w:lang w:val="en-US"/>
              </w:rPr>
            </w:pPr>
            <w:r w:rsidRPr="004706D2">
              <w:rPr>
                <w:rFonts w:ascii="Arial" w:hAnsi="Arial" w:cs="Arial"/>
                <w:color w:val="000000"/>
                <w:sz w:val="22"/>
                <w:szCs w:val="22"/>
                <w:lang w:val="en-US"/>
              </w:rPr>
              <w:t>1.2%</w:t>
            </w:r>
          </w:p>
        </w:tc>
        <w:tc>
          <w:tcPr>
            <w:tcW w:w="1810" w:type="dxa"/>
            <w:tcBorders>
              <w:top w:val="nil"/>
              <w:left w:val="single" w:sz="4" w:space="0" w:color="auto"/>
              <w:bottom w:val="single" w:sz="4" w:space="0" w:color="auto"/>
              <w:right w:val="single" w:sz="4" w:space="0" w:color="auto"/>
            </w:tcBorders>
            <w:shd w:val="clear" w:color="auto" w:fill="auto"/>
            <w:noWrap/>
            <w:vAlign w:val="bottom"/>
            <w:hideMark/>
          </w:tcPr>
          <w:p w:rsidR="00715A63" w:rsidRPr="00521193" w:rsidRDefault="0032770B">
            <w:pPr>
              <w:jc w:val="right"/>
              <w:rPr>
                <w:rFonts w:ascii="Arial" w:hAnsi="Arial" w:cs="Arial"/>
                <w:color w:val="000000"/>
                <w:sz w:val="22"/>
                <w:szCs w:val="22"/>
                <w:lang w:val="en-US"/>
              </w:rPr>
            </w:pPr>
            <w:r w:rsidRPr="00521193">
              <w:rPr>
                <w:rFonts w:ascii="Arial" w:hAnsi="Arial" w:cs="Arial"/>
                <w:color w:val="000000"/>
                <w:sz w:val="22"/>
                <w:szCs w:val="22"/>
                <w:lang w:val="en-US"/>
              </w:rPr>
              <w:t>1.13%</w:t>
            </w:r>
          </w:p>
        </w:tc>
        <w:tc>
          <w:tcPr>
            <w:tcW w:w="3188" w:type="dxa"/>
            <w:tcBorders>
              <w:top w:val="nil"/>
              <w:left w:val="single" w:sz="4" w:space="0" w:color="auto"/>
              <w:bottom w:val="single" w:sz="4" w:space="0" w:color="auto"/>
              <w:right w:val="single" w:sz="4" w:space="0" w:color="auto"/>
            </w:tcBorders>
          </w:tcPr>
          <w:p w:rsidR="00715A63" w:rsidRPr="007D4126" w:rsidRDefault="00715A63" w:rsidP="00715A63">
            <w:pPr>
              <w:jc w:val="right"/>
              <w:rPr>
                <w:rFonts w:ascii="Arial" w:hAnsi="Arial" w:cs="Arial"/>
                <w:color w:val="000000"/>
                <w:sz w:val="22"/>
                <w:szCs w:val="22"/>
                <w:lang w:val="en-US"/>
              </w:rPr>
            </w:pPr>
            <w:r w:rsidRPr="007D4126">
              <w:rPr>
                <w:rFonts w:ascii="Arial" w:hAnsi="Arial" w:cs="Arial"/>
                <w:color w:val="000000"/>
                <w:sz w:val="22"/>
                <w:szCs w:val="22"/>
                <w:lang w:val="en-US"/>
              </w:rPr>
              <w:t>Sector scorecard 16/17</w:t>
            </w:r>
          </w:p>
        </w:tc>
      </w:tr>
      <w:tr w:rsidR="00715A63" w:rsidRPr="007D4126" w:rsidTr="005A0205">
        <w:trPr>
          <w:trHeight w:val="300"/>
        </w:trPr>
        <w:tc>
          <w:tcPr>
            <w:tcW w:w="6390" w:type="dxa"/>
            <w:tcBorders>
              <w:top w:val="nil"/>
              <w:left w:val="single" w:sz="4" w:space="0" w:color="auto"/>
              <w:bottom w:val="single" w:sz="4" w:space="0" w:color="auto"/>
              <w:right w:val="single" w:sz="4" w:space="0" w:color="auto"/>
            </w:tcBorders>
            <w:shd w:val="clear" w:color="auto" w:fill="auto"/>
            <w:noWrap/>
            <w:vAlign w:val="bottom"/>
            <w:hideMark/>
          </w:tcPr>
          <w:p w:rsidR="00715A63" w:rsidRPr="007D4126" w:rsidRDefault="00715A63" w:rsidP="00715A63">
            <w:pPr>
              <w:rPr>
                <w:rFonts w:ascii="Arial" w:hAnsi="Arial" w:cs="Arial"/>
                <w:color w:val="000000"/>
                <w:sz w:val="22"/>
                <w:szCs w:val="22"/>
                <w:lang w:val="en-US"/>
              </w:rPr>
            </w:pPr>
            <w:r w:rsidRPr="007D4126">
              <w:rPr>
                <w:rFonts w:ascii="Arial" w:hAnsi="Arial" w:cs="Arial"/>
                <w:color w:val="000000"/>
                <w:sz w:val="22"/>
                <w:szCs w:val="22"/>
                <w:lang w:val="en-US"/>
              </w:rPr>
              <w:t xml:space="preserve">£m distance from an interest cover breach (cannot be less than £5.1m) </w:t>
            </w:r>
          </w:p>
        </w:tc>
        <w:tc>
          <w:tcPr>
            <w:tcW w:w="1810" w:type="dxa"/>
            <w:tcBorders>
              <w:top w:val="single" w:sz="4" w:space="0" w:color="auto"/>
              <w:left w:val="nil"/>
              <w:bottom w:val="single" w:sz="4" w:space="0" w:color="auto"/>
              <w:right w:val="single" w:sz="4" w:space="0" w:color="auto"/>
            </w:tcBorders>
          </w:tcPr>
          <w:p w:rsidR="00715A63" w:rsidRPr="007D4126" w:rsidRDefault="00715A63" w:rsidP="00715A63">
            <w:pPr>
              <w:jc w:val="right"/>
              <w:rPr>
                <w:rFonts w:ascii="Arial" w:hAnsi="Arial" w:cs="Arial"/>
                <w:color w:val="000000"/>
                <w:sz w:val="22"/>
                <w:szCs w:val="22"/>
                <w:lang w:val="en-US"/>
              </w:rPr>
            </w:pPr>
          </w:p>
          <w:p w:rsidR="00715A63" w:rsidRPr="007D4126" w:rsidRDefault="00715A63" w:rsidP="00715A63">
            <w:pPr>
              <w:jc w:val="right"/>
              <w:rPr>
                <w:rFonts w:ascii="Arial" w:hAnsi="Arial" w:cs="Arial"/>
                <w:color w:val="000000"/>
                <w:sz w:val="22"/>
                <w:szCs w:val="22"/>
                <w:lang w:val="en-US"/>
              </w:rPr>
            </w:pPr>
            <w:r w:rsidRPr="007D4126">
              <w:rPr>
                <w:rFonts w:ascii="Arial" w:hAnsi="Arial" w:cs="Arial"/>
                <w:color w:val="000000"/>
                <w:sz w:val="22"/>
                <w:szCs w:val="22"/>
                <w:lang w:val="en-US"/>
              </w:rPr>
              <w:t>£12.7m</w:t>
            </w:r>
          </w:p>
        </w:tc>
        <w:tc>
          <w:tcPr>
            <w:tcW w:w="1810" w:type="dxa"/>
            <w:tcBorders>
              <w:top w:val="nil"/>
              <w:left w:val="single" w:sz="4" w:space="0" w:color="auto"/>
              <w:bottom w:val="single" w:sz="4" w:space="0" w:color="auto"/>
              <w:right w:val="single" w:sz="4" w:space="0" w:color="auto"/>
            </w:tcBorders>
            <w:shd w:val="clear" w:color="auto" w:fill="auto"/>
            <w:noWrap/>
            <w:vAlign w:val="bottom"/>
            <w:hideMark/>
          </w:tcPr>
          <w:p w:rsidR="00715A63" w:rsidRPr="007D4126" w:rsidRDefault="00715A63" w:rsidP="00715A63">
            <w:pPr>
              <w:jc w:val="right"/>
              <w:rPr>
                <w:rFonts w:ascii="Arial" w:hAnsi="Arial" w:cs="Arial"/>
                <w:color w:val="000000"/>
                <w:sz w:val="22"/>
                <w:szCs w:val="22"/>
                <w:lang w:val="en-US"/>
              </w:rPr>
            </w:pPr>
            <w:r w:rsidRPr="007D4126">
              <w:rPr>
                <w:rFonts w:ascii="Arial" w:hAnsi="Arial" w:cs="Arial"/>
                <w:color w:val="000000"/>
                <w:sz w:val="22"/>
                <w:szCs w:val="22"/>
                <w:lang w:val="en-US"/>
              </w:rPr>
              <w:t>Not available</w:t>
            </w:r>
          </w:p>
        </w:tc>
        <w:tc>
          <w:tcPr>
            <w:tcW w:w="3188" w:type="dxa"/>
            <w:tcBorders>
              <w:top w:val="nil"/>
              <w:left w:val="single" w:sz="4" w:space="0" w:color="auto"/>
              <w:bottom w:val="single" w:sz="4" w:space="0" w:color="auto"/>
              <w:right w:val="single" w:sz="4" w:space="0" w:color="auto"/>
            </w:tcBorders>
          </w:tcPr>
          <w:p w:rsidR="00715A63" w:rsidRPr="007D4126" w:rsidRDefault="00715A63" w:rsidP="00715A63">
            <w:pPr>
              <w:jc w:val="right"/>
              <w:rPr>
                <w:rFonts w:ascii="Arial" w:hAnsi="Arial" w:cs="Arial"/>
                <w:color w:val="000000"/>
                <w:sz w:val="22"/>
                <w:szCs w:val="22"/>
                <w:lang w:val="en-US"/>
              </w:rPr>
            </w:pPr>
          </w:p>
          <w:p w:rsidR="00715A63" w:rsidRPr="007D4126" w:rsidRDefault="00715A63" w:rsidP="00715A63">
            <w:pPr>
              <w:jc w:val="right"/>
              <w:rPr>
                <w:rFonts w:ascii="Arial" w:hAnsi="Arial" w:cs="Arial"/>
                <w:color w:val="000000"/>
                <w:sz w:val="22"/>
                <w:szCs w:val="22"/>
                <w:lang w:val="en-US"/>
              </w:rPr>
            </w:pPr>
            <w:r w:rsidRPr="007D4126">
              <w:rPr>
                <w:rFonts w:ascii="Arial" w:hAnsi="Arial" w:cs="Arial"/>
                <w:color w:val="000000"/>
                <w:sz w:val="22"/>
                <w:szCs w:val="22"/>
                <w:lang w:val="en-US"/>
              </w:rPr>
              <w:t>-</w:t>
            </w:r>
          </w:p>
        </w:tc>
      </w:tr>
      <w:tr w:rsidR="00715A63" w:rsidRPr="007D4126" w:rsidTr="005A0205">
        <w:trPr>
          <w:trHeight w:val="300"/>
        </w:trPr>
        <w:tc>
          <w:tcPr>
            <w:tcW w:w="6390" w:type="dxa"/>
            <w:tcBorders>
              <w:top w:val="nil"/>
              <w:left w:val="single" w:sz="4" w:space="0" w:color="auto"/>
              <w:bottom w:val="single" w:sz="4" w:space="0" w:color="auto"/>
              <w:right w:val="single" w:sz="4" w:space="0" w:color="auto"/>
            </w:tcBorders>
            <w:shd w:val="clear" w:color="auto" w:fill="auto"/>
            <w:noWrap/>
            <w:vAlign w:val="bottom"/>
            <w:hideMark/>
          </w:tcPr>
          <w:p w:rsidR="00715A63" w:rsidRPr="007D4126" w:rsidRDefault="00715A63" w:rsidP="00715A63">
            <w:pPr>
              <w:rPr>
                <w:rFonts w:ascii="Arial" w:hAnsi="Arial" w:cs="Arial"/>
                <w:color w:val="000000"/>
                <w:sz w:val="22"/>
                <w:szCs w:val="22"/>
                <w:lang w:val="en-US"/>
              </w:rPr>
            </w:pPr>
            <w:r w:rsidRPr="007D4126">
              <w:rPr>
                <w:rFonts w:ascii="Arial" w:hAnsi="Arial" w:cs="Arial"/>
                <w:color w:val="000000"/>
                <w:sz w:val="22"/>
                <w:szCs w:val="22"/>
                <w:lang w:val="en-US"/>
              </w:rPr>
              <w:t>Cumulative return on outright sale schemes (£'000)</w:t>
            </w:r>
          </w:p>
        </w:tc>
        <w:tc>
          <w:tcPr>
            <w:tcW w:w="1810" w:type="dxa"/>
            <w:tcBorders>
              <w:top w:val="single" w:sz="4" w:space="0" w:color="auto"/>
              <w:left w:val="nil"/>
              <w:bottom w:val="single" w:sz="4" w:space="0" w:color="auto"/>
              <w:right w:val="single" w:sz="4" w:space="0" w:color="auto"/>
            </w:tcBorders>
          </w:tcPr>
          <w:p w:rsidR="00715A63" w:rsidRPr="007D4126" w:rsidRDefault="00715A63" w:rsidP="00715A63">
            <w:pPr>
              <w:jc w:val="right"/>
              <w:rPr>
                <w:rFonts w:ascii="Arial" w:hAnsi="Arial" w:cs="Arial"/>
                <w:color w:val="000000"/>
                <w:sz w:val="22"/>
                <w:szCs w:val="22"/>
                <w:lang w:val="en-US"/>
              </w:rPr>
            </w:pPr>
            <w:r w:rsidRPr="007D4126">
              <w:rPr>
                <w:rFonts w:ascii="Arial" w:hAnsi="Arial" w:cs="Arial"/>
                <w:color w:val="000000"/>
                <w:sz w:val="22"/>
                <w:szCs w:val="22"/>
                <w:lang w:val="en-US"/>
              </w:rPr>
              <w:t>0</w:t>
            </w:r>
          </w:p>
        </w:tc>
        <w:tc>
          <w:tcPr>
            <w:tcW w:w="1810" w:type="dxa"/>
            <w:tcBorders>
              <w:top w:val="nil"/>
              <w:left w:val="single" w:sz="4" w:space="0" w:color="auto"/>
              <w:bottom w:val="single" w:sz="4" w:space="0" w:color="auto"/>
              <w:right w:val="single" w:sz="4" w:space="0" w:color="auto"/>
            </w:tcBorders>
            <w:shd w:val="clear" w:color="auto" w:fill="auto"/>
            <w:noWrap/>
            <w:vAlign w:val="bottom"/>
            <w:hideMark/>
          </w:tcPr>
          <w:p w:rsidR="00715A63" w:rsidRPr="007D4126" w:rsidRDefault="00A07654" w:rsidP="00715A63">
            <w:pPr>
              <w:jc w:val="right"/>
              <w:rPr>
                <w:rFonts w:ascii="Arial" w:hAnsi="Arial" w:cs="Arial"/>
                <w:color w:val="000000"/>
                <w:sz w:val="22"/>
                <w:szCs w:val="22"/>
                <w:lang w:val="en-US"/>
              </w:rPr>
            </w:pPr>
            <w:r w:rsidRPr="007D4126">
              <w:rPr>
                <w:rFonts w:ascii="Arial" w:hAnsi="Arial" w:cs="Arial"/>
                <w:color w:val="000000"/>
                <w:sz w:val="22"/>
                <w:szCs w:val="22"/>
                <w:lang w:val="en-US"/>
              </w:rPr>
              <w:t>Not available</w:t>
            </w:r>
          </w:p>
        </w:tc>
        <w:tc>
          <w:tcPr>
            <w:tcW w:w="3188" w:type="dxa"/>
            <w:tcBorders>
              <w:top w:val="nil"/>
              <w:left w:val="single" w:sz="4" w:space="0" w:color="auto"/>
              <w:bottom w:val="single" w:sz="4" w:space="0" w:color="auto"/>
              <w:right w:val="single" w:sz="4" w:space="0" w:color="auto"/>
            </w:tcBorders>
          </w:tcPr>
          <w:p w:rsidR="00715A63" w:rsidRPr="007D4126" w:rsidRDefault="00A07654" w:rsidP="00715A63">
            <w:pPr>
              <w:jc w:val="right"/>
              <w:rPr>
                <w:rFonts w:ascii="Arial" w:hAnsi="Arial" w:cs="Arial"/>
                <w:color w:val="000000"/>
                <w:sz w:val="22"/>
                <w:szCs w:val="22"/>
                <w:lang w:val="en-US"/>
              </w:rPr>
            </w:pPr>
            <w:r w:rsidRPr="007D4126">
              <w:rPr>
                <w:rFonts w:ascii="Arial" w:hAnsi="Arial" w:cs="Arial"/>
                <w:color w:val="000000"/>
                <w:sz w:val="22"/>
                <w:szCs w:val="22"/>
                <w:lang w:val="en-US"/>
              </w:rPr>
              <w:t>-</w:t>
            </w:r>
          </w:p>
        </w:tc>
      </w:tr>
      <w:tr w:rsidR="00715A63" w:rsidRPr="00DF3967" w:rsidTr="007D4126">
        <w:trPr>
          <w:trHeight w:val="300"/>
        </w:trPr>
        <w:tc>
          <w:tcPr>
            <w:tcW w:w="6390" w:type="dxa"/>
            <w:tcBorders>
              <w:top w:val="nil"/>
              <w:left w:val="single" w:sz="4" w:space="0" w:color="auto"/>
              <w:bottom w:val="single" w:sz="4" w:space="0" w:color="auto"/>
              <w:right w:val="single" w:sz="4" w:space="0" w:color="auto"/>
            </w:tcBorders>
            <w:shd w:val="clear" w:color="auto" w:fill="auto"/>
            <w:noWrap/>
            <w:hideMark/>
          </w:tcPr>
          <w:p w:rsidR="00715A63" w:rsidRPr="007D4126" w:rsidRDefault="00715A63" w:rsidP="007D4126">
            <w:pPr>
              <w:rPr>
                <w:rFonts w:ascii="Arial" w:hAnsi="Arial" w:cs="Arial"/>
                <w:color w:val="000000"/>
                <w:sz w:val="22"/>
                <w:szCs w:val="22"/>
                <w:lang w:val="en-US"/>
              </w:rPr>
            </w:pPr>
            <w:r w:rsidRPr="007D4126">
              <w:rPr>
                <w:rFonts w:ascii="Arial" w:hAnsi="Arial" w:cs="Arial"/>
                <w:color w:val="000000"/>
                <w:sz w:val="22"/>
                <w:szCs w:val="22"/>
                <w:lang w:val="en-US"/>
              </w:rPr>
              <w:t>% satisfied with last repair</w:t>
            </w:r>
          </w:p>
        </w:tc>
        <w:tc>
          <w:tcPr>
            <w:tcW w:w="1810" w:type="dxa"/>
            <w:tcBorders>
              <w:top w:val="single" w:sz="4" w:space="0" w:color="auto"/>
              <w:left w:val="nil"/>
              <w:bottom w:val="single" w:sz="4" w:space="0" w:color="auto"/>
              <w:right w:val="single" w:sz="4" w:space="0" w:color="auto"/>
            </w:tcBorders>
          </w:tcPr>
          <w:p w:rsidR="00715A63" w:rsidRPr="007D4126" w:rsidRDefault="005D7D7C" w:rsidP="007D4126">
            <w:pPr>
              <w:jc w:val="right"/>
              <w:rPr>
                <w:rFonts w:ascii="Arial" w:hAnsi="Arial" w:cs="Arial"/>
                <w:color w:val="000000"/>
                <w:sz w:val="22"/>
                <w:szCs w:val="22"/>
                <w:lang w:val="en-US"/>
              </w:rPr>
            </w:pPr>
            <w:r w:rsidRPr="007D4126">
              <w:rPr>
                <w:rFonts w:ascii="Arial" w:hAnsi="Arial" w:cs="Arial"/>
                <w:color w:val="000000"/>
                <w:sz w:val="22"/>
                <w:szCs w:val="22"/>
                <w:lang w:val="en-US"/>
              </w:rPr>
              <w:t>80.9%</w:t>
            </w:r>
          </w:p>
        </w:tc>
        <w:tc>
          <w:tcPr>
            <w:tcW w:w="1810" w:type="dxa"/>
            <w:tcBorders>
              <w:top w:val="nil"/>
              <w:left w:val="single" w:sz="4" w:space="0" w:color="auto"/>
              <w:bottom w:val="single" w:sz="4" w:space="0" w:color="auto"/>
              <w:right w:val="single" w:sz="4" w:space="0" w:color="auto"/>
            </w:tcBorders>
            <w:shd w:val="clear" w:color="auto" w:fill="auto"/>
            <w:noWrap/>
            <w:hideMark/>
          </w:tcPr>
          <w:p w:rsidR="00715A63" w:rsidRPr="00521193" w:rsidRDefault="0032770B" w:rsidP="007D4126">
            <w:pPr>
              <w:jc w:val="right"/>
              <w:rPr>
                <w:rFonts w:ascii="Arial" w:hAnsi="Arial" w:cs="Arial"/>
                <w:color w:val="000000"/>
                <w:sz w:val="22"/>
                <w:szCs w:val="22"/>
                <w:lang w:val="en-US"/>
              </w:rPr>
            </w:pPr>
            <w:r w:rsidRPr="00521193">
              <w:rPr>
                <w:rFonts w:ascii="Arial" w:hAnsi="Arial" w:cs="Arial"/>
                <w:color w:val="000000"/>
                <w:sz w:val="22"/>
                <w:szCs w:val="22"/>
                <w:lang w:val="en-US"/>
              </w:rPr>
              <w:t>88.</w:t>
            </w:r>
            <w:r w:rsidR="007D4126" w:rsidRPr="00521193">
              <w:rPr>
                <w:rFonts w:ascii="Arial" w:hAnsi="Arial" w:cs="Arial"/>
                <w:color w:val="000000"/>
                <w:sz w:val="22"/>
                <w:szCs w:val="22"/>
                <w:lang w:val="en-US"/>
              </w:rPr>
              <w:t>4%</w:t>
            </w:r>
          </w:p>
        </w:tc>
        <w:tc>
          <w:tcPr>
            <w:tcW w:w="3188" w:type="dxa"/>
            <w:tcBorders>
              <w:top w:val="nil"/>
              <w:left w:val="single" w:sz="4" w:space="0" w:color="auto"/>
              <w:bottom w:val="single" w:sz="4" w:space="0" w:color="auto"/>
              <w:right w:val="single" w:sz="4" w:space="0" w:color="auto"/>
            </w:tcBorders>
          </w:tcPr>
          <w:p w:rsidR="00715A63" w:rsidRPr="00521193" w:rsidRDefault="005D7D7C" w:rsidP="007D4126">
            <w:pPr>
              <w:jc w:val="right"/>
              <w:rPr>
                <w:rFonts w:ascii="Arial" w:hAnsi="Arial" w:cs="Arial"/>
                <w:color w:val="000000"/>
                <w:sz w:val="22"/>
                <w:szCs w:val="22"/>
                <w:lang w:val="en-US"/>
              </w:rPr>
            </w:pPr>
            <w:proofErr w:type="spellStart"/>
            <w:r w:rsidRPr="00521193">
              <w:rPr>
                <w:rFonts w:ascii="Arial" w:hAnsi="Arial" w:cs="Arial"/>
                <w:color w:val="000000"/>
                <w:sz w:val="22"/>
                <w:szCs w:val="22"/>
                <w:lang w:val="en-US"/>
              </w:rPr>
              <w:t>HouseMark</w:t>
            </w:r>
            <w:proofErr w:type="spellEnd"/>
            <w:r w:rsidRPr="00521193">
              <w:rPr>
                <w:rFonts w:ascii="Arial" w:hAnsi="Arial" w:cs="Arial"/>
                <w:color w:val="000000"/>
                <w:sz w:val="22"/>
                <w:szCs w:val="22"/>
                <w:lang w:val="en-US"/>
              </w:rPr>
              <w:t xml:space="preserve"> 201</w:t>
            </w:r>
            <w:r w:rsidR="007D4126" w:rsidRPr="00521193">
              <w:rPr>
                <w:rFonts w:ascii="Arial" w:hAnsi="Arial" w:cs="Arial"/>
                <w:color w:val="000000"/>
                <w:sz w:val="22"/>
                <w:szCs w:val="22"/>
                <w:lang w:val="en-US"/>
              </w:rPr>
              <w:t>4/15 (little comparable data 2015/16)</w:t>
            </w:r>
          </w:p>
        </w:tc>
      </w:tr>
      <w:tr w:rsidR="00715A63" w:rsidRPr="007D4126" w:rsidTr="00521193">
        <w:trPr>
          <w:trHeight w:val="300"/>
        </w:trPr>
        <w:tc>
          <w:tcPr>
            <w:tcW w:w="6390" w:type="dxa"/>
            <w:tcBorders>
              <w:top w:val="nil"/>
              <w:left w:val="single" w:sz="4" w:space="0" w:color="auto"/>
              <w:bottom w:val="single" w:sz="4" w:space="0" w:color="auto"/>
              <w:right w:val="single" w:sz="4" w:space="0" w:color="auto"/>
            </w:tcBorders>
            <w:shd w:val="clear" w:color="auto" w:fill="auto"/>
            <w:noWrap/>
            <w:hideMark/>
          </w:tcPr>
          <w:p w:rsidR="00715A63" w:rsidRPr="007D4126" w:rsidRDefault="00715A63" w:rsidP="00F4764B">
            <w:pPr>
              <w:rPr>
                <w:rFonts w:ascii="Arial" w:hAnsi="Arial" w:cs="Arial"/>
                <w:color w:val="000000"/>
                <w:sz w:val="22"/>
                <w:szCs w:val="22"/>
                <w:lang w:val="en-US"/>
              </w:rPr>
            </w:pPr>
            <w:r w:rsidRPr="007D4126">
              <w:rPr>
                <w:rFonts w:ascii="Arial" w:hAnsi="Arial" w:cs="Arial"/>
                <w:color w:val="000000"/>
                <w:sz w:val="22"/>
                <w:szCs w:val="22"/>
                <w:lang w:val="en-US"/>
              </w:rPr>
              <w:t>Average SAP rating of properties</w:t>
            </w:r>
          </w:p>
        </w:tc>
        <w:tc>
          <w:tcPr>
            <w:tcW w:w="1810" w:type="dxa"/>
            <w:tcBorders>
              <w:top w:val="single" w:sz="4" w:space="0" w:color="auto"/>
              <w:left w:val="nil"/>
              <w:bottom w:val="single" w:sz="4" w:space="0" w:color="auto"/>
              <w:right w:val="single" w:sz="4" w:space="0" w:color="auto"/>
            </w:tcBorders>
          </w:tcPr>
          <w:p w:rsidR="00715A63" w:rsidRPr="00F4764B" w:rsidRDefault="005D7D7C" w:rsidP="00F4764B">
            <w:pPr>
              <w:jc w:val="right"/>
              <w:rPr>
                <w:rFonts w:ascii="Arial" w:hAnsi="Arial" w:cs="Arial"/>
                <w:color w:val="000000"/>
                <w:sz w:val="22"/>
                <w:szCs w:val="22"/>
                <w:lang w:val="en-US"/>
              </w:rPr>
            </w:pPr>
            <w:r w:rsidRPr="00F4764B">
              <w:rPr>
                <w:rFonts w:ascii="Arial" w:hAnsi="Arial" w:cs="Arial"/>
                <w:color w:val="000000"/>
                <w:sz w:val="22"/>
                <w:szCs w:val="22"/>
                <w:lang w:val="en-US"/>
              </w:rPr>
              <w:t>71.84</w:t>
            </w:r>
          </w:p>
        </w:tc>
        <w:tc>
          <w:tcPr>
            <w:tcW w:w="1810" w:type="dxa"/>
            <w:tcBorders>
              <w:top w:val="nil"/>
              <w:left w:val="single" w:sz="4" w:space="0" w:color="auto"/>
              <w:bottom w:val="single" w:sz="4" w:space="0" w:color="auto"/>
              <w:right w:val="single" w:sz="4" w:space="0" w:color="auto"/>
            </w:tcBorders>
            <w:shd w:val="clear" w:color="auto" w:fill="auto"/>
            <w:noWrap/>
          </w:tcPr>
          <w:p w:rsidR="00715A63" w:rsidRPr="00F4764B" w:rsidRDefault="00F4764B" w:rsidP="00F4764B">
            <w:pPr>
              <w:jc w:val="right"/>
              <w:rPr>
                <w:rFonts w:ascii="Arial" w:hAnsi="Arial" w:cs="Arial"/>
                <w:color w:val="000000"/>
                <w:sz w:val="22"/>
                <w:szCs w:val="22"/>
                <w:highlight w:val="cyan"/>
                <w:lang w:val="en-US"/>
              </w:rPr>
            </w:pPr>
            <w:r w:rsidRPr="00521193">
              <w:rPr>
                <w:rFonts w:ascii="Arial" w:hAnsi="Arial" w:cs="Arial"/>
                <w:color w:val="000000"/>
                <w:sz w:val="22"/>
                <w:szCs w:val="22"/>
                <w:lang w:val="en-US"/>
              </w:rPr>
              <w:t>71.6</w:t>
            </w:r>
          </w:p>
        </w:tc>
        <w:tc>
          <w:tcPr>
            <w:tcW w:w="3188" w:type="dxa"/>
            <w:tcBorders>
              <w:top w:val="nil"/>
              <w:left w:val="single" w:sz="4" w:space="0" w:color="auto"/>
              <w:bottom w:val="single" w:sz="4" w:space="0" w:color="auto"/>
              <w:right w:val="single" w:sz="4" w:space="0" w:color="auto"/>
            </w:tcBorders>
          </w:tcPr>
          <w:p w:rsidR="00715A63" w:rsidRPr="007D4126" w:rsidRDefault="005D7D7C" w:rsidP="00F4764B">
            <w:pPr>
              <w:jc w:val="right"/>
              <w:rPr>
                <w:rFonts w:ascii="Arial" w:hAnsi="Arial" w:cs="Arial"/>
                <w:color w:val="000000"/>
                <w:sz w:val="22"/>
                <w:szCs w:val="22"/>
                <w:lang w:val="en-US"/>
              </w:rPr>
            </w:pPr>
            <w:proofErr w:type="spellStart"/>
            <w:r w:rsidRPr="007D4126">
              <w:rPr>
                <w:rFonts w:ascii="Arial" w:hAnsi="Arial" w:cs="Arial"/>
                <w:color w:val="000000"/>
                <w:sz w:val="22"/>
                <w:szCs w:val="22"/>
                <w:lang w:val="en-US"/>
              </w:rPr>
              <w:t>HouseMark</w:t>
            </w:r>
            <w:proofErr w:type="spellEnd"/>
            <w:r w:rsidRPr="007D4126">
              <w:rPr>
                <w:rFonts w:ascii="Arial" w:hAnsi="Arial" w:cs="Arial"/>
                <w:color w:val="000000"/>
                <w:sz w:val="22"/>
                <w:szCs w:val="22"/>
                <w:lang w:val="en-US"/>
              </w:rPr>
              <w:t xml:space="preserve"> 2015/16</w:t>
            </w:r>
          </w:p>
        </w:tc>
      </w:tr>
      <w:tr w:rsidR="00A0513E" w:rsidRPr="007D4126" w:rsidTr="00521193">
        <w:trPr>
          <w:trHeight w:val="300"/>
        </w:trPr>
        <w:tc>
          <w:tcPr>
            <w:tcW w:w="6390" w:type="dxa"/>
            <w:tcBorders>
              <w:top w:val="single" w:sz="4" w:space="0" w:color="auto"/>
              <w:left w:val="single" w:sz="4" w:space="0" w:color="auto"/>
              <w:bottom w:val="single" w:sz="4" w:space="0" w:color="auto"/>
              <w:right w:val="single" w:sz="4" w:space="0" w:color="auto"/>
            </w:tcBorders>
            <w:shd w:val="clear" w:color="auto" w:fill="auto"/>
            <w:noWrap/>
            <w:hideMark/>
          </w:tcPr>
          <w:p w:rsidR="00A0513E" w:rsidRPr="007D4126" w:rsidRDefault="00A0513E" w:rsidP="007D4126">
            <w:pPr>
              <w:rPr>
                <w:rFonts w:ascii="Arial" w:hAnsi="Arial" w:cs="Arial"/>
                <w:color w:val="000000"/>
                <w:sz w:val="22"/>
                <w:szCs w:val="22"/>
                <w:lang w:val="en-US"/>
              </w:rPr>
            </w:pPr>
            <w:r w:rsidRPr="007D4126">
              <w:rPr>
                <w:rFonts w:ascii="Arial" w:hAnsi="Arial" w:cs="Arial"/>
                <w:color w:val="000000"/>
                <w:sz w:val="22"/>
                <w:szCs w:val="22"/>
                <w:lang w:val="en-US"/>
              </w:rPr>
              <w:t>Annual social value delivered per £ spent on employment  initiatives</w:t>
            </w:r>
          </w:p>
        </w:tc>
        <w:tc>
          <w:tcPr>
            <w:tcW w:w="1810" w:type="dxa"/>
            <w:tcBorders>
              <w:top w:val="single" w:sz="4" w:space="0" w:color="auto"/>
              <w:left w:val="nil"/>
              <w:bottom w:val="single" w:sz="4" w:space="0" w:color="auto"/>
              <w:right w:val="single" w:sz="4" w:space="0" w:color="auto"/>
            </w:tcBorders>
          </w:tcPr>
          <w:p w:rsidR="00A0513E" w:rsidRPr="007D4126" w:rsidRDefault="00A0513E" w:rsidP="007D4126">
            <w:pPr>
              <w:jc w:val="right"/>
              <w:rPr>
                <w:rFonts w:ascii="Arial" w:hAnsi="Arial" w:cs="Arial"/>
                <w:color w:val="000000"/>
                <w:sz w:val="22"/>
                <w:szCs w:val="22"/>
                <w:lang w:val="en-US"/>
              </w:rPr>
            </w:pPr>
            <w:r w:rsidRPr="007D4126">
              <w:rPr>
                <w:rFonts w:ascii="Arial" w:hAnsi="Arial" w:cs="Arial"/>
                <w:color w:val="000000"/>
                <w:sz w:val="22"/>
                <w:szCs w:val="22"/>
                <w:lang w:val="en-US"/>
              </w:rPr>
              <w:t>6.13</w:t>
            </w:r>
          </w:p>
        </w:tc>
        <w:tc>
          <w:tcPr>
            <w:tcW w:w="1810" w:type="dxa"/>
            <w:tcBorders>
              <w:top w:val="single" w:sz="4" w:space="0" w:color="auto"/>
              <w:left w:val="single" w:sz="4" w:space="0" w:color="auto"/>
              <w:bottom w:val="single" w:sz="4" w:space="0" w:color="auto"/>
              <w:right w:val="single" w:sz="4" w:space="0" w:color="auto"/>
            </w:tcBorders>
            <w:shd w:val="clear" w:color="auto" w:fill="auto"/>
            <w:noWrap/>
          </w:tcPr>
          <w:p w:rsidR="00A0513E" w:rsidRPr="00DF3967" w:rsidRDefault="007D4126" w:rsidP="00521193">
            <w:pPr>
              <w:jc w:val="right"/>
              <w:rPr>
                <w:rFonts w:ascii="Arial" w:hAnsi="Arial" w:cs="Arial"/>
                <w:color w:val="000000"/>
                <w:sz w:val="22"/>
                <w:szCs w:val="22"/>
                <w:highlight w:val="green"/>
                <w:lang w:val="en-US"/>
              </w:rPr>
            </w:pPr>
            <w:r w:rsidRPr="00521193">
              <w:rPr>
                <w:rFonts w:ascii="Arial" w:hAnsi="Arial" w:cs="Arial"/>
                <w:color w:val="000000"/>
                <w:sz w:val="22"/>
                <w:szCs w:val="22"/>
                <w:lang w:val="en-US"/>
              </w:rPr>
              <w:t>N/A</w:t>
            </w:r>
          </w:p>
        </w:tc>
        <w:tc>
          <w:tcPr>
            <w:tcW w:w="3188" w:type="dxa"/>
            <w:tcBorders>
              <w:top w:val="single" w:sz="4" w:space="0" w:color="auto"/>
              <w:left w:val="single" w:sz="4" w:space="0" w:color="auto"/>
              <w:bottom w:val="single" w:sz="4" w:space="0" w:color="auto"/>
              <w:right w:val="single" w:sz="4" w:space="0" w:color="auto"/>
            </w:tcBorders>
          </w:tcPr>
          <w:p w:rsidR="00A0513E" w:rsidRPr="007D4126" w:rsidRDefault="00521193" w:rsidP="00521193">
            <w:pPr>
              <w:jc w:val="right"/>
              <w:rPr>
                <w:rFonts w:ascii="Arial" w:hAnsi="Arial" w:cs="Arial"/>
                <w:color w:val="000000"/>
                <w:sz w:val="22"/>
                <w:szCs w:val="22"/>
                <w:lang w:val="en-US"/>
              </w:rPr>
            </w:pPr>
            <w:r w:rsidRPr="00521193">
              <w:rPr>
                <w:rFonts w:ascii="Arial" w:hAnsi="Arial" w:cs="Arial"/>
                <w:color w:val="000000"/>
                <w:sz w:val="22"/>
                <w:szCs w:val="22"/>
                <w:lang w:val="en-US"/>
              </w:rPr>
              <w:t>Nearest comparative is £s generated for every £ invested in communities</w:t>
            </w:r>
            <w:r>
              <w:rPr>
                <w:rFonts w:ascii="Arial" w:hAnsi="Arial" w:cs="Arial"/>
                <w:color w:val="000000"/>
                <w:sz w:val="22"/>
                <w:szCs w:val="22"/>
                <w:lang w:val="en-US"/>
              </w:rPr>
              <w:t xml:space="preserve">, but there is insufficient data on this </w:t>
            </w:r>
            <w:r w:rsidRPr="00521193">
              <w:rPr>
                <w:rFonts w:ascii="Arial" w:hAnsi="Arial" w:cs="Arial"/>
                <w:color w:val="000000"/>
                <w:sz w:val="22"/>
                <w:szCs w:val="22"/>
                <w:lang w:val="en-US"/>
              </w:rPr>
              <w:t xml:space="preserve">Sector Scorecard </w:t>
            </w:r>
            <w:r>
              <w:rPr>
                <w:rFonts w:ascii="Arial" w:hAnsi="Arial" w:cs="Arial"/>
                <w:color w:val="000000"/>
                <w:sz w:val="22"/>
                <w:szCs w:val="22"/>
                <w:lang w:val="en-US"/>
              </w:rPr>
              <w:t>measure this year.</w:t>
            </w:r>
          </w:p>
        </w:tc>
      </w:tr>
    </w:tbl>
    <w:p w:rsidR="00715A63" w:rsidRPr="007D4126" w:rsidRDefault="00715A63" w:rsidP="007E1BC6">
      <w:pPr>
        <w:jc w:val="both"/>
        <w:rPr>
          <w:rFonts w:ascii="Arial" w:hAnsi="Arial" w:cs="Arial"/>
          <w:highlight w:val="yellow"/>
        </w:rPr>
      </w:pPr>
    </w:p>
    <w:p w:rsidR="00441D25" w:rsidRPr="007D4126" w:rsidRDefault="00441D25" w:rsidP="007E1BC6">
      <w:pPr>
        <w:jc w:val="both"/>
        <w:rPr>
          <w:rFonts w:ascii="Arial" w:hAnsi="Arial" w:cs="Arial"/>
          <w:highlight w:val="cyan"/>
        </w:rPr>
      </w:pPr>
    </w:p>
    <w:tbl>
      <w:tblPr>
        <w:tblStyle w:val="TableGrid"/>
        <w:tblW w:w="0" w:type="auto"/>
        <w:tblLook w:val="04A0" w:firstRow="1" w:lastRow="0" w:firstColumn="1" w:lastColumn="0" w:noHBand="0" w:noVBand="1"/>
      </w:tblPr>
      <w:tblGrid>
        <w:gridCol w:w="4644"/>
        <w:gridCol w:w="10433"/>
      </w:tblGrid>
      <w:tr w:rsidR="00441D25" w:rsidRPr="007D4126" w:rsidTr="005A0205">
        <w:tc>
          <w:tcPr>
            <w:tcW w:w="4644" w:type="dxa"/>
            <w:shd w:val="clear" w:color="auto" w:fill="auto"/>
          </w:tcPr>
          <w:p w:rsidR="00441D25" w:rsidRPr="007D4126" w:rsidRDefault="00B566E3" w:rsidP="007E1BC6">
            <w:pPr>
              <w:jc w:val="both"/>
              <w:rPr>
                <w:rFonts w:ascii="Arial" w:hAnsi="Arial" w:cs="Arial"/>
                <w:highlight w:val="yellow"/>
              </w:rPr>
            </w:pPr>
            <w:r w:rsidRPr="007D4126">
              <w:rPr>
                <w:rFonts w:ascii="Arial" w:hAnsi="Arial" w:cs="Arial"/>
                <w:noProof/>
                <w:lang w:val="en-GB" w:eastAsia="en-GB"/>
              </w:rPr>
              <w:lastRenderedPageBreak/>
              <w:drawing>
                <wp:inline distT="0" distB="0" distL="0" distR="0" wp14:anchorId="3E2D51E8" wp14:editId="6BAC11C9">
                  <wp:extent cx="2785003" cy="29937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82656" cy="2991206"/>
                          </a:xfrm>
                          <a:prstGeom prst="rect">
                            <a:avLst/>
                          </a:prstGeom>
                        </pic:spPr>
                      </pic:pic>
                    </a:graphicData>
                  </a:graphic>
                </wp:inline>
              </w:drawing>
            </w:r>
          </w:p>
        </w:tc>
        <w:tc>
          <w:tcPr>
            <w:tcW w:w="10433" w:type="dxa"/>
            <w:shd w:val="clear" w:color="auto" w:fill="auto"/>
          </w:tcPr>
          <w:p w:rsidR="007F5AEF" w:rsidRPr="007D4126" w:rsidRDefault="00441D25" w:rsidP="00B566E3">
            <w:pPr>
              <w:jc w:val="both"/>
              <w:rPr>
                <w:rFonts w:ascii="Arial" w:hAnsi="Arial" w:cs="Arial"/>
              </w:rPr>
            </w:pPr>
            <w:r w:rsidRPr="007D4126">
              <w:rPr>
                <w:rFonts w:ascii="Arial" w:hAnsi="Arial" w:cs="Arial"/>
              </w:rPr>
              <w:t xml:space="preserve">As can be seen in the table </w:t>
            </w:r>
            <w:r w:rsidR="007F5AEF" w:rsidRPr="007D4126">
              <w:rPr>
                <w:rFonts w:ascii="Arial" w:hAnsi="Arial" w:cs="Arial"/>
              </w:rPr>
              <w:t xml:space="preserve">above, Hexagon’s </w:t>
            </w:r>
            <w:r w:rsidRPr="007D4126">
              <w:rPr>
                <w:rFonts w:ascii="Arial" w:hAnsi="Arial" w:cs="Arial"/>
              </w:rPr>
              <w:t xml:space="preserve">costs per unit are much higher than </w:t>
            </w:r>
            <w:r w:rsidR="005A0205" w:rsidRPr="007D4126">
              <w:rPr>
                <w:rFonts w:ascii="Arial" w:hAnsi="Arial" w:cs="Arial"/>
              </w:rPr>
              <w:t xml:space="preserve">the </w:t>
            </w:r>
            <w:r w:rsidRPr="007D4126">
              <w:rPr>
                <w:rFonts w:ascii="Arial" w:hAnsi="Arial" w:cs="Arial"/>
              </w:rPr>
              <w:t>average</w:t>
            </w:r>
            <w:r w:rsidR="005A0205" w:rsidRPr="007D4126">
              <w:rPr>
                <w:rFonts w:ascii="Arial" w:hAnsi="Arial" w:cs="Arial"/>
              </w:rPr>
              <w:t xml:space="preserve"> for English housing associations</w:t>
            </w:r>
            <w:r w:rsidRPr="007D4126">
              <w:rPr>
                <w:rFonts w:ascii="Arial" w:hAnsi="Arial" w:cs="Arial"/>
              </w:rPr>
              <w:t xml:space="preserve">; </w:t>
            </w:r>
            <w:r w:rsidR="007F5AEF" w:rsidRPr="007D4126">
              <w:rPr>
                <w:rFonts w:ascii="Arial" w:hAnsi="Arial" w:cs="Arial"/>
              </w:rPr>
              <w:t xml:space="preserve">however, </w:t>
            </w:r>
            <w:r w:rsidRPr="007D4126">
              <w:rPr>
                <w:rFonts w:ascii="Arial" w:hAnsi="Arial" w:cs="Arial"/>
              </w:rPr>
              <w:t xml:space="preserve">much of this relates to London factors – </w:t>
            </w:r>
            <w:r w:rsidR="00B566E3" w:rsidRPr="007D4126">
              <w:rPr>
                <w:rFonts w:ascii="Arial" w:hAnsi="Arial" w:cs="Arial"/>
              </w:rPr>
              <w:t xml:space="preserve">such as higher staffing, repairs and building costs. </w:t>
            </w:r>
          </w:p>
          <w:p w:rsidR="007F5AEF" w:rsidRPr="007D4126" w:rsidRDefault="007F5AEF" w:rsidP="00B566E3">
            <w:pPr>
              <w:jc w:val="both"/>
              <w:rPr>
                <w:rFonts w:ascii="Arial" w:hAnsi="Arial" w:cs="Arial"/>
              </w:rPr>
            </w:pPr>
          </w:p>
          <w:p w:rsidR="00441D25" w:rsidRPr="007D4126" w:rsidRDefault="007F5AEF" w:rsidP="00B566E3">
            <w:pPr>
              <w:jc w:val="both"/>
              <w:rPr>
                <w:rFonts w:ascii="Arial" w:hAnsi="Arial" w:cs="Arial"/>
              </w:rPr>
            </w:pPr>
            <w:r w:rsidRPr="007D4126">
              <w:rPr>
                <w:rFonts w:ascii="Arial" w:hAnsi="Arial" w:cs="Arial"/>
              </w:rPr>
              <w:t xml:space="preserve">The chart to the left looks at </w:t>
            </w:r>
            <w:r w:rsidR="00B566E3" w:rsidRPr="007D4126">
              <w:rPr>
                <w:rFonts w:ascii="Arial" w:hAnsi="Arial" w:cs="Arial"/>
              </w:rPr>
              <w:t xml:space="preserve">just London </w:t>
            </w:r>
            <w:r w:rsidR="005A0205" w:rsidRPr="007D4126">
              <w:rPr>
                <w:rFonts w:ascii="Arial" w:hAnsi="Arial" w:cs="Arial"/>
              </w:rPr>
              <w:t>associations</w:t>
            </w:r>
            <w:r w:rsidR="00B566E3" w:rsidRPr="007D4126">
              <w:rPr>
                <w:rFonts w:ascii="Arial" w:hAnsi="Arial" w:cs="Arial"/>
              </w:rPr>
              <w:t xml:space="preserve"> using a </w:t>
            </w:r>
            <w:proofErr w:type="spellStart"/>
            <w:r w:rsidR="00B566E3" w:rsidRPr="007D4126">
              <w:rPr>
                <w:rFonts w:ascii="Arial" w:hAnsi="Arial" w:cs="Arial"/>
              </w:rPr>
              <w:t>HouseMark</w:t>
            </w:r>
            <w:proofErr w:type="spellEnd"/>
            <w:r w:rsidR="00B566E3" w:rsidRPr="007D4126">
              <w:rPr>
                <w:rFonts w:ascii="Arial" w:hAnsi="Arial" w:cs="Arial"/>
              </w:rPr>
              <w:t xml:space="preserve"> tool </w:t>
            </w:r>
            <w:r w:rsidR="00441D25" w:rsidRPr="007D4126">
              <w:rPr>
                <w:rFonts w:ascii="Arial" w:hAnsi="Arial" w:cs="Arial"/>
              </w:rPr>
              <w:t xml:space="preserve">for the </w:t>
            </w:r>
            <w:r w:rsidR="005A0205" w:rsidRPr="007D4126">
              <w:rPr>
                <w:rFonts w:ascii="Arial" w:hAnsi="Arial" w:cs="Arial"/>
              </w:rPr>
              <w:t xml:space="preserve">15/16 </w:t>
            </w:r>
            <w:r w:rsidR="00B566E3" w:rsidRPr="007D4126">
              <w:rPr>
                <w:rFonts w:ascii="Arial" w:hAnsi="Arial" w:cs="Arial"/>
              </w:rPr>
              <w:t xml:space="preserve">data from the HCA – this shows </w:t>
            </w:r>
            <w:r w:rsidR="00AE599B" w:rsidRPr="007D4126">
              <w:rPr>
                <w:rFonts w:ascii="Arial" w:hAnsi="Arial" w:cs="Arial"/>
              </w:rPr>
              <w:t xml:space="preserve">that </w:t>
            </w:r>
            <w:r w:rsidR="00B566E3" w:rsidRPr="007D4126">
              <w:rPr>
                <w:rFonts w:ascii="Arial" w:hAnsi="Arial" w:cs="Arial"/>
              </w:rPr>
              <w:t>Hexagon (the orange star on the chart) comfortably inside the cheapest quart</w:t>
            </w:r>
            <w:r w:rsidR="005A0205" w:rsidRPr="007D4126">
              <w:rPr>
                <w:rFonts w:ascii="Arial" w:hAnsi="Arial" w:cs="Arial"/>
              </w:rPr>
              <w:t>er</w:t>
            </w:r>
            <w:r w:rsidR="00B566E3" w:rsidRPr="007D4126">
              <w:rPr>
                <w:rFonts w:ascii="Arial" w:hAnsi="Arial" w:cs="Arial"/>
              </w:rPr>
              <w:t xml:space="preserve">.  This relative position remains when </w:t>
            </w:r>
            <w:r w:rsidR="005A0205" w:rsidRPr="007D4126">
              <w:rPr>
                <w:rFonts w:ascii="Arial" w:hAnsi="Arial" w:cs="Arial"/>
              </w:rPr>
              <w:t xml:space="preserve">excluding </w:t>
            </w:r>
            <w:r w:rsidR="00B566E3" w:rsidRPr="007D4126">
              <w:rPr>
                <w:rFonts w:ascii="Arial" w:hAnsi="Arial" w:cs="Arial"/>
              </w:rPr>
              <w:t xml:space="preserve">associations who are recent stock </w:t>
            </w:r>
            <w:r w:rsidR="00B33994" w:rsidRPr="007D4126">
              <w:rPr>
                <w:rFonts w:ascii="Arial" w:hAnsi="Arial" w:cs="Arial"/>
              </w:rPr>
              <w:t>transfers</w:t>
            </w:r>
            <w:r w:rsidR="00B566E3" w:rsidRPr="007D4126">
              <w:rPr>
                <w:rFonts w:ascii="Arial" w:hAnsi="Arial" w:cs="Arial"/>
              </w:rPr>
              <w:t xml:space="preserve">, </w:t>
            </w:r>
            <w:r w:rsidR="005A0205" w:rsidRPr="007D4126">
              <w:rPr>
                <w:rFonts w:ascii="Arial" w:hAnsi="Arial" w:cs="Arial"/>
              </w:rPr>
              <w:t xml:space="preserve">or </w:t>
            </w:r>
            <w:r w:rsidR="00B566E3" w:rsidRPr="007D4126">
              <w:rPr>
                <w:rFonts w:ascii="Arial" w:hAnsi="Arial" w:cs="Arial"/>
              </w:rPr>
              <w:t xml:space="preserve">have larger </w:t>
            </w:r>
            <w:r w:rsidR="00B33994" w:rsidRPr="007D4126">
              <w:rPr>
                <w:rFonts w:ascii="Arial" w:hAnsi="Arial" w:cs="Arial"/>
              </w:rPr>
              <w:t>amounts</w:t>
            </w:r>
            <w:r w:rsidR="00B566E3" w:rsidRPr="007D4126">
              <w:rPr>
                <w:rFonts w:ascii="Arial" w:hAnsi="Arial" w:cs="Arial"/>
              </w:rPr>
              <w:t xml:space="preserve"> of supported housing than Hexagon – two of the other main factors</w:t>
            </w:r>
            <w:r w:rsidR="00B33994" w:rsidRPr="007D4126">
              <w:rPr>
                <w:rFonts w:ascii="Arial" w:hAnsi="Arial" w:cs="Arial"/>
              </w:rPr>
              <w:t xml:space="preserve"> other than location</w:t>
            </w:r>
            <w:r w:rsidR="00B566E3" w:rsidRPr="007D4126">
              <w:rPr>
                <w:rFonts w:ascii="Arial" w:hAnsi="Arial" w:cs="Arial"/>
              </w:rPr>
              <w:t xml:space="preserve"> that the HCA found to explain differences between Associations. </w:t>
            </w:r>
          </w:p>
          <w:p w:rsidR="00B566E3" w:rsidRPr="007D4126" w:rsidRDefault="00B566E3" w:rsidP="005A0205">
            <w:pPr>
              <w:spacing w:before="240"/>
              <w:jc w:val="both"/>
              <w:rPr>
                <w:rFonts w:ascii="Arial" w:hAnsi="Arial" w:cs="Arial"/>
              </w:rPr>
            </w:pPr>
            <w:r w:rsidRPr="007D4126">
              <w:rPr>
                <w:rFonts w:ascii="Arial" w:hAnsi="Arial" w:cs="Arial"/>
              </w:rPr>
              <w:t xml:space="preserve">There is more on the </w:t>
            </w:r>
            <w:proofErr w:type="spellStart"/>
            <w:r w:rsidR="00BA6D37" w:rsidRPr="007D4126">
              <w:rPr>
                <w:rFonts w:ascii="Arial" w:hAnsi="Arial" w:cs="Arial"/>
              </w:rPr>
              <w:t>HouseMark</w:t>
            </w:r>
            <w:proofErr w:type="spellEnd"/>
            <w:r w:rsidRPr="007D4126">
              <w:rPr>
                <w:rFonts w:ascii="Arial" w:hAnsi="Arial" w:cs="Arial"/>
              </w:rPr>
              <w:t xml:space="preserve"> Analysis at</w:t>
            </w:r>
          </w:p>
          <w:p w:rsidR="00B566E3" w:rsidRPr="007D4126" w:rsidRDefault="00B566E3" w:rsidP="00B566E3">
            <w:pPr>
              <w:jc w:val="both"/>
              <w:rPr>
                <w:rFonts w:ascii="Arial" w:hAnsi="Arial" w:cs="Arial"/>
                <w:highlight w:val="cyan"/>
              </w:rPr>
            </w:pPr>
            <w:r w:rsidRPr="007D4126">
              <w:rPr>
                <w:rFonts w:ascii="Arial" w:hAnsi="Arial" w:cs="Arial"/>
              </w:rPr>
              <w:t xml:space="preserve"> </w:t>
            </w:r>
            <w:hyperlink r:id="rId10" w:history="1">
              <w:r w:rsidR="00BA6D37" w:rsidRPr="007D4126">
                <w:rPr>
                  <w:rStyle w:val="Hyperlink"/>
                  <w:rFonts w:ascii="Arial" w:hAnsi="Arial" w:cs="Arial"/>
                </w:rPr>
                <w:t>https://www.housemark.co.uk/subscriber-tools/data-and-analysis/global-accounts-storyboard</w:t>
              </w:r>
            </w:hyperlink>
            <w:r w:rsidR="00BA6D37" w:rsidRPr="007D4126">
              <w:rPr>
                <w:rFonts w:ascii="Arial" w:hAnsi="Arial" w:cs="Arial"/>
              </w:rPr>
              <w:t xml:space="preserve"> </w:t>
            </w:r>
          </w:p>
        </w:tc>
      </w:tr>
    </w:tbl>
    <w:p w:rsidR="00715A63" w:rsidRPr="007D4126" w:rsidRDefault="00715A63" w:rsidP="007E1BC6">
      <w:pPr>
        <w:jc w:val="both"/>
        <w:rPr>
          <w:rFonts w:ascii="Arial" w:hAnsi="Arial" w:cs="Arial"/>
          <w:highlight w:val="yellow"/>
        </w:rPr>
      </w:pPr>
    </w:p>
    <w:p w:rsidR="00715A63" w:rsidRPr="007D4126" w:rsidRDefault="00715A63" w:rsidP="007E1BC6">
      <w:pPr>
        <w:jc w:val="both"/>
        <w:rPr>
          <w:rFonts w:ascii="Arial" w:hAnsi="Arial" w:cs="Arial"/>
          <w:highlight w:val="yellow"/>
        </w:rPr>
      </w:pPr>
    </w:p>
    <w:p w:rsidR="00815B19" w:rsidRPr="007D4126" w:rsidRDefault="00815B19" w:rsidP="00B85492">
      <w:pPr>
        <w:numPr>
          <w:ilvl w:val="0"/>
          <w:numId w:val="11"/>
        </w:numPr>
        <w:jc w:val="both"/>
        <w:rPr>
          <w:rFonts w:ascii="Arial" w:hAnsi="Arial" w:cs="Arial"/>
          <w:sz w:val="28"/>
        </w:rPr>
      </w:pPr>
      <w:r w:rsidRPr="007D4126">
        <w:rPr>
          <w:rFonts w:ascii="Arial" w:hAnsi="Arial" w:cs="Arial"/>
          <w:sz w:val="28"/>
        </w:rPr>
        <w:t>Trends on operating costs per unit</w:t>
      </w:r>
    </w:p>
    <w:p w:rsidR="00815B19" w:rsidRPr="007D4126" w:rsidRDefault="00815B19">
      <w:pPr>
        <w:jc w:val="both"/>
        <w:rPr>
          <w:rFonts w:ascii="Arial" w:hAnsi="Arial" w:cs="Arial"/>
        </w:rPr>
      </w:pPr>
    </w:p>
    <w:p w:rsidR="00846A1F" w:rsidRPr="00B85492" w:rsidRDefault="008C2ACC" w:rsidP="00B85492">
      <w:pPr>
        <w:pStyle w:val="ListParagraph"/>
        <w:numPr>
          <w:ilvl w:val="1"/>
          <w:numId w:val="11"/>
        </w:numPr>
        <w:jc w:val="both"/>
        <w:rPr>
          <w:rFonts w:ascii="Arial" w:eastAsiaTheme="minorHAnsi" w:hAnsi="Arial" w:cs="Arial"/>
          <w:szCs w:val="24"/>
        </w:rPr>
      </w:pPr>
      <w:r w:rsidRPr="00B85492">
        <w:rPr>
          <w:rFonts w:ascii="Arial" w:eastAsiaTheme="minorHAnsi" w:hAnsi="Arial" w:cs="Arial"/>
          <w:szCs w:val="24"/>
        </w:rPr>
        <w:t>The graph below shows Hexagon’s costs per unit in management, in the way that the HCA calculates this</w:t>
      </w:r>
      <w:r w:rsidR="00055208" w:rsidRPr="00B85492">
        <w:rPr>
          <w:rFonts w:ascii="Arial" w:eastAsiaTheme="minorHAnsi" w:hAnsi="Arial" w:cs="Arial"/>
          <w:szCs w:val="24"/>
        </w:rPr>
        <w:t>.</w:t>
      </w:r>
      <w:r w:rsidR="007F0456" w:rsidRPr="00B85492">
        <w:rPr>
          <w:rFonts w:ascii="Arial" w:eastAsiaTheme="minorHAnsi" w:hAnsi="Arial" w:cs="Arial"/>
          <w:szCs w:val="24"/>
        </w:rPr>
        <w:t xml:space="preserve"> </w:t>
      </w:r>
      <w:proofErr w:type="gramStart"/>
      <w:r w:rsidR="007F0456" w:rsidRPr="00B85492">
        <w:rPr>
          <w:rFonts w:ascii="Arial" w:eastAsiaTheme="minorHAnsi" w:hAnsi="Arial" w:cs="Arial"/>
          <w:szCs w:val="24"/>
          <w:vertAlign w:val="superscript"/>
        </w:rPr>
        <w:t>1</w:t>
      </w:r>
      <w:r w:rsidRPr="00B85492">
        <w:rPr>
          <w:rFonts w:ascii="Arial" w:eastAsiaTheme="minorHAnsi" w:hAnsi="Arial" w:cs="Arial"/>
          <w:szCs w:val="24"/>
        </w:rPr>
        <w:t xml:space="preserve"> </w:t>
      </w:r>
      <w:r w:rsidR="00846A1F" w:rsidRPr="00B85492">
        <w:rPr>
          <w:rFonts w:ascii="Arial" w:eastAsiaTheme="minorHAnsi" w:hAnsi="Arial" w:cs="Arial"/>
          <w:szCs w:val="24"/>
        </w:rPr>
        <w:t xml:space="preserve"> Most</w:t>
      </w:r>
      <w:proofErr w:type="gramEnd"/>
      <w:r w:rsidR="00846A1F" w:rsidRPr="00B85492">
        <w:rPr>
          <w:rFonts w:ascii="Arial" w:eastAsiaTheme="minorHAnsi" w:hAnsi="Arial" w:cs="Arial"/>
          <w:szCs w:val="24"/>
        </w:rPr>
        <w:t xml:space="preserve"> (79%) of the costs describes as “other” for homes managed by co-ops and supported housing agencies or for support services which are funded by local authorities. </w:t>
      </w:r>
    </w:p>
    <w:p w:rsidR="00846A1F" w:rsidRPr="007D4126" w:rsidRDefault="00846A1F" w:rsidP="005D424C">
      <w:pPr>
        <w:pStyle w:val="ListParagraph"/>
        <w:ind w:left="1571"/>
        <w:jc w:val="both"/>
        <w:rPr>
          <w:rFonts w:ascii="Arial" w:eastAsiaTheme="minorHAnsi" w:hAnsi="Arial" w:cs="Arial"/>
          <w:szCs w:val="24"/>
        </w:rPr>
      </w:pPr>
    </w:p>
    <w:p w:rsidR="00FA6B86" w:rsidRPr="007D4126" w:rsidRDefault="008C2ACC" w:rsidP="00B85492">
      <w:pPr>
        <w:pStyle w:val="ListParagraph"/>
        <w:numPr>
          <w:ilvl w:val="1"/>
          <w:numId w:val="11"/>
        </w:numPr>
        <w:jc w:val="both"/>
        <w:rPr>
          <w:rFonts w:ascii="Arial" w:eastAsiaTheme="minorHAnsi" w:hAnsi="Arial" w:cs="Arial"/>
          <w:szCs w:val="24"/>
        </w:rPr>
      </w:pPr>
      <w:r w:rsidRPr="007D4126">
        <w:rPr>
          <w:rFonts w:ascii="Arial" w:eastAsiaTheme="minorHAnsi" w:hAnsi="Arial" w:cs="Arial"/>
          <w:szCs w:val="24"/>
        </w:rPr>
        <w:t xml:space="preserve">This graph shows how rising amounts spent on major repairs are driving the increase in cost per unit, but </w:t>
      </w:r>
      <w:r w:rsidR="008C4DAF" w:rsidRPr="007D4126">
        <w:rPr>
          <w:rFonts w:ascii="Arial" w:eastAsiaTheme="minorHAnsi" w:hAnsi="Arial" w:cs="Arial"/>
          <w:szCs w:val="24"/>
        </w:rPr>
        <w:t xml:space="preserve">in 16/17 </w:t>
      </w:r>
      <w:r w:rsidRPr="007D4126">
        <w:rPr>
          <w:rFonts w:ascii="Arial" w:eastAsiaTheme="minorHAnsi" w:hAnsi="Arial" w:cs="Arial"/>
          <w:szCs w:val="24"/>
        </w:rPr>
        <w:t xml:space="preserve">much of this was </w:t>
      </w:r>
      <w:r w:rsidR="008C4DAF" w:rsidRPr="007D4126">
        <w:rPr>
          <w:rFonts w:ascii="Arial" w:eastAsiaTheme="minorHAnsi" w:hAnsi="Arial" w:cs="Arial"/>
          <w:szCs w:val="24"/>
        </w:rPr>
        <w:t>because of</w:t>
      </w:r>
      <w:r w:rsidRPr="007D4126">
        <w:rPr>
          <w:rFonts w:ascii="Arial" w:eastAsiaTheme="minorHAnsi" w:hAnsi="Arial" w:cs="Arial"/>
          <w:szCs w:val="24"/>
        </w:rPr>
        <w:t xml:space="preserve"> repairs to a new scheme</w:t>
      </w:r>
      <w:r w:rsidR="00004BD5">
        <w:rPr>
          <w:rFonts w:ascii="Arial" w:eastAsiaTheme="minorHAnsi" w:hAnsi="Arial" w:cs="Arial"/>
          <w:szCs w:val="24"/>
        </w:rPr>
        <w:t xml:space="preserve"> (Brickfield Cottages)</w:t>
      </w:r>
      <w:r w:rsidRPr="007D4126">
        <w:rPr>
          <w:rFonts w:ascii="Arial" w:eastAsiaTheme="minorHAnsi" w:hAnsi="Arial" w:cs="Arial"/>
          <w:szCs w:val="24"/>
        </w:rPr>
        <w:t xml:space="preserve"> affected by a </w:t>
      </w:r>
      <w:r w:rsidR="008C4DAF" w:rsidRPr="007D4126">
        <w:rPr>
          <w:rFonts w:ascii="Arial" w:eastAsiaTheme="minorHAnsi" w:hAnsi="Arial" w:cs="Arial"/>
          <w:szCs w:val="24"/>
        </w:rPr>
        <w:t>ground collapse</w:t>
      </w:r>
      <w:r w:rsidRPr="007D4126">
        <w:rPr>
          <w:rFonts w:ascii="Arial" w:eastAsiaTheme="minorHAnsi" w:hAnsi="Arial" w:cs="Arial"/>
          <w:szCs w:val="24"/>
        </w:rPr>
        <w:t>.</w:t>
      </w:r>
      <w:r w:rsidR="00055208" w:rsidRPr="007D4126">
        <w:rPr>
          <w:rFonts w:ascii="Arial" w:eastAsiaTheme="minorHAnsi" w:hAnsi="Arial" w:cs="Arial"/>
          <w:szCs w:val="24"/>
        </w:rPr>
        <w:t xml:space="preserve"> </w:t>
      </w:r>
      <w:r w:rsidR="00004BD5">
        <w:rPr>
          <w:rFonts w:ascii="Arial" w:eastAsiaTheme="minorHAnsi" w:hAnsi="Arial" w:cs="Arial"/>
          <w:szCs w:val="24"/>
        </w:rPr>
        <w:t>The last column in the graph shows the cost per unit for 16/17 excluding the amount spent on Brickfield Cottages. Even with this adjustment, t</w:t>
      </w:r>
      <w:r w:rsidR="00055208" w:rsidRPr="007D4126">
        <w:rPr>
          <w:rFonts w:ascii="Arial" w:eastAsiaTheme="minorHAnsi" w:hAnsi="Arial" w:cs="Arial"/>
          <w:szCs w:val="24"/>
        </w:rPr>
        <w:t xml:space="preserve">he costs per unit are rising slightly faster than rent inflation (which was negative in 16/17 as rents are now being reduced by 1% a year). </w:t>
      </w:r>
    </w:p>
    <w:p w:rsidR="008C2ACC" w:rsidRPr="007D4126" w:rsidRDefault="007F0456">
      <w:pPr>
        <w:jc w:val="both"/>
        <w:rPr>
          <w:rFonts w:ascii="Arial" w:eastAsiaTheme="minorHAnsi" w:hAnsi="Arial" w:cs="Arial"/>
          <w:szCs w:val="24"/>
        </w:rPr>
      </w:pPr>
      <w:r w:rsidRPr="007D4126">
        <w:rPr>
          <w:rFonts w:ascii="Arial" w:eastAsiaTheme="minorHAnsi" w:hAnsi="Arial" w:cs="Arial"/>
          <w:noProof/>
          <w:szCs w:val="24"/>
          <w:lang w:val="en-GB" w:eastAsia="en-GB"/>
        </w:rPr>
        <w:lastRenderedPageBreak/>
        <w:drawing>
          <wp:inline distT="0" distB="0" distL="0" distR="0" wp14:anchorId="6DF9F36F" wp14:editId="28FCE495">
            <wp:extent cx="7614285" cy="491998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14285" cy="4919980"/>
                    </a:xfrm>
                    <a:prstGeom prst="rect">
                      <a:avLst/>
                    </a:prstGeom>
                    <a:noFill/>
                  </pic:spPr>
                </pic:pic>
              </a:graphicData>
            </a:graphic>
          </wp:inline>
        </w:drawing>
      </w:r>
    </w:p>
    <w:p w:rsidR="008C2ACC" w:rsidRPr="007D4126" w:rsidRDefault="008C2ACC">
      <w:pPr>
        <w:jc w:val="both"/>
        <w:rPr>
          <w:rFonts w:ascii="Arial" w:eastAsiaTheme="minorHAnsi" w:hAnsi="Arial" w:cs="Arial"/>
          <w:szCs w:val="24"/>
        </w:rPr>
      </w:pPr>
    </w:p>
    <w:p w:rsidR="005A0205" w:rsidRPr="007D4126" w:rsidRDefault="00055208" w:rsidP="005D424C">
      <w:pPr>
        <w:jc w:val="both"/>
        <w:rPr>
          <w:rFonts w:ascii="Arial" w:eastAsiaTheme="minorHAnsi" w:hAnsi="Arial" w:cs="Arial"/>
          <w:sz w:val="20"/>
        </w:rPr>
      </w:pPr>
      <w:r w:rsidRPr="007D4126">
        <w:rPr>
          <w:rFonts w:ascii="Arial" w:eastAsiaTheme="minorHAnsi" w:hAnsi="Arial" w:cs="Arial"/>
          <w:sz w:val="20"/>
          <w:vertAlign w:val="superscript"/>
        </w:rPr>
        <w:t>1</w:t>
      </w:r>
      <w:r w:rsidRPr="007D4126">
        <w:rPr>
          <w:rFonts w:ascii="Arial" w:eastAsiaTheme="minorHAnsi" w:hAnsi="Arial" w:cs="Arial"/>
          <w:sz w:val="20"/>
        </w:rPr>
        <w:tab/>
        <w:t>The HCA calculation includes our costs for 471 units managed by co-ops and supported housing agencies, but excludes these from the unit count. The opposite is true for our 12 units in a nursing home. This reduces its usefulness, but the trend will be roughly right.</w:t>
      </w:r>
    </w:p>
    <w:p w:rsidR="007F0456" w:rsidRPr="007D4126" w:rsidRDefault="007F0456">
      <w:pPr>
        <w:rPr>
          <w:rFonts w:ascii="Arial" w:eastAsiaTheme="minorHAnsi" w:hAnsi="Arial" w:cs="Arial"/>
          <w:szCs w:val="24"/>
        </w:rPr>
      </w:pPr>
    </w:p>
    <w:p w:rsidR="008C2ACC" w:rsidRPr="007D4126" w:rsidRDefault="008C2ACC">
      <w:pPr>
        <w:jc w:val="both"/>
        <w:rPr>
          <w:rFonts w:ascii="Arial" w:eastAsiaTheme="minorHAnsi" w:hAnsi="Arial" w:cs="Arial"/>
          <w:szCs w:val="24"/>
        </w:rPr>
      </w:pPr>
    </w:p>
    <w:p w:rsidR="001632D3" w:rsidRPr="007D4126" w:rsidRDefault="001632D3" w:rsidP="007E1BC6">
      <w:pPr>
        <w:jc w:val="both"/>
        <w:rPr>
          <w:rFonts w:ascii="Arial" w:hAnsi="Arial" w:cs="Arial"/>
          <w:highlight w:val="yellow"/>
        </w:rPr>
      </w:pPr>
    </w:p>
    <w:p w:rsidR="003F75E3" w:rsidRPr="007D4126" w:rsidRDefault="003F75E3" w:rsidP="00B85492">
      <w:pPr>
        <w:numPr>
          <w:ilvl w:val="0"/>
          <w:numId w:val="11"/>
        </w:numPr>
        <w:jc w:val="both"/>
        <w:rPr>
          <w:rFonts w:ascii="Arial" w:hAnsi="Arial" w:cs="Arial"/>
          <w:sz w:val="28"/>
        </w:rPr>
      </w:pPr>
      <w:r w:rsidRPr="007D4126">
        <w:rPr>
          <w:rFonts w:ascii="Arial" w:hAnsi="Arial" w:cs="Arial"/>
          <w:sz w:val="28"/>
        </w:rPr>
        <w:t>How our services compared on cost and quality with other London housing associations</w:t>
      </w:r>
    </w:p>
    <w:p w:rsidR="00B67DE6" w:rsidRPr="007D4126" w:rsidRDefault="00B67DE6" w:rsidP="00D0434A">
      <w:pPr>
        <w:rPr>
          <w:rFonts w:ascii="Arial" w:hAnsi="Arial" w:cs="Arial"/>
          <w:highlight w:val="cyan"/>
        </w:rPr>
      </w:pPr>
    </w:p>
    <w:p w:rsidR="00A74A5C" w:rsidRPr="007D4126" w:rsidRDefault="00B85492" w:rsidP="00A74A5C">
      <w:pPr>
        <w:rPr>
          <w:rFonts w:ascii="Arial" w:hAnsi="Arial" w:cs="Arial"/>
        </w:rPr>
      </w:pPr>
      <w:r>
        <w:rPr>
          <w:rFonts w:ascii="Arial" w:hAnsi="Arial" w:cs="Arial"/>
        </w:rPr>
        <w:t xml:space="preserve">6.1 </w:t>
      </w:r>
      <w:r w:rsidR="00A74A5C" w:rsidRPr="007D4126">
        <w:rPr>
          <w:rFonts w:ascii="Arial" w:hAnsi="Arial" w:cs="Arial"/>
        </w:rPr>
        <w:t xml:space="preserve">Value for money is about outputs and outcomes as well as costs.  We use </w:t>
      </w:r>
      <w:proofErr w:type="spellStart"/>
      <w:r w:rsidR="00A74A5C" w:rsidRPr="007D4126">
        <w:rPr>
          <w:rFonts w:ascii="Arial" w:hAnsi="Arial" w:cs="Arial"/>
        </w:rPr>
        <w:t>HouseMark</w:t>
      </w:r>
      <w:proofErr w:type="spellEnd"/>
      <w:r w:rsidR="00A74A5C" w:rsidRPr="007D4126">
        <w:rPr>
          <w:rFonts w:ascii="Arial" w:hAnsi="Arial" w:cs="Arial"/>
        </w:rPr>
        <w:t xml:space="preserve"> to help us measure this – the most recent summary data from </w:t>
      </w:r>
      <w:proofErr w:type="spellStart"/>
      <w:r w:rsidR="00A74A5C" w:rsidRPr="007D4126">
        <w:rPr>
          <w:rFonts w:ascii="Arial" w:hAnsi="Arial" w:cs="Arial"/>
        </w:rPr>
        <w:t>HouseMark</w:t>
      </w:r>
      <w:proofErr w:type="spellEnd"/>
      <w:r w:rsidR="00A74A5C" w:rsidRPr="007D4126">
        <w:rPr>
          <w:rFonts w:ascii="Arial" w:hAnsi="Arial" w:cs="Arial"/>
        </w:rPr>
        <w:t xml:space="preserve"> fo</w:t>
      </w:r>
      <w:r w:rsidR="00B33994" w:rsidRPr="007D4126">
        <w:rPr>
          <w:rFonts w:ascii="Arial" w:hAnsi="Arial" w:cs="Arial"/>
        </w:rPr>
        <w:t>r 2</w:t>
      </w:r>
      <w:r w:rsidR="00A51822" w:rsidRPr="007D4126">
        <w:rPr>
          <w:rFonts w:ascii="Arial" w:hAnsi="Arial" w:cs="Arial"/>
        </w:rPr>
        <w:t xml:space="preserve">015/16 (see </w:t>
      </w:r>
      <w:r w:rsidR="00B33994" w:rsidRPr="007D4126">
        <w:rPr>
          <w:rFonts w:ascii="Arial" w:hAnsi="Arial" w:cs="Arial"/>
        </w:rPr>
        <w:t xml:space="preserve">chart below) shows that </w:t>
      </w:r>
      <w:r w:rsidR="00C722D5">
        <w:rPr>
          <w:rFonts w:ascii="Arial" w:hAnsi="Arial" w:cs="Arial"/>
        </w:rPr>
        <w:t xml:space="preserve">for </w:t>
      </w:r>
      <w:r w:rsidR="00B33994" w:rsidRPr="007D4126">
        <w:rPr>
          <w:rFonts w:ascii="Arial" w:hAnsi="Arial" w:cs="Arial"/>
        </w:rPr>
        <w:t>all the indicators</w:t>
      </w:r>
      <w:r w:rsidR="00A74A5C" w:rsidRPr="007D4126">
        <w:rPr>
          <w:rFonts w:ascii="Arial" w:hAnsi="Arial" w:cs="Arial"/>
        </w:rPr>
        <w:t xml:space="preserve"> Hexagon</w:t>
      </w:r>
      <w:r w:rsidR="00B33994" w:rsidRPr="007D4126">
        <w:rPr>
          <w:rFonts w:ascii="Arial" w:hAnsi="Arial" w:cs="Arial"/>
        </w:rPr>
        <w:t>’s costs were</w:t>
      </w:r>
      <w:r w:rsidR="00A74A5C" w:rsidRPr="007D4126">
        <w:rPr>
          <w:rFonts w:ascii="Arial" w:hAnsi="Arial" w:cs="Arial"/>
        </w:rPr>
        <w:t xml:space="preserve"> low cost, although Rent Arrears and Tenancy Management are the only areas in the green ‘good performance, low cost quadrant’; the remaining five areas are in the ‘poor performance, low cost’ quadrant, although Estate Services, Major Works and Lettings are all on the cusp on ‘good performance’.</w:t>
      </w:r>
    </w:p>
    <w:p w:rsidR="00A74A5C" w:rsidRPr="007D4126" w:rsidRDefault="00A74A5C" w:rsidP="00A74A5C">
      <w:pPr>
        <w:rPr>
          <w:rFonts w:ascii="Arial" w:hAnsi="Arial" w:cs="Arial"/>
          <w:highlight w:val="cyan"/>
        </w:rPr>
      </w:pPr>
    </w:p>
    <w:p w:rsidR="00A74A5C" w:rsidRPr="007D4126" w:rsidRDefault="00A74A5C" w:rsidP="005A0205">
      <w:pPr>
        <w:jc w:val="center"/>
        <w:rPr>
          <w:rFonts w:ascii="Arial" w:hAnsi="Arial" w:cs="Arial"/>
          <w:highlight w:val="cyan"/>
        </w:rPr>
      </w:pPr>
    </w:p>
    <w:p w:rsidR="00A74A5C" w:rsidRPr="007D4126" w:rsidRDefault="0094140C" w:rsidP="0094140C">
      <w:pPr>
        <w:jc w:val="center"/>
        <w:rPr>
          <w:rFonts w:ascii="Arial" w:hAnsi="Arial" w:cs="Arial"/>
          <w:highlight w:val="cyan"/>
        </w:rPr>
      </w:pPr>
      <w:r w:rsidRPr="007D4126">
        <w:rPr>
          <w:rFonts w:ascii="Arial" w:hAnsi="Arial" w:cs="Arial"/>
          <w:noProof/>
          <w:lang w:val="en-GB" w:eastAsia="en-GB"/>
        </w:rPr>
        <w:drawing>
          <wp:inline distT="0" distB="0" distL="0" distR="0" wp14:anchorId="2378AD34" wp14:editId="679972B7">
            <wp:extent cx="7195127" cy="322858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189824" cy="3226203"/>
                    </a:xfrm>
                    <a:prstGeom prst="rect">
                      <a:avLst/>
                    </a:prstGeom>
                  </pic:spPr>
                </pic:pic>
              </a:graphicData>
            </a:graphic>
          </wp:inline>
        </w:drawing>
      </w:r>
    </w:p>
    <w:p w:rsidR="00B33994" w:rsidRPr="007D4126" w:rsidRDefault="00B33994" w:rsidP="00A74A5C">
      <w:pPr>
        <w:rPr>
          <w:rFonts w:ascii="Arial" w:hAnsi="Arial" w:cs="Arial"/>
          <w:highlight w:val="cyan"/>
        </w:rPr>
      </w:pPr>
    </w:p>
    <w:p w:rsidR="00B33994" w:rsidRPr="007D4126" w:rsidRDefault="00B33994" w:rsidP="00A74A5C">
      <w:pPr>
        <w:rPr>
          <w:rFonts w:ascii="Arial" w:hAnsi="Arial" w:cs="Arial"/>
        </w:rPr>
      </w:pPr>
      <w:r w:rsidRPr="007D4126">
        <w:rPr>
          <w:rFonts w:ascii="Arial" w:hAnsi="Arial" w:cs="Arial"/>
        </w:rPr>
        <w:t xml:space="preserve">We use the </w:t>
      </w:r>
      <w:proofErr w:type="spellStart"/>
      <w:r w:rsidRPr="007D4126">
        <w:rPr>
          <w:rFonts w:ascii="Arial" w:hAnsi="Arial" w:cs="Arial"/>
        </w:rPr>
        <w:t>HouseMark</w:t>
      </w:r>
      <w:proofErr w:type="spellEnd"/>
      <w:r w:rsidRPr="007D4126">
        <w:rPr>
          <w:rFonts w:ascii="Arial" w:hAnsi="Arial" w:cs="Arial"/>
        </w:rPr>
        <w:t xml:space="preserve"> data each year to help identify areas where we need to improve on performance or costs as part of the process of developing both departmental </w:t>
      </w:r>
      <w:proofErr w:type="spellStart"/>
      <w:r w:rsidRPr="007D4126">
        <w:rPr>
          <w:rFonts w:ascii="Arial" w:hAnsi="Arial" w:cs="Arial"/>
        </w:rPr>
        <w:t>workplans</w:t>
      </w:r>
      <w:proofErr w:type="spellEnd"/>
      <w:r w:rsidRPr="007D4126">
        <w:rPr>
          <w:rFonts w:ascii="Arial" w:hAnsi="Arial" w:cs="Arial"/>
        </w:rPr>
        <w:t xml:space="preserve"> and in the new annual VFM strategy.</w:t>
      </w:r>
    </w:p>
    <w:p w:rsidR="00A74A5C" w:rsidRPr="007D4126" w:rsidRDefault="00B85492" w:rsidP="005A0205">
      <w:pPr>
        <w:spacing w:before="240"/>
        <w:rPr>
          <w:rFonts w:ascii="Arial" w:hAnsi="Arial" w:cs="Arial"/>
        </w:rPr>
      </w:pPr>
      <w:r>
        <w:rPr>
          <w:rFonts w:ascii="Arial" w:hAnsi="Arial" w:cs="Arial"/>
        </w:rPr>
        <w:lastRenderedPageBreak/>
        <w:t xml:space="preserve">6.2 </w:t>
      </w:r>
      <w:r w:rsidR="00A74A5C" w:rsidRPr="007D4126">
        <w:rPr>
          <w:rFonts w:ascii="Arial" w:hAnsi="Arial" w:cs="Arial"/>
        </w:rPr>
        <w:t xml:space="preserve">The 2015/16 data is not that dissimilar to the previous two years as the two graphs </w:t>
      </w:r>
      <w:r w:rsidR="00A51822" w:rsidRPr="007D4126">
        <w:rPr>
          <w:rFonts w:ascii="Arial" w:hAnsi="Arial" w:cs="Arial"/>
        </w:rPr>
        <w:t xml:space="preserve">below </w:t>
      </w:r>
      <w:r w:rsidR="00A74A5C" w:rsidRPr="007D4126">
        <w:rPr>
          <w:rFonts w:ascii="Arial" w:hAnsi="Arial" w:cs="Arial"/>
        </w:rPr>
        <w:t xml:space="preserve">show, although those in ‘poor performance, low cost’ tend to be closer to ‘good performance’ than was the case in previous years. </w:t>
      </w:r>
    </w:p>
    <w:p w:rsidR="00A51822" w:rsidRPr="007D4126" w:rsidRDefault="00A51822" w:rsidP="00A51822">
      <w:pPr>
        <w:spacing w:before="240"/>
        <w:jc w:val="center"/>
        <w:rPr>
          <w:rFonts w:ascii="Arial" w:hAnsi="Arial" w:cs="Arial"/>
        </w:rPr>
      </w:pPr>
      <w:r w:rsidRPr="007D4126">
        <w:rPr>
          <w:rFonts w:ascii="Arial" w:hAnsi="Arial" w:cs="Arial"/>
          <w:noProof/>
          <w:lang w:val="en-GB" w:eastAsia="en-GB"/>
        </w:rPr>
        <w:drawing>
          <wp:inline distT="0" distB="0" distL="0" distR="0" wp14:anchorId="04D2B39F" wp14:editId="224185C6">
            <wp:extent cx="8434378" cy="2623128"/>
            <wp:effectExtent l="0" t="0" r="508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8439913" cy="2624849"/>
                    </a:xfrm>
                    <a:prstGeom prst="rect">
                      <a:avLst/>
                    </a:prstGeom>
                  </pic:spPr>
                </pic:pic>
              </a:graphicData>
            </a:graphic>
          </wp:inline>
        </w:drawing>
      </w:r>
    </w:p>
    <w:p w:rsidR="00A74A5C" w:rsidRPr="007D4126" w:rsidRDefault="00A74A5C" w:rsidP="00A74A5C">
      <w:pPr>
        <w:rPr>
          <w:rFonts w:ascii="Arial" w:hAnsi="Arial" w:cs="Arial"/>
        </w:rPr>
      </w:pPr>
    </w:p>
    <w:p w:rsidR="00CE7710" w:rsidRDefault="00B85492" w:rsidP="00A74A5C">
      <w:pPr>
        <w:rPr>
          <w:rFonts w:ascii="Arial" w:hAnsi="Arial" w:cs="Arial"/>
        </w:rPr>
      </w:pPr>
      <w:r>
        <w:rPr>
          <w:rFonts w:ascii="Arial" w:hAnsi="Arial" w:cs="Arial"/>
        </w:rPr>
        <w:t xml:space="preserve">6.3 </w:t>
      </w:r>
      <w:r w:rsidR="00A74A5C" w:rsidRPr="007D4126">
        <w:rPr>
          <w:rFonts w:ascii="Arial" w:hAnsi="Arial" w:cs="Arial"/>
        </w:rPr>
        <w:t xml:space="preserve">A few notes are worth making, with each of the broad areas a basket of cost and performance measure is used to which </w:t>
      </w:r>
      <w:proofErr w:type="spellStart"/>
      <w:r w:rsidR="00A74A5C" w:rsidRPr="007D4126">
        <w:rPr>
          <w:rFonts w:ascii="Arial" w:hAnsi="Arial" w:cs="Arial"/>
        </w:rPr>
        <w:t>HouseMark</w:t>
      </w:r>
      <w:proofErr w:type="spellEnd"/>
      <w:r w:rsidR="00A74A5C" w:rsidRPr="007D4126">
        <w:rPr>
          <w:rFonts w:ascii="Arial" w:hAnsi="Arial" w:cs="Arial"/>
        </w:rPr>
        <w:t xml:space="preserve"> applies weightings.  Generally, Hexagon uses a benchmark of all London housing associations for </w:t>
      </w:r>
      <w:proofErr w:type="spellStart"/>
      <w:r w:rsidR="00A74A5C" w:rsidRPr="007D4126">
        <w:rPr>
          <w:rFonts w:ascii="Arial" w:hAnsi="Arial" w:cs="Arial"/>
        </w:rPr>
        <w:t>HouseMark</w:t>
      </w:r>
      <w:proofErr w:type="spellEnd"/>
      <w:r w:rsidR="00A74A5C" w:rsidRPr="007D4126">
        <w:rPr>
          <w:rFonts w:ascii="Arial" w:hAnsi="Arial" w:cs="Arial"/>
        </w:rPr>
        <w:t xml:space="preserve">, however, this graphical dashboard has slightly more limited options and the nearest to our benchmark is London associations with less than 7500 homes.  As the size of the benchmark is relatively small and not necessarily the same organisations submit data every year, there can be fluctuations.  Resident involvement only appeared in the 2015/16 data as in previous years it required the collection of profile information in regards to religion and sexual orientation, something which we have not collected.  ASB only appeared in 2014/15 because of a lack of data on service satisfaction in other years. </w:t>
      </w:r>
    </w:p>
    <w:p w:rsidR="00A74A5C" w:rsidRPr="007D4126" w:rsidRDefault="00A74A5C" w:rsidP="00A74A5C">
      <w:pPr>
        <w:rPr>
          <w:rFonts w:ascii="Arial" w:hAnsi="Arial" w:cs="Arial"/>
        </w:rPr>
      </w:pPr>
      <w:r w:rsidRPr="007D4126">
        <w:rPr>
          <w:rFonts w:ascii="Arial" w:hAnsi="Arial" w:cs="Arial"/>
        </w:rPr>
        <w:t xml:space="preserve"> </w:t>
      </w:r>
    </w:p>
    <w:p w:rsidR="003D4F85" w:rsidRDefault="003D4F85">
      <w:pPr>
        <w:rPr>
          <w:rFonts w:ascii="Arial" w:hAnsi="Arial" w:cs="Arial"/>
        </w:rPr>
      </w:pPr>
      <w:r>
        <w:rPr>
          <w:rFonts w:ascii="Arial" w:hAnsi="Arial" w:cs="Arial"/>
        </w:rPr>
        <w:br w:type="page"/>
      </w:r>
    </w:p>
    <w:p w:rsidR="00D0434A" w:rsidRPr="007D4126" w:rsidRDefault="00D0434A" w:rsidP="00D0434A">
      <w:pPr>
        <w:rPr>
          <w:rFonts w:ascii="Arial" w:hAnsi="Arial" w:cs="Arial"/>
        </w:rPr>
      </w:pPr>
    </w:p>
    <w:p w:rsidR="003F75E3" w:rsidRPr="007D4126" w:rsidRDefault="003F75E3" w:rsidP="008E7419">
      <w:pPr>
        <w:ind w:left="720"/>
        <w:jc w:val="both"/>
        <w:rPr>
          <w:rFonts w:ascii="Arial" w:hAnsi="Arial" w:cs="Arial"/>
          <w:b/>
          <w:sz w:val="28"/>
        </w:rPr>
      </w:pPr>
    </w:p>
    <w:p w:rsidR="008321DF" w:rsidRDefault="008321DF" w:rsidP="00B85492">
      <w:pPr>
        <w:numPr>
          <w:ilvl w:val="0"/>
          <w:numId w:val="11"/>
        </w:numPr>
        <w:jc w:val="both"/>
        <w:rPr>
          <w:rFonts w:ascii="Arial" w:hAnsi="Arial" w:cs="Arial"/>
          <w:sz w:val="28"/>
        </w:rPr>
      </w:pPr>
      <w:r w:rsidRPr="007D4126">
        <w:rPr>
          <w:rFonts w:ascii="Arial" w:hAnsi="Arial" w:cs="Arial"/>
          <w:sz w:val="28"/>
        </w:rPr>
        <w:t>How our costs and outcomes compared with other housing associations across England</w:t>
      </w:r>
    </w:p>
    <w:p w:rsidR="003D4F85" w:rsidRPr="007D4126" w:rsidRDefault="003D4F85" w:rsidP="003D4F85">
      <w:pPr>
        <w:ind w:left="720"/>
        <w:jc w:val="both"/>
        <w:rPr>
          <w:rFonts w:ascii="Arial" w:hAnsi="Arial" w:cs="Arial"/>
          <w:sz w:val="28"/>
        </w:rPr>
      </w:pPr>
    </w:p>
    <w:p w:rsidR="00CE7710" w:rsidRPr="008503A5" w:rsidRDefault="00B85492" w:rsidP="00D86575">
      <w:pPr>
        <w:rPr>
          <w:rFonts w:ascii="Arial" w:hAnsi="Arial" w:cs="Arial"/>
          <w:szCs w:val="24"/>
        </w:rPr>
      </w:pPr>
      <w:r>
        <w:rPr>
          <w:rFonts w:ascii="Arial" w:hAnsi="Arial" w:cs="Arial"/>
          <w:szCs w:val="24"/>
        </w:rPr>
        <w:t xml:space="preserve">7.1 </w:t>
      </w:r>
      <w:r w:rsidR="00D86575" w:rsidRPr="008503A5">
        <w:rPr>
          <w:rFonts w:ascii="Arial" w:hAnsi="Arial" w:cs="Arial"/>
          <w:szCs w:val="24"/>
        </w:rPr>
        <w:t>The Sector Scorecard is set of 15 indicators that are being piloted to benchmark efficiency across the sector in 2016/17 with a full launch planned for 2018.  The indicators are split across five categories of business health, development (capacity and supply), outcomes delivered, effective asset management and operating efficiencies</w:t>
      </w:r>
      <w:r w:rsidR="005425D6" w:rsidRPr="008503A5">
        <w:rPr>
          <w:rFonts w:ascii="Arial" w:hAnsi="Arial" w:cs="Arial"/>
          <w:szCs w:val="24"/>
        </w:rPr>
        <w:t xml:space="preserve">, some of the indicators have sub divisions so there </w:t>
      </w:r>
      <w:r w:rsidR="0009777D" w:rsidRPr="008503A5">
        <w:rPr>
          <w:rFonts w:ascii="Arial" w:hAnsi="Arial" w:cs="Arial"/>
          <w:szCs w:val="24"/>
        </w:rPr>
        <w:t>are 20 indicators in total.</w:t>
      </w:r>
      <w:r w:rsidR="00D86575" w:rsidRPr="008503A5">
        <w:rPr>
          <w:rFonts w:ascii="Arial" w:hAnsi="Arial" w:cs="Arial"/>
          <w:szCs w:val="24"/>
        </w:rPr>
        <w:t xml:space="preserve">  Data was supplied by just over 240 housing associations, local authorities and ALMOs. Unlike the </w:t>
      </w:r>
      <w:proofErr w:type="spellStart"/>
      <w:r w:rsidR="00D86575" w:rsidRPr="008503A5">
        <w:rPr>
          <w:rFonts w:ascii="Arial" w:hAnsi="Arial" w:cs="Arial"/>
          <w:szCs w:val="24"/>
        </w:rPr>
        <w:t>HouseMark</w:t>
      </w:r>
      <w:proofErr w:type="spellEnd"/>
      <w:r w:rsidR="00D86575" w:rsidRPr="008503A5">
        <w:rPr>
          <w:rFonts w:ascii="Arial" w:hAnsi="Arial" w:cs="Arial"/>
          <w:szCs w:val="24"/>
        </w:rPr>
        <w:t xml:space="preserve"> data used there is a single national dataset with no ability at present to benchmark by region</w:t>
      </w:r>
      <w:r w:rsidR="008503A5" w:rsidRPr="008503A5">
        <w:rPr>
          <w:rFonts w:ascii="Arial" w:hAnsi="Arial" w:cs="Arial"/>
          <w:szCs w:val="24"/>
        </w:rPr>
        <w:t>,</w:t>
      </w:r>
      <w:r w:rsidR="00D86575" w:rsidRPr="008503A5">
        <w:rPr>
          <w:rFonts w:ascii="Arial" w:hAnsi="Arial" w:cs="Arial"/>
          <w:szCs w:val="24"/>
        </w:rPr>
        <w:t xml:space="preserve"> for example. </w:t>
      </w:r>
    </w:p>
    <w:p w:rsidR="0009777D" w:rsidRPr="008503A5" w:rsidRDefault="00B85492" w:rsidP="00CE7710">
      <w:pPr>
        <w:spacing w:before="240"/>
        <w:rPr>
          <w:rFonts w:ascii="Arial" w:hAnsi="Arial" w:cs="Arial"/>
          <w:szCs w:val="24"/>
        </w:rPr>
      </w:pPr>
      <w:r>
        <w:rPr>
          <w:rFonts w:ascii="Arial" w:hAnsi="Arial" w:cs="Arial"/>
          <w:szCs w:val="24"/>
        </w:rPr>
        <w:t xml:space="preserve">7.2 </w:t>
      </w:r>
      <w:r w:rsidR="00375BD9" w:rsidRPr="008503A5">
        <w:rPr>
          <w:rFonts w:ascii="Arial" w:hAnsi="Arial" w:cs="Arial"/>
          <w:szCs w:val="24"/>
        </w:rPr>
        <w:t xml:space="preserve">The results for Hexagon are </w:t>
      </w:r>
      <w:r w:rsidR="00CE7710" w:rsidRPr="008503A5">
        <w:rPr>
          <w:rFonts w:ascii="Arial" w:hAnsi="Arial" w:cs="Arial"/>
          <w:szCs w:val="24"/>
        </w:rPr>
        <w:t xml:space="preserve">shown below graphically </w:t>
      </w:r>
      <w:r w:rsidR="00375BD9" w:rsidRPr="008503A5">
        <w:rPr>
          <w:rFonts w:ascii="Arial" w:hAnsi="Arial" w:cs="Arial"/>
          <w:szCs w:val="24"/>
        </w:rPr>
        <w:t xml:space="preserve">quite mixed </w:t>
      </w:r>
      <w:r w:rsidR="005425D6" w:rsidRPr="008503A5">
        <w:rPr>
          <w:rFonts w:ascii="Arial" w:hAnsi="Arial" w:cs="Arial"/>
          <w:szCs w:val="24"/>
        </w:rPr>
        <w:t>– 8 (</w:t>
      </w:r>
      <w:r w:rsidR="008503A5" w:rsidRPr="008503A5">
        <w:rPr>
          <w:rFonts w:ascii="Arial" w:hAnsi="Arial" w:cs="Arial"/>
          <w:szCs w:val="24"/>
        </w:rPr>
        <w:t>in green</w:t>
      </w:r>
      <w:r w:rsidR="005425D6" w:rsidRPr="008503A5">
        <w:rPr>
          <w:rFonts w:ascii="Arial" w:hAnsi="Arial" w:cs="Arial"/>
          <w:szCs w:val="24"/>
        </w:rPr>
        <w:t>) are above the median, 9 (</w:t>
      </w:r>
      <w:r w:rsidR="008503A5" w:rsidRPr="008503A5">
        <w:rPr>
          <w:rFonts w:ascii="Arial" w:hAnsi="Arial" w:cs="Arial"/>
          <w:szCs w:val="24"/>
        </w:rPr>
        <w:t>in red)</w:t>
      </w:r>
      <w:r w:rsidR="005425D6" w:rsidRPr="008503A5">
        <w:rPr>
          <w:rFonts w:ascii="Arial" w:hAnsi="Arial" w:cs="Arial"/>
          <w:szCs w:val="24"/>
        </w:rPr>
        <w:t xml:space="preserve"> are worse than the median and with three (</w:t>
      </w:r>
      <w:r w:rsidR="008503A5" w:rsidRPr="008503A5">
        <w:rPr>
          <w:rFonts w:ascii="Arial" w:hAnsi="Arial" w:cs="Arial"/>
          <w:szCs w:val="24"/>
        </w:rPr>
        <w:t>in blue</w:t>
      </w:r>
      <w:r w:rsidR="005425D6" w:rsidRPr="008503A5">
        <w:rPr>
          <w:rFonts w:ascii="Arial" w:hAnsi="Arial" w:cs="Arial"/>
          <w:szCs w:val="24"/>
        </w:rPr>
        <w:t xml:space="preserve">) data is missing.  </w:t>
      </w:r>
      <w:r w:rsidR="00267FBD" w:rsidRPr="008503A5">
        <w:rPr>
          <w:rFonts w:ascii="Arial" w:hAnsi="Arial" w:cs="Arial"/>
          <w:szCs w:val="24"/>
        </w:rPr>
        <w:t xml:space="preserve">The areas </w:t>
      </w:r>
      <w:r w:rsidR="0009777D" w:rsidRPr="008503A5">
        <w:rPr>
          <w:rFonts w:ascii="Arial" w:hAnsi="Arial" w:cs="Arial"/>
          <w:szCs w:val="24"/>
        </w:rPr>
        <w:t xml:space="preserve">where </w:t>
      </w:r>
      <w:r w:rsidR="00267FBD" w:rsidRPr="008503A5">
        <w:rPr>
          <w:rFonts w:ascii="Arial" w:hAnsi="Arial" w:cs="Arial"/>
          <w:szCs w:val="24"/>
        </w:rPr>
        <w:t xml:space="preserve">we are worse </w:t>
      </w:r>
      <w:r w:rsidR="005326DA" w:rsidRPr="008503A5">
        <w:rPr>
          <w:rFonts w:ascii="Arial" w:hAnsi="Arial" w:cs="Arial"/>
          <w:szCs w:val="24"/>
        </w:rPr>
        <w:t>are generally</w:t>
      </w:r>
      <w:r w:rsidR="0009777D" w:rsidRPr="008503A5">
        <w:rPr>
          <w:rFonts w:ascii="Arial" w:hAnsi="Arial" w:cs="Arial"/>
          <w:szCs w:val="24"/>
        </w:rPr>
        <w:t xml:space="preserve"> either:</w:t>
      </w:r>
    </w:p>
    <w:p w:rsidR="0009777D" w:rsidRPr="008503A5" w:rsidRDefault="0009777D" w:rsidP="00B85492">
      <w:pPr>
        <w:pStyle w:val="ListParagraph"/>
        <w:numPr>
          <w:ilvl w:val="0"/>
          <w:numId w:val="9"/>
        </w:numPr>
        <w:spacing w:before="240"/>
        <w:rPr>
          <w:rFonts w:ascii="Arial" w:hAnsi="Arial" w:cs="Arial"/>
          <w:szCs w:val="24"/>
        </w:rPr>
      </w:pPr>
      <w:r w:rsidRPr="008503A5">
        <w:rPr>
          <w:rFonts w:ascii="Arial" w:hAnsi="Arial" w:cs="Arial"/>
          <w:szCs w:val="24"/>
        </w:rPr>
        <w:t>Those</w:t>
      </w:r>
      <w:r w:rsidR="005326DA" w:rsidRPr="008503A5">
        <w:rPr>
          <w:rFonts w:ascii="Arial" w:hAnsi="Arial" w:cs="Arial"/>
          <w:szCs w:val="24"/>
        </w:rPr>
        <w:t xml:space="preserve"> that we either know about and are trying to </w:t>
      </w:r>
      <w:r w:rsidRPr="008503A5">
        <w:rPr>
          <w:rFonts w:ascii="Arial" w:hAnsi="Arial" w:cs="Arial"/>
          <w:szCs w:val="24"/>
        </w:rPr>
        <w:t xml:space="preserve">resolve and have actions as part of the new </w:t>
      </w:r>
      <w:r w:rsidR="00A944B8" w:rsidRPr="008503A5">
        <w:rPr>
          <w:rFonts w:ascii="Arial" w:hAnsi="Arial" w:cs="Arial"/>
          <w:szCs w:val="24"/>
        </w:rPr>
        <w:t>Corporate</w:t>
      </w:r>
      <w:r w:rsidRPr="008503A5">
        <w:rPr>
          <w:rFonts w:ascii="Arial" w:hAnsi="Arial" w:cs="Arial"/>
          <w:szCs w:val="24"/>
        </w:rPr>
        <w:t xml:space="preserve"> </w:t>
      </w:r>
      <w:r w:rsidR="00A944B8" w:rsidRPr="008503A5">
        <w:rPr>
          <w:rFonts w:ascii="Arial" w:hAnsi="Arial" w:cs="Arial"/>
          <w:szCs w:val="24"/>
        </w:rPr>
        <w:t>Plan</w:t>
      </w:r>
    </w:p>
    <w:p w:rsidR="0009777D" w:rsidRPr="008503A5" w:rsidRDefault="00A944B8" w:rsidP="00B85492">
      <w:pPr>
        <w:pStyle w:val="ListParagraph"/>
        <w:numPr>
          <w:ilvl w:val="1"/>
          <w:numId w:val="9"/>
        </w:numPr>
        <w:spacing w:before="240"/>
        <w:rPr>
          <w:rFonts w:ascii="Arial" w:hAnsi="Arial" w:cs="Arial"/>
          <w:szCs w:val="24"/>
        </w:rPr>
      </w:pPr>
      <w:r w:rsidRPr="008503A5">
        <w:rPr>
          <w:rFonts w:ascii="Arial" w:hAnsi="Arial" w:cs="Arial"/>
          <w:szCs w:val="24"/>
        </w:rPr>
        <w:t>R</w:t>
      </w:r>
      <w:r w:rsidR="005326DA" w:rsidRPr="008503A5">
        <w:rPr>
          <w:rFonts w:ascii="Arial" w:hAnsi="Arial" w:cs="Arial"/>
          <w:szCs w:val="24"/>
        </w:rPr>
        <w:t>ent collection</w:t>
      </w:r>
      <w:r w:rsidR="0009777D" w:rsidRPr="008503A5">
        <w:rPr>
          <w:rFonts w:ascii="Arial" w:hAnsi="Arial" w:cs="Arial"/>
          <w:szCs w:val="24"/>
        </w:rPr>
        <w:t xml:space="preserve">; </w:t>
      </w:r>
      <w:r w:rsidRPr="008503A5">
        <w:rPr>
          <w:rFonts w:ascii="Arial" w:hAnsi="Arial" w:cs="Arial"/>
          <w:szCs w:val="24"/>
        </w:rPr>
        <w:t xml:space="preserve">and </w:t>
      </w:r>
    </w:p>
    <w:p w:rsidR="0009777D" w:rsidRPr="008503A5" w:rsidRDefault="00A944B8" w:rsidP="00B85492">
      <w:pPr>
        <w:pStyle w:val="ListParagraph"/>
        <w:numPr>
          <w:ilvl w:val="1"/>
          <w:numId w:val="9"/>
        </w:numPr>
        <w:spacing w:before="240"/>
        <w:rPr>
          <w:rFonts w:ascii="Arial" w:hAnsi="Arial" w:cs="Arial"/>
          <w:szCs w:val="24"/>
        </w:rPr>
      </w:pPr>
      <w:r w:rsidRPr="008503A5">
        <w:rPr>
          <w:rFonts w:ascii="Arial" w:hAnsi="Arial" w:cs="Arial"/>
          <w:szCs w:val="24"/>
        </w:rPr>
        <w:t>Overall</w:t>
      </w:r>
      <w:r w:rsidR="005326DA" w:rsidRPr="008503A5">
        <w:rPr>
          <w:rFonts w:ascii="Arial" w:hAnsi="Arial" w:cs="Arial"/>
          <w:szCs w:val="24"/>
        </w:rPr>
        <w:t xml:space="preserve"> satisfaction</w:t>
      </w:r>
      <w:r w:rsidR="0009777D" w:rsidRPr="008503A5">
        <w:rPr>
          <w:rFonts w:ascii="Arial" w:hAnsi="Arial" w:cs="Arial"/>
          <w:szCs w:val="24"/>
        </w:rPr>
        <w:t xml:space="preserve"> with the landlord;</w:t>
      </w:r>
    </w:p>
    <w:p w:rsidR="00A944B8" w:rsidRPr="008503A5" w:rsidRDefault="00A944B8" w:rsidP="00B85492">
      <w:pPr>
        <w:pStyle w:val="ListParagraph"/>
        <w:numPr>
          <w:ilvl w:val="0"/>
          <w:numId w:val="9"/>
        </w:numPr>
        <w:spacing w:before="240"/>
        <w:rPr>
          <w:rFonts w:ascii="Arial" w:hAnsi="Arial" w:cs="Arial"/>
          <w:szCs w:val="24"/>
        </w:rPr>
      </w:pPr>
      <w:r w:rsidRPr="008503A5">
        <w:rPr>
          <w:rFonts w:ascii="Arial" w:hAnsi="Arial" w:cs="Arial"/>
          <w:szCs w:val="24"/>
        </w:rPr>
        <w:t>Do not exclude the unusual costs of Brickfields Cottages</w:t>
      </w:r>
    </w:p>
    <w:p w:rsidR="00A944B8" w:rsidRPr="008503A5" w:rsidRDefault="00A944B8" w:rsidP="00B85492">
      <w:pPr>
        <w:pStyle w:val="ListParagraph"/>
        <w:numPr>
          <w:ilvl w:val="1"/>
          <w:numId w:val="9"/>
        </w:numPr>
        <w:spacing w:before="240"/>
        <w:rPr>
          <w:rFonts w:ascii="Arial" w:hAnsi="Arial" w:cs="Arial"/>
          <w:szCs w:val="24"/>
        </w:rPr>
      </w:pPr>
      <w:r w:rsidRPr="008503A5">
        <w:rPr>
          <w:rFonts w:ascii="Arial" w:hAnsi="Arial" w:cs="Arial"/>
          <w:szCs w:val="24"/>
        </w:rPr>
        <w:t>Operating margin ; and</w:t>
      </w:r>
    </w:p>
    <w:p w:rsidR="00A944B8" w:rsidRPr="008503A5" w:rsidRDefault="00A944B8" w:rsidP="00B85492">
      <w:pPr>
        <w:pStyle w:val="ListParagraph"/>
        <w:numPr>
          <w:ilvl w:val="1"/>
          <w:numId w:val="9"/>
        </w:numPr>
        <w:spacing w:before="240"/>
        <w:rPr>
          <w:rFonts w:ascii="Arial" w:hAnsi="Arial" w:cs="Arial"/>
          <w:szCs w:val="24"/>
        </w:rPr>
      </w:pPr>
      <w:r w:rsidRPr="008503A5">
        <w:rPr>
          <w:rFonts w:ascii="Arial" w:hAnsi="Arial" w:cs="Arial"/>
          <w:szCs w:val="24"/>
        </w:rPr>
        <w:t>Major repairs costs per unit</w:t>
      </w:r>
      <w:r w:rsidR="00FB577E" w:rsidRPr="008503A5">
        <w:rPr>
          <w:rFonts w:ascii="Arial" w:hAnsi="Arial" w:cs="Arial"/>
          <w:szCs w:val="24"/>
        </w:rPr>
        <w:t>;</w:t>
      </w:r>
    </w:p>
    <w:p w:rsidR="00A944B8" w:rsidRPr="008503A5" w:rsidRDefault="00A944B8" w:rsidP="00B85492">
      <w:pPr>
        <w:pStyle w:val="ListParagraph"/>
        <w:numPr>
          <w:ilvl w:val="0"/>
          <w:numId w:val="9"/>
        </w:numPr>
        <w:spacing w:before="240"/>
        <w:rPr>
          <w:rFonts w:ascii="Arial" w:hAnsi="Arial" w:cs="Arial"/>
          <w:szCs w:val="24"/>
        </w:rPr>
      </w:pPr>
      <w:r w:rsidRPr="008503A5">
        <w:rPr>
          <w:rFonts w:ascii="Arial" w:hAnsi="Arial" w:cs="Arial"/>
          <w:szCs w:val="24"/>
        </w:rPr>
        <w:t>Do not reflect accurately the units that Hexagon is responsible for – the denominator is the number of units managed, this does not take into account the number of homes managed by Co-ops and other agencies on our behalf which are atypical for our size</w:t>
      </w:r>
    </w:p>
    <w:p w:rsidR="00A944B8" w:rsidRPr="008503A5" w:rsidRDefault="00A944B8" w:rsidP="00B85492">
      <w:pPr>
        <w:pStyle w:val="ListParagraph"/>
        <w:numPr>
          <w:ilvl w:val="1"/>
          <w:numId w:val="9"/>
        </w:numPr>
        <w:spacing w:before="240"/>
        <w:rPr>
          <w:rFonts w:ascii="Arial" w:hAnsi="Arial" w:cs="Arial"/>
          <w:szCs w:val="24"/>
        </w:rPr>
      </w:pPr>
      <w:r w:rsidRPr="008503A5">
        <w:rPr>
          <w:rFonts w:ascii="Arial" w:hAnsi="Arial" w:cs="Arial"/>
          <w:szCs w:val="24"/>
        </w:rPr>
        <w:t>Major repairs; and</w:t>
      </w:r>
    </w:p>
    <w:p w:rsidR="00A944B8" w:rsidRPr="008503A5" w:rsidRDefault="00A944B8" w:rsidP="00B85492">
      <w:pPr>
        <w:pStyle w:val="ListParagraph"/>
        <w:numPr>
          <w:ilvl w:val="1"/>
          <w:numId w:val="9"/>
        </w:numPr>
        <w:spacing w:before="240"/>
        <w:rPr>
          <w:rFonts w:ascii="Arial" w:hAnsi="Arial" w:cs="Arial"/>
          <w:szCs w:val="24"/>
        </w:rPr>
      </w:pPr>
      <w:r w:rsidRPr="008503A5">
        <w:rPr>
          <w:rFonts w:ascii="Arial" w:hAnsi="Arial" w:cs="Arial"/>
          <w:szCs w:val="24"/>
        </w:rPr>
        <w:t>Other social housing costs per unit;</w:t>
      </w:r>
    </w:p>
    <w:p w:rsidR="00FB577E" w:rsidRPr="008503A5" w:rsidRDefault="00FB577E" w:rsidP="00B85492">
      <w:pPr>
        <w:pStyle w:val="ListParagraph"/>
        <w:numPr>
          <w:ilvl w:val="0"/>
          <w:numId w:val="9"/>
        </w:numPr>
        <w:spacing w:before="240"/>
        <w:rPr>
          <w:rFonts w:ascii="Arial" w:hAnsi="Arial" w:cs="Arial"/>
          <w:szCs w:val="24"/>
        </w:rPr>
      </w:pPr>
      <w:r w:rsidRPr="008503A5">
        <w:rPr>
          <w:rFonts w:ascii="Arial" w:hAnsi="Arial" w:cs="Arial"/>
          <w:szCs w:val="24"/>
        </w:rPr>
        <w:t xml:space="preserve">Some relate to </w:t>
      </w:r>
      <w:r w:rsidR="005326DA" w:rsidRPr="008503A5">
        <w:rPr>
          <w:rFonts w:ascii="Arial" w:hAnsi="Arial" w:cs="Arial"/>
          <w:szCs w:val="24"/>
        </w:rPr>
        <w:t>being a London landlord with a large percentage of Victorian and Edwardian homes</w:t>
      </w:r>
    </w:p>
    <w:p w:rsidR="00FB577E" w:rsidRPr="008503A5" w:rsidRDefault="00FB577E" w:rsidP="00B85492">
      <w:pPr>
        <w:pStyle w:val="ListParagraph"/>
        <w:numPr>
          <w:ilvl w:val="1"/>
          <w:numId w:val="9"/>
        </w:numPr>
        <w:rPr>
          <w:rFonts w:ascii="Arial" w:hAnsi="Arial" w:cs="Arial"/>
          <w:szCs w:val="24"/>
        </w:rPr>
      </w:pPr>
      <w:r w:rsidRPr="008503A5">
        <w:rPr>
          <w:rFonts w:ascii="Arial" w:hAnsi="Arial" w:cs="Arial"/>
          <w:szCs w:val="24"/>
        </w:rPr>
        <w:t>Major repairs costs per unit; and</w:t>
      </w:r>
    </w:p>
    <w:p w:rsidR="008321DF" w:rsidRPr="008503A5" w:rsidRDefault="00FB577E" w:rsidP="00B85492">
      <w:pPr>
        <w:pStyle w:val="ListParagraph"/>
        <w:numPr>
          <w:ilvl w:val="1"/>
          <w:numId w:val="9"/>
        </w:numPr>
        <w:spacing w:before="240"/>
        <w:rPr>
          <w:rFonts w:ascii="Arial" w:hAnsi="Arial" w:cs="Arial"/>
          <w:szCs w:val="24"/>
        </w:rPr>
      </w:pPr>
      <w:r w:rsidRPr="008503A5">
        <w:rPr>
          <w:rFonts w:ascii="Arial" w:hAnsi="Arial" w:cs="Arial"/>
          <w:szCs w:val="24"/>
        </w:rPr>
        <w:t>Maintenance costs per unit.</w:t>
      </w:r>
    </w:p>
    <w:p w:rsidR="00A944B8" w:rsidRPr="008503A5" w:rsidRDefault="00A944B8" w:rsidP="00A944B8">
      <w:pPr>
        <w:spacing w:before="240"/>
        <w:rPr>
          <w:rFonts w:ascii="Arial" w:hAnsi="Arial" w:cs="Arial"/>
          <w:szCs w:val="24"/>
        </w:rPr>
      </w:pPr>
      <w:r w:rsidRPr="008503A5">
        <w:rPr>
          <w:rFonts w:ascii="Arial" w:hAnsi="Arial" w:cs="Arial"/>
          <w:szCs w:val="24"/>
        </w:rPr>
        <w:t xml:space="preserve">There is one major exception to this – return on capital employed.  </w:t>
      </w:r>
      <w:r w:rsidR="00FB577E" w:rsidRPr="008503A5">
        <w:rPr>
          <w:rFonts w:ascii="Arial" w:hAnsi="Arial" w:cs="Arial"/>
          <w:szCs w:val="24"/>
        </w:rPr>
        <w:t xml:space="preserve">Hexagon’s relative </w:t>
      </w:r>
      <w:r w:rsidRPr="008503A5">
        <w:rPr>
          <w:rFonts w:ascii="Arial" w:hAnsi="Arial" w:cs="Arial"/>
          <w:szCs w:val="24"/>
        </w:rPr>
        <w:t>position in the bottom quartile was not expected and requires some extra work to understand the reasons for this.</w:t>
      </w:r>
    </w:p>
    <w:p w:rsidR="00CE7710" w:rsidRDefault="00CE7710" w:rsidP="00D86575">
      <w:pPr>
        <w:rPr>
          <w:rFonts w:ascii="Arial" w:hAnsi="Arial" w:cs="Arial"/>
          <w:sz w:val="22"/>
          <w:highlight w:val="cyan"/>
        </w:rPr>
      </w:pPr>
    </w:p>
    <w:p w:rsidR="00CE7710" w:rsidRDefault="00CE7710" w:rsidP="00D86575">
      <w:pPr>
        <w:rPr>
          <w:rFonts w:ascii="Arial" w:hAnsi="Arial" w:cs="Arial"/>
          <w:sz w:val="22"/>
          <w:highlight w:val="cyan"/>
        </w:rPr>
      </w:pPr>
    </w:p>
    <w:p w:rsidR="00CE7710" w:rsidRDefault="00CE7710" w:rsidP="00CE7710">
      <w:pPr>
        <w:jc w:val="center"/>
        <w:rPr>
          <w:rFonts w:ascii="Arial" w:hAnsi="Arial" w:cs="Arial"/>
          <w:sz w:val="22"/>
          <w:highlight w:val="cyan"/>
        </w:rPr>
      </w:pPr>
    </w:p>
    <w:p w:rsidR="00CE7710" w:rsidRDefault="00CE7710" w:rsidP="00CE7710">
      <w:pPr>
        <w:jc w:val="center"/>
        <w:rPr>
          <w:rFonts w:ascii="Arial" w:hAnsi="Arial" w:cs="Arial"/>
          <w:sz w:val="22"/>
          <w:highlight w:val="cyan"/>
        </w:rPr>
      </w:pPr>
    </w:p>
    <w:p w:rsidR="008321DF" w:rsidRDefault="007C1B1A" w:rsidP="00045F74">
      <w:pPr>
        <w:jc w:val="both"/>
        <w:rPr>
          <w:rFonts w:ascii="Arial" w:hAnsi="Arial" w:cs="Arial"/>
          <w:sz w:val="28"/>
        </w:rPr>
      </w:pPr>
      <w:r w:rsidRPr="007C1B1A">
        <w:rPr>
          <w:noProof/>
          <w:lang w:val="en-GB" w:eastAsia="en-GB"/>
        </w:rPr>
        <w:drawing>
          <wp:inline distT="0" distB="0" distL="0" distR="0">
            <wp:extent cx="6515100" cy="5114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15100" cy="5114925"/>
                    </a:xfrm>
                    <a:prstGeom prst="rect">
                      <a:avLst/>
                    </a:prstGeom>
                    <a:noFill/>
                    <a:ln>
                      <a:noFill/>
                    </a:ln>
                  </pic:spPr>
                </pic:pic>
              </a:graphicData>
            </a:graphic>
          </wp:inline>
        </w:drawing>
      </w:r>
    </w:p>
    <w:p w:rsidR="007C1B1A" w:rsidRDefault="007C1B1A" w:rsidP="00045F74">
      <w:pPr>
        <w:jc w:val="both"/>
        <w:rPr>
          <w:rFonts w:ascii="Arial" w:hAnsi="Arial" w:cs="Arial"/>
          <w:sz w:val="28"/>
        </w:rPr>
      </w:pPr>
    </w:p>
    <w:p w:rsidR="007C1B1A" w:rsidRPr="007D4126" w:rsidRDefault="007C1B1A" w:rsidP="00045F74">
      <w:pPr>
        <w:jc w:val="both"/>
        <w:rPr>
          <w:rFonts w:ascii="Arial" w:hAnsi="Arial" w:cs="Arial"/>
          <w:sz w:val="28"/>
        </w:rPr>
      </w:pPr>
    </w:p>
    <w:p w:rsidR="003F75E3" w:rsidRPr="007D4126" w:rsidRDefault="003F75E3" w:rsidP="00B85492">
      <w:pPr>
        <w:numPr>
          <w:ilvl w:val="0"/>
          <w:numId w:val="11"/>
        </w:numPr>
        <w:jc w:val="both"/>
        <w:rPr>
          <w:rFonts w:ascii="Arial" w:hAnsi="Arial" w:cs="Arial"/>
          <w:sz w:val="28"/>
        </w:rPr>
      </w:pPr>
      <w:r w:rsidRPr="007D4126">
        <w:rPr>
          <w:rFonts w:ascii="Arial" w:hAnsi="Arial" w:cs="Arial"/>
          <w:sz w:val="28"/>
        </w:rPr>
        <w:lastRenderedPageBreak/>
        <w:t xml:space="preserve">Our return on assets </w:t>
      </w:r>
    </w:p>
    <w:p w:rsidR="008D0C97" w:rsidRPr="007D4126" w:rsidRDefault="008D0C97" w:rsidP="003F75E3">
      <w:pPr>
        <w:jc w:val="both"/>
        <w:rPr>
          <w:rFonts w:ascii="Arial" w:hAnsi="Arial" w:cs="Arial"/>
        </w:rPr>
      </w:pPr>
    </w:p>
    <w:p w:rsidR="008D0C97" w:rsidRPr="007D4126" w:rsidRDefault="00B85492" w:rsidP="003F75E3">
      <w:pPr>
        <w:jc w:val="both"/>
        <w:rPr>
          <w:rFonts w:ascii="Arial" w:hAnsi="Arial" w:cs="Arial"/>
          <w:sz w:val="28"/>
        </w:rPr>
      </w:pPr>
      <w:r>
        <w:rPr>
          <w:rFonts w:ascii="Arial" w:hAnsi="Arial" w:cs="Arial"/>
        </w:rPr>
        <w:t xml:space="preserve">8.1 </w:t>
      </w:r>
      <w:r w:rsidR="008D0C97" w:rsidRPr="007D4126">
        <w:rPr>
          <w:rFonts w:ascii="Arial" w:hAnsi="Arial" w:cs="Arial"/>
        </w:rPr>
        <w:t xml:space="preserve">During the year we have been working </w:t>
      </w:r>
      <w:r w:rsidR="005A0205" w:rsidRPr="007D4126">
        <w:rPr>
          <w:rFonts w:ascii="Arial" w:hAnsi="Arial" w:cs="Arial"/>
        </w:rPr>
        <w:t>to implement a software t</w:t>
      </w:r>
      <w:r w:rsidR="008D0C97" w:rsidRPr="007D4126">
        <w:rPr>
          <w:rFonts w:ascii="Arial" w:hAnsi="Arial" w:cs="Arial"/>
        </w:rPr>
        <w:t xml:space="preserve">ool to look at the </w:t>
      </w:r>
      <w:r w:rsidR="009E4611" w:rsidRPr="007D4126">
        <w:rPr>
          <w:rFonts w:ascii="Arial" w:hAnsi="Arial" w:cs="Arial"/>
        </w:rPr>
        <w:t>financial return on each of Hexagon’s properties</w:t>
      </w:r>
      <w:r w:rsidR="008D0C97" w:rsidRPr="007D4126">
        <w:rPr>
          <w:rFonts w:ascii="Arial" w:hAnsi="Arial" w:cs="Arial"/>
        </w:rPr>
        <w:t xml:space="preserve">. The initial results are encouraging for our </w:t>
      </w:r>
      <w:r w:rsidR="00650802" w:rsidRPr="007D4126">
        <w:rPr>
          <w:rFonts w:ascii="Arial" w:hAnsi="Arial" w:cs="Arial"/>
        </w:rPr>
        <w:t xml:space="preserve">Directly Managed </w:t>
      </w:r>
      <w:r w:rsidR="008D0C97" w:rsidRPr="007D4126">
        <w:rPr>
          <w:rFonts w:ascii="Arial" w:hAnsi="Arial" w:cs="Arial"/>
        </w:rPr>
        <w:t xml:space="preserve">General Needs homes, </w:t>
      </w:r>
      <w:r w:rsidR="009E4611" w:rsidRPr="007D4126">
        <w:rPr>
          <w:rFonts w:ascii="Arial" w:hAnsi="Arial" w:cs="Arial"/>
        </w:rPr>
        <w:t xml:space="preserve">where there are </w:t>
      </w:r>
      <w:r w:rsidR="008D0C97" w:rsidRPr="007D4126">
        <w:rPr>
          <w:rFonts w:ascii="Arial" w:hAnsi="Arial" w:cs="Arial"/>
        </w:rPr>
        <w:t xml:space="preserve">no homes with negative Net Present Values, as the graph below shows. </w:t>
      </w:r>
      <w:r w:rsidR="009E4611" w:rsidRPr="007D4126">
        <w:rPr>
          <w:rFonts w:ascii="Arial" w:hAnsi="Arial" w:cs="Arial"/>
        </w:rPr>
        <w:t xml:space="preserve">We intend to extend the analysis to </w:t>
      </w:r>
      <w:r w:rsidR="00650802" w:rsidRPr="007D4126">
        <w:rPr>
          <w:rFonts w:ascii="Arial" w:hAnsi="Arial" w:cs="Arial"/>
        </w:rPr>
        <w:t xml:space="preserve">Co-op Managed, </w:t>
      </w:r>
      <w:r w:rsidR="009E4611" w:rsidRPr="007D4126">
        <w:rPr>
          <w:rFonts w:ascii="Arial" w:hAnsi="Arial" w:cs="Arial"/>
        </w:rPr>
        <w:t>Supported Housing and Shared Ownership home</w:t>
      </w:r>
      <w:r w:rsidR="00650802" w:rsidRPr="007D4126">
        <w:rPr>
          <w:rFonts w:ascii="Arial" w:hAnsi="Arial" w:cs="Arial"/>
        </w:rPr>
        <w:t>s</w:t>
      </w:r>
      <w:r w:rsidR="009E4611" w:rsidRPr="007D4126">
        <w:rPr>
          <w:rFonts w:ascii="Arial" w:hAnsi="Arial" w:cs="Arial"/>
        </w:rPr>
        <w:t xml:space="preserve"> by the end of the current financial year. </w:t>
      </w:r>
    </w:p>
    <w:p w:rsidR="008D0C97" w:rsidRPr="007D4126" w:rsidRDefault="008D0C97" w:rsidP="005A0205">
      <w:pPr>
        <w:jc w:val="center"/>
        <w:rPr>
          <w:rFonts w:ascii="Arial" w:hAnsi="Arial" w:cs="Arial"/>
          <w:sz w:val="28"/>
        </w:rPr>
      </w:pPr>
      <w:r w:rsidRPr="007D4126">
        <w:rPr>
          <w:rFonts w:ascii="Arial" w:hAnsi="Arial" w:cs="Arial"/>
          <w:noProof/>
          <w:sz w:val="28"/>
          <w:lang w:val="en-GB" w:eastAsia="en-GB"/>
        </w:rPr>
        <w:drawing>
          <wp:inline distT="0" distB="0" distL="0" distR="0" wp14:anchorId="2AADDBFE" wp14:editId="6ADD6D7F">
            <wp:extent cx="4194175"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4175" cy="2743200"/>
                    </a:xfrm>
                    <a:prstGeom prst="rect">
                      <a:avLst/>
                    </a:prstGeom>
                    <a:noFill/>
                  </pic:spPr>
                </pic:pic>
              </a:graphicData>
            </a:graphic>
          </wp:inline>
        </w:drawing>
      </w:r>
    </w:p>
    <w:p w:rsidR="008D0C97" w:rsidRPr="007D4126" w:rsidRDefault="008D0C97" w:rsidP="008D0C97">
      <w:pPr>
        <w:jc w:val="both"/>
        <w:rPr>
          <w:rFonts w:ascii="Arial" w:hAnsi="Arial" w:cs="Arial"/>
          <w:sz w:val="28"/>
        </w:rPr>
      </w:pPr>
    </w:p>
    <w:p w:rsidR="003F75E3" w:rsidRPr="007D4126" w:rsidRDefault="00B85492" w:rsidP="003F75E3">
      <w:pPr>
        <w:jc w:val="both"/>
        <w:rPr>
          <w:rFonts w:ascii="Arial" w:hAnsi="Arial" w:cs="Arial"/>
        </w:rPr>
      </w:pPr>
      <w:r>
        <w:rPr>
          <w:rFonts w:ascii="Arial" w:hAnsi="Arial" w:cs="Arial"/>
        </w:rPr>
        <w:t xml:space="preserve">8.2 </w:t>
      </w:r>
      <w:r w:rsidR="008D0C97" w:rsidRPr="007D4126">
        <w:rPr>
          <w:rFonts w:ascii="Arial" w:hAnsi="Arial" w:cs="Arial"/>
        </w:rPr>
        <w:t xml:space="preserve">At least part of the reason for the lack of units with negative Net Present Values is that in recent years we have actively reviewed homes that have become void and using a slightly less sophisticated analysis have disposed </w:t>
      </w:r>
      <w:r w:rsidR="00B33994" w:rsidRPr="007D4126">
        <w:rPr>
          <w:rFonts w:ascii="Arial" w:hAnsi="Arial" w:cs="Arial"/>
        </w:rPr>
        <w:t xml:space="preserve">of the </w:t>
      </w:r>
      <w:r w:rsidR="008D0C97" w:rsidRPr="007D4126">
        <w:rPr>
          <w:rFonts w:ascii="Arial" w:hAnsi="Arial" w:cs="Arial"/>
        </w:rPr>
        <w:t xml:space="preserve">uneconomic to repair units.  In the five and a half years to March 2017, 80 homes have been reviewed as part of this process – with 36 homes which were not cost effective to bring up to current standards being sold.  </w:t>
      </w:r>
    </w:p>
    <w:p w:rsidR="003F75E3" w:rsidRPr="007D4126" w:rsidRDefault="003F75E3" w:rsidP="008E7419">
      <w:pPr>
        <w:ind w:left="720"/>
        <w:jc w:val="both"/>
        <w:rPr>
          <w:rFonts w:ascii="Arial" w:hAnsi="Arial" w:cs="Arial"/>
          <w:b/>
          <w:sz w:val="28"/>
        </w:rPr>
      </w:pPr>
    </w:p>
    <w:p w:rsidR="00E1346E" w:rsidRPr="007D4126" w:rsidRDefault="00E1346E" w:rsidP="00B85492">
      <w:pPr>
        <w:numPr>
          <w:ilvl w:val="0"/>
          <w:numId w:val="11"/>
        </w:numPr>
        <w:jc w:val="both"/>
        <w:rPr>
          <w:rFonts w:ascii="Arial" w:hAnsi="Arial" w:cs="Arial"/>
          <w:b/>
          <w:sz w:val="28"/>
        </w:rPr>
      </w:pPr>
      <w:r w:rsidRPr="007D4126">
        <w:rPr>
          <w:rFonts w:ascii="Arial" w:hAnsi="Arial" w:cs="Arial"/>
          <w:b/>
          <w:sz w:val="28"/>
        </w:rPr>
        <w:t>Value for money gains that have been made</w:t>
      </w:r>
      <w:r w:rsidR="00FF5B1B" w:rsidRPr="007D4126">
        <w:rPr>
          <w:rFonts w:ascii="Arial" w:hAnsi="Arial" w:cs="Arial"/>
          <w:b/>
          <w:sz w:val="28"/>
        </w:rPr>
        <w:t xml:space="preserve"> as a result of the </w:t>
      </w:r>
      <w:r w:rsidR="00B66A7E" w:rsidRPr="007D4126">
        <w:rPr>
          <w:rFonts w:ascii="Arial" w:hAnsi="Arial" w:cs="Arial"/>
          <w:b/>
          <w:sz w:val="28"/>
        </w:rPr>
        <w:t>20</w:t>
      </w:r>
      <w:r w:rsidR="00FF5B1B" w:rsidRPr="007D4126">
        <w:rPr>
          <w:rFonts w:ascii="Arial" w:hAnsi="Arial" w:cs="Arial"/>
          <w:b/>
          <w:sz w:val="28"/>
        </w:rPr>
        <w:t>14/17 VFM Strategy</w:t>
      </w:r>
    </w:p>
    <w:p w:rsidR="00B66A7E" w:rsidRPr="007D4126" w:rsidRDefault="00B66A7E" w:rsidP="00312E77">
      <w:pPr>
        <w:ind w:left="720"/>
        <w:jc w:val="both"/>
        <w:rPr>
          <w:rFonts w:ascii="Arial" w:hAnsi="Arial" w:cs="Arial"/>
        </w:rPr>
      </w:pPr>
    </w:p>
    <w:p w:rsidR="00B66A7E" w:rsidRPr="007D4126" w:rsidRDefault="00B85492" w:rsidP="00B66A7E">
      <w:pPr>
        <w:jc w:val="both"/>
        <w:rPr>
          <w:rFonts w:ascii="Arial" w:hAnsi="Arial" w:cs="Arial"/>
        </w:rPr>
      </w:pPr>
      <w:r>
        <w:rPr>
          <w:rFonts w:ascii="Arial" w:hAnsi="Arial" w:cs="Arial"/>
        </w:rPr>
        <w:t xml:space="preserve">9.1 </w:t>
      </w:r>
      <w:r w:rsidR="00B66A7E" w:rsidRPr="007D4126">
        <w:rPr>
          <w:rFonts w:ascii="Arial" w:hAnsi="Arial" w:cs="Arial"/>
        </w:rPr>
        <w:t xml:space="preserve">This report also reports on the final year of the 2014/17 VFM Strategy which the Board approved in May 2014, it focussed on six main areas </w:t>
      </w:r>
    </w:p>
    <w:p w:rsidR="00B66A7E" w:rsidRPr="007D4126" w:rsidRDefault="00B66A7E" w:rsidP="00B66A7E">
      <w:pPr>
        <w:jc w:val="both"/>
        <w:rPr>
          <w:rFonts w:ascii="Arial" w:hAnsi="Arial" w:cs="Arial"/>
        </w:rPr>
      </w:pPr>
      <w:r w:rsidRPr="007D4126">
        <w:rPr>
          <w:rFonts w:ascii="Arial" w:hAnsi="Arial" w:cs="Arial"/>
        </w:rPr>
        <w:lastRenderedPageBreak/>
        <w:t>•</w:t>
      </w:r>
      <w:r w:rsidRPr="007D4126">
        <w:rPr>
          <w:rFonts w:ascii="Arial" w:hAnsi="Arial" w:cs="Arial"/>
        </w:rPr>
        <w:tab/>
        <w:t>Responsive repairs and voids</w:t>
      </w:r>
    </w:p>
    <w:p w:rsidR="00B66A7E" w:rsidRPr="007D4126" w:rsidRDefault="00B66A7E" w:rsidP="00B66A7E">
      <w:pPr>
        <w:jc w:val="both"/>
        <w:rPr>
          <w:rFonts w:ascii="Arial" w:hAnsi="Arial" w:cs="Arial"/>
        </w:rPr>
      </w:pPr>
      <w:r w:rsidRPr="007D4126">
        <w:rPr>
          <w:rFonts w:ascii="Arial" w:hAnsi="Arial" w:cs="Arial"/>
        </w:rPr>
        <w:t>•</w:t>
      </w:r>
      <w:r w:rsidRPr="007D4126">
        <w:rPr>
          <w:rFonts w:ascii="Arial" w:hAnsi="Arial" w:cs="Arial"/>
        </w:rPr>
        <w:tab/>
        <w:t>New homes</w:t>
      </w:r>
    </w:p>
    <w:p w:rsidR="00B66A7E" w:rsidRPr="007D4126" w:rsidRDefault="00B66A7E" w:rsidP="00B66A7E">
      <w:pPr>
        <w:jc w:val="both"/>
        <w:rPr>
          <w:rFonts w:ascii="Arial" w:hAnsi="Arial" w:cs="Arial"/>
        </w:rPr>
      </w:pPr>
      <w:r w:rsidRPr="007D4126">
        <w:rPr>
          <w:rFonts w:ascii="Arial" w:hAnsi="Arial" w:cs="Arial"/>
        </w:rPr>
        <w:t>•</w:t>
      </w:r>
      <w:r w:rsidRPr="007D4126">
        <w:rPr>
          <w:rFonts w:ascii="Arial" w:hAnsi="Arial" w:cs="Arial"/>
        </w:rPr>
        <w:tab/>
        <w:t>Asset Management</w:t>
      </w:r>
    </w:p>
    <w:p w:rsidR="00B66A7E" w:rsidRPr="007D4126" w:rsidRDefault="00B66A7E" w:rsidP="00B66A7E">
      <w:pPr>
        <w:jc w:val="both"/>
        <w:rPr>
          <w:rFonts w:ascii="Arial" w:hAnsi="Arial" w:cs="Arial"/>
        </w:rPr>
      </w:pPr>
      <w:r w:rsidRPr="007D4126">
        <w:rPr>
          <w:rFonts w:ascii="Arial" w:hAnsi="Arial" w:cs="Arial"/>
        </w:rPr>
        <w:t>•</w:t>
      </w:r>
      <w:r w:rsidRPr="007D4126">
        <w:rPr>
          <w:rFonts w:ascii="Arial" w:hAnsi="Arial" w:cs="Arial"/>
        </w:rPr>
        <w:tab/>
        <w:t>Estate Services</w:t>
      </w:r>
    </w:p>
    <w:p w:rsidR="00B66A7E" w:rsidRPr="007D4126" w:rsidRDefault="00B66A7E" w:rsidP="00B66A7E">
      <w:pPr>
        <w:jc w:val="both"/>
        <w:rPr>
          <w:rFonts w:ascii="Arial" w:hAnsi="Arial" w:cs="Arial"/>
        </w:rPr>
      </w:pPr>
      <w:r w:rsidRPr="007D4126">
        <w:rPr>
          <w:rFonts w:ascii="Arial" w:hAnsi="Arial" w:cs="Arial"/>
        </w:rPr>
        <w:t>•</w:t>
      </w:r>
      <w:r w:rsidRPr="007D4126">
        <w:rPr>
          <w:rFonts w:ascii="Arial" w:hAnsi="Arial" w:cs="Arial"/>
        </w:rPr>
        <w:tab/>
        <w:t>Supported Housing Voids</w:t>
      </w:r>
    </w:p>
    <w:p w:rsidR="00B66A7E" w:rsidRPr="007D4126" w:rsidRDefault="00B66A7E" w:rsidP="00B66A7E">
      <w:pPr>
        <w:jc w:val="both"/>
        <w:rPr>
          <w:rFonts w:ascii="Arial" w:hAnsi="Arial" w:cs="Arial"/>
        </w:rPr>
      </w:pPr>
      <w:r w:rsidRPr="007D4126">
        <w:rPr>
          <w:rFonts w:ascii="Arial" w:hAnsi="Arial" w:cs="Arial"/>
        </w:rPr>
        <w:t>•</w:t>
      </w:r>
      <w:r w:rsidRPr="007D4126">
        <w:rPr>
          <w:rFonts w:ascii="Arial" w:hAnsi="Arial" w:cs="Arial"/>
        </w:rPr>
        <w:tab/>
        <w:t>Treasury Management</w:t>
      </w:r>
    </w:p>
    <w:p w:rsidR="00B66A7E" w:rsidRPr="007D4126" w:rsidRDefault="00B85492" w:rsidP="005A0205">
      <w:pPr>
        <w:spacing w:before="240"/>
        <w:jc w:val="both"/>
        <w:rPr>
          <w:rFonts w:ascii="Arial" w:hAnsi="Arial" w:cs="Arial"/>
        </w:rPr>
      </w:pPr>
      <w:r>
        <w:rPr>
          <w:rFonts w:ascii="Arial" w:hAnsi="Arial" w:cs="Arial"/>
        </w:rPr>
        <w:t xml:space="preserve">9.2 </w:t>
      </w:r>
      <w:r w:rsidR="00B66A7E" w:rsidRPr="007D4126">
        <w:rPr>
          <w:rFonts w:ascii="Arial" w:hAnsi="Arial" w:cs="Arial"/>
        </w:rPr>
        <w:t xml:space="preserve">45 measurable targets covering both quality (21) and costs/efficiency (24) were included in the strategy, which also includes actions to achieve the targets and to embed value for money throughout the organisation.   41 of these related to 2016/17 as not every target related to each year – for example, several were linked to Development Programmes that only applied for part of the 3 year strategy. </w:t>
      </w:r>
    </w:p>
    <w:p w:rsidR="00B66A7E" w:rsidRPr="007D4126" w:rsidRDefault="00B22010" w:rsidP="005A0205">
      <w:pPr>
        <w:spacing w:before="240"/>
        <w:jc w:val="center"/>
        <w:rPr>
          <w:rFonts w:ascii="Arial" w:hAnsi="Arial" w:cs="Arial"/>
        </w:rPr>
      </w:pPr>
      <w:r>
        <w:rPr>
          <w:rFonts w:ascii="Arial" w:hAnsi="Arial" w:cs="Arial"/>
          <w:noProof/>
          <w:lang w:val="en-GB" w:eastAsia="en-GB"/>
        </w:rPr>
        <w:drawing>
          <wp:inline distT="0" distB="0" distL="0" distR="0" wp14:anchorId="6231A388">
            <wp:extent cx="5736155" cy="3448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9195" cy="3455889"/>
                    </a:xfrm>
                    <a:prstGeom prst="rect">
                      <a:avLst/>
                    </a:prstGeom>
                    <a:noFill/>
                  </pic:spPr>
                </pic:pic>
              </a:graphicData>
            </a:graphic>
          </wp:inline>
        </w:drawing>
      </w:r>
    </w:p>
    <w:p w:rsidR="00B66A7E" w:rsidRPr="007D4126" w:rsidRDefault="00B66A7E" w:rsidP="00B66A7E">
      <w:pPr>
        <w:jc w:val="both"/>
        <w:rPr>
          <w:rFonts w:ascii="Arial" w:hAnsi="Arial" w:cs="Arial"/>
        </w:rPr>
      </w:pPr>
      <w:r w:rsidRPr="007D4126">
        <w:rPr>
          <w:rFonts w:ascii="Arial" w:hAnsi="Arial" w:cs="Arial"/>
        </w:rPr>
        <w:t xml:space="preserve"> </w:t>
      </w:r>
    </w:p>
    <w:p w:rsidR="00B66A7E" w:rsidRPr="007D4126" w:rsidRDefault="00B85492" w:rsidP="00B66A7E">
      <w:pPr>
        <w:jc w:val="both"/>
        <w:rPr>
          <w:rFonts w:ascii="Arial" w:hAnsi="Arial" w:cs="Arial"/>
        </w:rPr>
      </w:pPr>
      <w:r>
        <w:rPr>
          <w:rFonts w:ascii="Arial" w:hAnsi="Arial" w:cs="Arial"/>
        </w:rPr>
        <w:lastRenderedPageBreak/>
        <w:t xml:space="preserve">9.3 </w:t>
      </w:r>
      <w:r w:rsidR="00174DB2" w:rsidRPr="007D4126">
        <w:rPr>
          <w:rFonts w:ascii="Arial" w:hAnsi="Arial" w:cs="Arial"/>
        </w:rPr>
        <w:t xml:space="preserve">42% (19) were achieved in either 2017 or the final year to which they related. 20% (9) were not met but saw some improvement during the strategy, this included targets which with hindsight were over-ambitious – the target for no homes to have a SAP rating of less than 65 (excluding residents who refuse work) falls into this category.  A more realistic, longer-term target has been which we are on course to meet.  These issues were reflected on in our changes to the approach to VFM from 2017.  A further 13% (6) of targets were not met – some of this group </w:t>
      </w:r>
      <w:r w:rsidR="00B66A7E" w:rsidRPr="007D4126">
        <w:rPr>
          <w:rFonts w:ascii="Arial" w:hAnsi="Arial" w:cs="Arial"/>
        </w:rPr>
        <w:t>were overtaken by events – such as those relating to cost per square metre for new homes where the market changed over the three years and what seemed a realistic target at the start of the strategy was no longer the case three years later</w:t>
      </w:r>
      <w:r w:rsidR="00174DB2" w:rsidRPr="007D4126">
        <w:rPr>
          <w:rFonts w:ascii="Arial" w:hAnsi="Arial" w:cs="Arial"/>
        </w:rPr>
        <w:t>.</w:t>
      </w:r>
      <w:r w:rsidR="00B66A7E" w:rsidRPr="007D4126">
        <w:rPr>
          <w:rFonts w:ascii="Arial" w:hAnsi="Arial" w:cs="Arial"/>
        </w:rPr>
        <w:t xml:space="preserve"> </w:t>
      </w:r>
    </w:p>
    <w:p w:rsidR="00995932" w:rsidRPr="007D4126" w:rsidRDefault="00995932" w:rsidP="005A0205">
      <w:pPr>
        <w:jc w:val="both"/>
        <w:rPr>
          <w:rFonts w:ascii="Arial" w:hAnsi="Arial" w:cs="Arial"/>
        </w:rPr>
      </w:pPr>
    </w:p>
    <w:p w:rsidR="00B66A7E" w:rsidRDefault="00B85492" w:rsidP="005A0205">
      <w:pPr>
        <w:jc w:val="both"/>
        <w:rPr>
          <w:rFonts w:ascii="Arial" w:hAnsi="Arial" w:cs="Arial"/>
        </w:rPr>
      </w:pPr>
      <w:r>
        <w:rPr>
          <w:rFonts w:ascii="Arial" w:hAnsi="Arial" w:cs="Arial"/>
        </w:rPr>
        <w:t xml:space="preserve">9.4 </w:t>
      </w:r>
      <w:r w:rsidR="00B66A7E" w:rsidRPr="007D4126">
        <w:rPr>
          <w:rFonts w:ascii="Arial" w:hAnsi="Arial" w:cs="Arial"/>
        </w:rPr>
        <w:t>Of the eleven sets of missing data</w:t>
      </w:r>
      <w:r w:rsidR="00174DB2" w:rsidRPr="007D4126">
        <w:rPr>
          <w:rFonts w:ascii="Arial" w:hAnsi="Arial" w:cs="Arial"/>
        </w:rPr>
        <w:t xml:space="preserve"> (25% of the chart)</w:t>
      </w:r>
      <w:r w:rsidR="00B66A7E" w:rsidRPr="007D4126">
        <w:rPr>
          <w:rFonts w:ascii="Arial" w:hAnsi="Arial" w:cs="Arial"/>
        </w:rPr>
        <w:t xml:space="preserve">, most of these relate to the time-lag in availability of 2016/17 </w:t>
      </w:r>
      <w:proofErr w:type="spellStart"/>
      <w:r w:rsidR="00B66A7E" w:rsidRPr="007D4126">
        <w:rPr>
          <w:rFonts w:ascii="Arial" w:hAnsi="Arial" w:cs="Arial"/>
        </w:rPr>
        <w:t>HouseMark</w:t>
      </w:r>
      <w:proofErr w:type="spellEnd"/>
      <w:r w:rsidR="00B66A7E" w:rsidRPr="007D4126">
        <w:rPr>
          <w:rFonts w:ascii="Arial" w:hAnsi="Arial" w:cs="Arial"/>
        </w:rPr>
        <w:t xml:space="preserve"> data, although there have been a small number where there was insufficient data to produce meaningful results – an example of this was satisfaction levels with New Homes.  </w:t>
      </w:r>
    </w:p>
    <w:p w:rsidR="00FF67C5" w:rsidRDefault="00FF67C5" w:rsidP="005A0205">
      <w:pPr>
        <w:jc w:val="both"/>
        <w:rPr>
          <w:rFonts w:ascii="Arial" w:hAnsi="Arial" w:cs="Arial"/>
        </w:rPr>
      </w:pPr>
    </w:p>
    <w:p w:rsidR="00FF67C5" w:rsidRDefault="00FF67C5" w:rsidP="005A0205">
      <w:pPr>
        <w:jc w:val="both"/>
        <w:rPr>
          <w:rFonts w:ascii="Arial" w:hAnsi="Arial" w:cs="Arial"/>
        </w:rPr>
      </w:pPr>
    </w:p>
    <w:p w:rsidR="00FF67C5" w:rsidRDefault="00FF67C5" w:rsidP="005A0205">
      <w:pPr>
        <w:jc w:val="both"/>
        <w:rPr>
          <w:rFonts w:ascii="Arial" w:hAnsi="Arial" w:cs="Arial"/>
        </w:rPr>
      </w:pPr>
    </w:p>
    <w:p w:rsidR="00FF67C5" w:rsidRDefault="00FF67C5" w:rsidP="005A0205">
      <w:pPr>
        <w:jc w:val="both"/>
        <w:rPr>
          <w:rFonts w:ascii="Arial" w:hAnsi="Arial" w:cs="Arial"/>
        </w:rPr>
      </w:pPr>
    </w:p>
    <w:p w:rsidR="00FF67C5" w:rsidRDefault="00FF67C5" w:rsidP="005A0205">
      <w:pPr>
        <w:jc w:val="both"/>
        <w:rPr>
          <w:rFonts w:ascii="Arial" w:hAnsi="Arial" w:cs="Arial"/>
        </w:rPr>
      </w:pPr>
    </w:p>
    <w:p w:rsidR="00FF67C5" w:rsidRDefault="00FF67C5" w:rsidP="005A0205">
      <w:pPr>
        <w:jc w:val="both"/>
        <w:rPr>
          <w:rFonts w:ascii="Arial" w:hAnsi="Arial" w:cs="Arial"/>
        </w:rPr>
      </w:pPr>
    </w:p>
    <w:p w:rsidR="00FF67C5" w:rsidRDefault="00FF67C5" w:rsidP="005A0205">
      <w:pPr>
        <w:jc w:val="both"/>
        <w:rPr>
          <w:rFonts w:ascii="Arial" w:hAnsi="Arial" w:cs="Arial"/>
        </w:rPr>
      </w:pPr>
    </w:p>
    <w:p w:rsidR="00FF67C5" w:rsidRDefault="00FF67C5" w:rsidP="005A0205">
      <w:pPr>
        <w:jc w:val="both"/>
        <w:rPr>
          <w:rFonts w:ascii="Arial" w:hAnsi="Arial" w:cs="Arial"/>
        </w:rPr>
      </w:pPr>
    </w:p>
    <w:p w:rsidR="00FF67C5" w:rsidRDefault="00FF67C5" w:rsidP="005A0205">
      <w:pPr>
        <w:jc w:val="both"/>
        <w:rPr>
          <w:rFonts w:ascii="Arial" w:hAnsi="Arial" w:cs="Arial"/>
        </w:rPr>
      </w:pPr>
    </w:p>
    <w:p w:rsidR="00FF67C5" w:rsidRDefault="00FF67C5" w:rsidP="005A0205">
      <w:pPr>
        <w:jc w:val="both"/>
        <w:rPr>
          <w:rFonts w:ascii="Arial" w:hAnsi="Arial" w:cs="Arial"/>
        </w:rPr>
      </w:pPr>
    </w:p>
    <w:p w:rsidR="00B22010" w:rsidRDefault="00B22010" w:rsidP="005A0205">
      <w:pPr>
        <w:jc w:val="both"/>
        <w:rPr>
          <w:rFonts w:ascii="Arial" w:hAnsi="Arial" w:cs="Arial"/>
        </w:rPr>
      </w:pPr>
    </w:p>
    <w:p w:rsidR="00FF67C5" w:rsidRDefault="00FF67C5" w:rsidP="005A0205">
      <w:pPr>
        <w:jc w:val="both"/>
        <w:rPr>
          <w:rFonts w:ascii="Arial" w:hAnsi="Arial" w:cs="Arial"/>
        </w:rPr>
      </w:pPr>
    </w:p>
    <w:p w:rsidR="00FF67C5" w:rsidRDefault="00FF67C5" w:rsidP="005A0205">
      <w:pPr>
        <w:jc w:val="both"/>
        <w:rPr>
          <w:rFonts w:ascii="Arial" w:hAnsi="Arial" w:cs="Arial"/>
        </w:rPr>
      </w:pPr>
    </w:p>
    <w:p w:rsidR="00FF67C5" w:rsidRDefault="00FF67C5" w:rsidP="005A0205">
      <w:pPr>
        <w:jc w:val="both"/>
        <w:rPr>
          <w:rFonts w:ascii="Arial" w:hAnsi="Arial" w:cs="Arial"/>
        </w:rPr>
      </w:pPr>
    </w:p>
    <w:p w:rsidR="00FF67C5" w:rsidRDefault="00FF67C5" w:rsidP="005A0205">
      <w:pPr>
        <w:jc w:val="both"/>
        <w:rPr>
          <w:rFonts w:ascii="Arial" w:hAnsi="Arial" w:cs="Arial"/>
        </w:rPr>
      </w:pPr>
    </w:p>
    <w:p w:rsidR="00FF67C5" w:rsidRDefault="00FF67C5" w:rsidP="005A0205">
      <w:pPr>
        <w:jc w:val="both"/>
        <w:rPr>
          <w:rFonts w:ascii="Arial" w:hAnsi="Arial" w:cs="Arial"/>
        </w:rPr>
      </w:pPr>
    </w:p>
    <w:p w:rsidR="00FF67C5" w:rsidRDefault="00FF67C5" w:rsidP="005A0205">
      <w:pPr>
        <w:jc w:val="both"/>
        <w:rPr>
          <w:rFonts w:ascii="Arial" w:hAnsi="Arial" w:cs="Arial"/>
        </w:rPr>
      </w:pPr>
    </w:p>
    <w:p w:rsidR="00FF67C5" w:rsidRDefault="00FF67C5" w:rsidP="005A0205">
      <w:pPr>
        <w:jc w:val="both"/>
        <w:rPr>
          <w:rFonts w:ascii="Arial" w:hAnsi="Arial" w:cs="Arial"/>
        </w:rPr>
      </w:pPr>
    </w:p>
    <w:p w:rsidR="00FF67C5" w:rsidRPr="007D4126" w:rsidRDefault="00FF67C5" w:rsidP="005A0205">
      <w:pPr>
        <w:jc w:val="both"/>
        <w:rPr>
          <w:rFonts w:ascii="Arial" w:hAnsi="Arial" w:cs="Arial"/>
        </w:rPr>
      </w:pPr>
    </w:p>
    <w:p w:rsidR="008E3A5F" w:rsidRPr="007D4126" w:rsidRDefault="008E3A5F" w:rsidP="00264B95">
      <w:pPr>
        <w:jc w:val="both"/>
        <w:rPr>
          <w:rFonts w:ascii="Arial" w:hAnsi="Arial" w:cs="Arial"/>
          <w:highlight w:val="yellow"/>
        </w:rPr>
      </w:pPr>
    </w:p>
    <w:p w:rsidR="00B33994" w:rsidRPr="007D4126" w:rsidRDefault="00B33994" w:rsidP="00B33994">
      <w:pPr>
        <w:spacing w:after="200" w:line="276" w:lineRule="auto"/>
        <w:rPr>
          <w:rFonts w:ascii="Arial" w:eastAsiaTheme="minorHAnsi" w:hAnsi="Arial" w:cs="Arial"/>
          <w:sz w:val="22"/>
          <w:szCs w:val="22"/>
          <w:lang w:val="en-GB"/>
        </w:rPr>
      </w:pPr>
    </w:p>
    <w:tbl>
      <w:tblPr>
        <w:tblStyle w:val="TableGrid3"/>
        <w:tblW w:w="0" w:type="auto"/>
        <w:tblLook w:val="04A0" w:firstRow="1" w:lastRow="0" w:firstColumn="1" w:lastColumn="0" w:noHBand="0" w:noVBand="1"/>
      </w:tblPr>
      <w:tblGrid>
        <w:gridCol w:w="14992"/>
      </w:tblGrid>
      <w:tr w:rsidR="00B33994" w:rsidRPr="007D4126" w:rsidTr="005A0205">
        <w:tc>
          <w:tcPr>
            <w:tcW w:w="14992" w:type="dxa"/>
          </w:tcPr>
          <w:p w:rsidR="00B33994" w:rsidRPr="007D4126" w:rsidRDefault="00B33994" w:rsidP="00B33994">
            <w:pPr>
              <w:rPr>
                <w:rFonts w:ascii="Arial" w:hAnsi="Arial" w:cs="Arial"/>
                <w:sz w:val="32"/>
                <w:lang w:val="en-GB"/>
              </w:rPr>
            </w:pPr>
            <w:r w:rsidRPr="007D4126">
              <w:rPr>
                <w:rFonts w:ascii="Arial" w:hAnsi="Arial" w:cs="Arial"/>
                <w:sz w:val="32"/>
                <w:lang w:val="en-GB"/>
              </w:rPr>
              <w:lastRenderedPageBreak/>
              <w:t>Love London Working – A Case Study</w:t>
            </w:r>
          </w:p>
          <w:p w:rsidR="00B33994" w:rsidRPr="007D4126" w:rsidRDefault="00B33994" w:rsidP="00FF67C5">
            <w:pPr>
              <w:rPr>
                <w:rFonts w:ascii="Arial" w:hAnsi="Arial" w:cs="Arial"/>
                <w:lang w:val="en-GB"/>
              </w:rPr>
            </w:pPr>
            <w:r w:rsidRPr="007D4126">
              <w:rPr>
                <w:rFonts w:ascii="Arial" w:hAnsi="Arial" w:cs="Arial"/>
                <w:lang w:val="en-GB"/>
              </w:rPr>
              <w:t xml:space="preserve">Hexagon is working with 16 other housing associations on a three year pan-London European Social Fund (ESF) funded project which is enhancing our business start-up and employment support work.  It is helping Hexagon residents and others in the communities that we work with into employment through a variety of methods – including help to write CVs, interview practice, help with looking for work, placements within the Association and help with business start-ups.  </w:t>
            </w:r>
            <w:r w:rsidR="00D76EDF">
              <w:rPr>
                <w:rFonts w:ascii="Arial" w:hAnsi="Arial" w:cs="Arial"/>
                <w:lang w:val="en-GB"/>
              </w:rPr>
              <w:t>T</w:t>
            </w:r>
            <w:r w:rsidRPr="007D4126">
              <w:rPr>
                <w:rFonts w:ascii="Arial" w:hAnsi="Arial" w:cs="Arial"/>
                <w:lang w:val="en-GB"/>
              </w:rPr>
              <w:t xml:space="preserve">he financial input from Hexagon is not significantly more than we would have committed to this sort of work anyway but we have been able to considerably expand the level of our operation. </w:t>
            </w:r>
          </w:p>
          <w:p w:rsidR="00B33994" w:rsidRPr="007D4126" w:rsidRDefault="00B33994" w:rsidP="00B33994">
            <w:pPr>
              <w:spacing w:before="240"/>
              <w:rPr>
                <w:rFonts w:ascii="Arial" w:hAnsi="Arial" w:cs="Arial"/>
                <w:lang w:val="en-GB"/>
              </w:rPr>
            </w:pPr>
            <w:r w:rsidRPr="007D4126">
              <w:rPr>
                <w:rFonts w:ascii="Arial" w:hAnsi="Arial" w:cs="Arial"/>
                <w:lang w:val="en-GB"/>
              </w:rPr>
              <w:t>In numbers during 2016/17:</w:t>
            </w:r>
          </w:p>
          <w:p w:rsidR="00B33994" w:rsidRPr="007D4126" w:rsidRDefault="00B33994" w:rsidP="00B85492">
            <w:pPr>
              <w:numPr>
                <w:ilvl w:val="0"/>
                <w:numId w:val="8"/>
              </w:numPr>
              <w:contextualSpacing/>
              <w:rPr>
                <w:rFonts w:ascii="Arial" w:hAnsi="Arial" w:cs="Arial"/>
                <w:lang w:val="en-GB"/>
              </w:rPr>
            </w:pPr>
            <w:r w:rsidRPr="007D4126">
              <w:rPr>
                <w:rFonts w:ascii="Arial" w:hAnsi="Arial" w:cs="Arial"/>
                <w:lang w:val="en-GB"/>
              </w:rPr>
              <w:t>Hexagon had a budget of £89</w:t>
            </w:r>
            <w:r w:rsidR="009E4611" w:rsidRPr="007D4126">
              <w:rPr>
                <w:rFonts w:ascii="Arial" w:hAnsi="Arial" w:cs="Arial"/>
                <w:lang w:val="en-GB"/>
              </w:rPr>
              <w:t>,</w:t>
            </w:r>
            <w:r w:rsidRPr="007D4126">
              <w:rPr>
                <w:rFonts w:ascii="Arial" w:hAnsi="Arial" w:cs="Arial"/>
                <w:lang w:val="en-GB"/>
              </w:rPr>
              <w:t>180 for Love London Working;</w:t>
            </w:r>
          </w:p>
          <w:p w:rsidR="00B33994" w:rsidRPr="007D4126" w:rsidRDefault="00B33994" w:rsidP="00B85492">
            <w:pPr>
              <w:numPr>
                <w:ilvl w:val="0"/>
                <w:numId w:val="8"/>
              </w:numPr>
              <w:contextualSpacing/>
              <w:rPr>
                <w:rFonts w:ascii="Arial" w:hAnsi="Arial" w:cs="Arial"/>
                <w:lang w:val="en-GB"/>
              </w:rPr>
            </w:pPr>
            <w:r w:rsidRPr="007D4126">
              <w:rPr>
                <w:rFonts w:ascii="Arial" w:hAnsi="Arial" w:cs="Arial"/>
                <w:lang w:val="en-GB"/>
              </w:rPr>
              <w:t>We secured £44</w:t>
            </w:r>
            <w:r w:rsidR="009E4611" w:rsidRPr="007D4126">
              <w:rPr>
                <w:rFonts w:ascii="Arial" w:hAnsi="Arial" w:cs="Arial"/>
                <w:lang w:val="en-GB"/>
              </w:rPr>
              <w:t>,</w:t>
            </w:r>
            <w:r w:rsidRPr="007D4126">
              <w:rPr>
                <w:rFonts w:ascii="Arial" w:hAnsi="Arial" w:cs="Arial"/>
                <w:lang w:val="en-GB"/>
              </w:rPr>
              <w:t>590 grant income which made up 50% of the budget;</w:t>
            </w:r>
          </w:p>
          <w:p w:rsidR="00B33994" w:rsidRPr="007D4126" w:rsidRDefault="00B33994" w:rsidP="00B85492">
            <w:pPr>
              <w:numPr>
                <w:ilvl w:val="0"/>
                <w:numId w:val="8"/>
              </w:numPr>
              <w:contextualSpacing/>
              <w:rPr>
                <w:rFonts w:ascii="Arial" w:hAnsi="Arial" w:cs="Arial"/>
                <w:lang w:val="en-GB"/>
              </w:rPr>
            </w:pPr>
            <w:r w:rsidRPr="007D4126">
              <w:rPr>
                <w:rFonts w:ascii="Arial" w:hAnsi="Arial" w:cs="Arial"/>
                <w:lang w:val="en-GB"/>
              </w:rPr>
              <w:t>We generated £546</w:t>
            </w:r>
            <w:r w:rsidR="009E4611" w:rsidRPr="007D4126">
              <w:rPr>
                <w:rFonts w:ascii="Arial" w:hAnsi="Arial" w:cs="Arial"/>
                <w:lang w:val="en-GB"/>
              </w:rPr>
              <w:t>,</w:t>
            </w:r>
            <w:r w:rsidRPr="007D4126">
              <w:rPr>
                <w:rFonts w:ascii="Arial" w:hAnsi="Arial" w:cs="Arial"/>
                <w:lang w:val="en-GB"/>
              </w:rPr>
              <w:t>308 in social value; and</w:t>
            </w:r>
          </w:p>
          <w:p w:rsidR="00B33994" w:rsidRPr="007D4126" w:rsidRDefault="00B33994" w:rsidP="00B85492">
            <w:pPr>
              <w:numPr>
                <w:ilvl w:val="0"/>
                <w:numId w:val="8"/>
              </w:numPr>
              <w:contextualSpacing/>
              <w:rPr>
                <w:rFonts w:ascii="Arial" w:hAnsi="Arial" w:cs="Arial"/>
                <w:lang w:val="en-GB"/>
              </w:rPr>
            </w:pPr>
            <w:r w:rsidRPr="007D4126">
              <w:rPr>
                <w:rFonts w:ascii="Arial" w:hAnsi="Arial" w:cs="Arial"/>
                <w:lang w:val="en-GB"/>
              </w:rPr>
              <w:t>That means for every £1 we spent, we generated £6.13 of social value.</w:t>
            </w:r>
          </w:p>
          <w:p w:rsidR="00FF67C5" w:rsidRPr="00FF67C5" w:rsidRDefault="00FF67C5" w:rsidP="00FF67C5">
            <w:pPr>
              <w:pStyle w:val="NormalWeb"/>
              <w:jc w:val="both"/>
              <w:rPr>
                <w:rFonts w:ascii="Arial" w:hAnsi="Arial" w:cs="Arial"/>
                <w:b/>
              </w:rPr>
            </w:pPr>
            <w:r w:rsidRPr="00FF67C5">
              <w:rPr>
                <w:rFonts w:ascii="Arial" w:hAnsi="Arial" w:cs="Arial"/>
                <w:b/>
              </w:rPr>
              <w:t>Eric’s Story</w:t>
            </w:r>
          </w:p>
          <w:p w:rsidR="00FF67C5" w:rsidRPr="00FF67C5" w:rsidRDefault="00FF67C5" w:rsidP="00FF67C5">
            <w:pPr>
              <w:spacing w:before="240"/>
              <w:rPr>
                <w:rFonts w:ascii="Arial" w:hAnsi="Arial" w:cs="Arial"/>
              </w:rPr>
            </w:pPr>
            <w:r>
              <w:rPr>
                <w:rFonts w:ascii="Arial" w:hAnsi="Arial" w:cs="Arial"/>
                <w:lang w:val="en-GB"/>
              </w:rPr>
              <w:t xml:space="preserve">Numbers don’t give the full picture </w:t>
            </w:r>
            <w:r w:rsidR="001602AE">
              <w:rPr>
                <w:rFonts w:ascii="Arial" w:hAnsi="Arial" w:cs="Arial"/>
                <w:lang w:val="en-GB"/>
              </w:rPr>
              <w:t>though;</w:t>
            </w:r>
            <w:r>
              <w:rPr>
                <w:rFonts w:ascii="Arial" w:hAnsi="Arial" w:cs="Arial"/>
                <w:lang w:val="en-GB"/>
              </w:rPr>
              <w:t xml:space="preserve"> Eric’s story shows how much difference our input can make. </w:t>
            </w:r>
            <w:r w:rsidRPr="00FF67C5">
              <w:rPr>
                <w:rFonts w:ascii="Arial" w:hAnsi="Arial" w:cs="Arial"/>
              </w:rPr>
              <w:t>We ‘met’ Eric at a local Food Bank</w:t>
            </w:r>
            <w:r w:rsidR="00D76EDF">
              <w:rPr>
                <w:rFonts w:ascii="Arial" w:hAnsi="Arial" w:cs="Arial"/>
              </w:rPr>
              <w:t>.</w:t>
            </w:r>
            <w:r w:rsidRPr="00FF67C5">
              <w:rPr>
                <w:rFonts w:ascii="Arial" w:hAnsi="Arial" w:cs="Arial"/>
              </w:rPr>
              <w:t xml:space="preserve"> </w:t>
            </w:r>
            <w:r w:rsidR="00D76EDF">
              <w:rPr>
                <w:rFonts w:ascii="Arial" w:hAnsi="Arial" w:cs="Arial"/>
              </w:rPr>
              <w:t>H</w:t>
            </w:r>
            <w:r w:rsidRPr="00FF67C5">
              <w:rPr>
                <w:rFonts w:ascii="Arial" w:hAnsi="Arial" w:cs="Arial"/>
              </w:rPr>
              <w:t>e was recovering from alcohol abuse and a recent stint of homelessness but was still ‘sofa surfing.’ He lacked the confidence and skills to make successful job applications for customer service roles within supermarkets which he was looking for. Eric also lacked basic IT skills and suitable clothes for interviews.  Directly or through referrals to partner agencies we helped Eric</w:t>
            </w:r>
            <w:r w:rsidR="00D76EDF">
              <w:rPr>
                <w:rFonts w:ascii="Arial" w:hAnsi="Arial" w:cs="Arial"/>
              </w:rPr>
              <w:t>:</w:t>
            </w:r>
          </w:p>
          <w:p w:rsidR="00FF67C5" w:rsidRPr="00FF67C5" w:rsidRDefault="00FF67C5" w:rsidP="00B85492">
            <w:pPr>
              <w:pStyle w:val="NormalWeb"/>
              <w:numPr>
                <w:ilvl w:val="0"/>
                <w:numId w:val="10"/>
              </w:numPr>
              <w:jc w:val="both"/>
              <w:rPr>
                <w:rFonts w:ascii="Arial" w:hAnsi="Arial" w:cs="Arial"/>
              </w:rPr>
            </w:pPr>
            <w:r w:rsidRPr="00FF67C5">
              <w:rPr>
                <w:rFonts w:ascii="Arial" w:hAnsi="Arial" w:cs="Arial"/>
              </w:rPr>
              <w:t>Compile a tailored CV and cover letter;</w:t>
            </w:r>
          </w:p>
          <w:p w:rsidR="00FF67C5" w:rsidRPr="00FF67C5" w:rsidRDefault="00FF67C5" w:rsidP="00B85492">
            <w:pPr>
              <w:pStyle w:val="NormalWeb"/>
              <w:numPr>
                <w:ilvl w:val="0"/>
                <w:numId w:val="10"/>
              </w:numPr>
              <w:jc w:val="both"/>
              <w:rPr>
                <w:rFonts w:ascii="Arial" w:hAnsi="Arial" w:cs="Arial"/>
              </w:rPr>
            </w:pPr>
            <w:r w:rsidRPr="00FF67C5">
              <w:rPr>
                <w:rFonts w:ascii="Arial" w:hAnsi="Arial" w:cs="Arial"/>
              </w:rPr>
              <w:t>Gain basic IT skills so that he could send e mails and attach his CV &amp; search on-line for jobs;</w:t>
            </w:r>
          </w:p>
          <w:p w:rsidR="00FF67C5" w:rsidRPr="00FF67C5" w:rsidRDefault="00FF67C5" w:rsidP="00B85492">
            <w:pPr>
              <w:pStyle w:val="NormalWeb"/>
              <w:numPr>
                <w:ilvl w:val="0"/>
                <w:numId w:val="10"/>
              </w:numPr>
              <w:jc w:val="both"/>
              <w:rPr>
                <w:rFonts w:ascii="Arial" w:hAnsi="Arial" w:cs="Arial"/>
              </w:rPr>
            </w:pPr>
            <w:r w:rsidRPr="00FF67C5">
              <w:rPr>
                <w:rFonts w:ascii="Arial" w:hAnsi="Arial" w:cs="Arial"/>
              </w:rPr>
              <w:t>With mock-interviews;</w:t>
            </w:r>
            <w:r w:rsidR="001602AE">
              <w:rPr>
                <w:rFonts w:ascii="Arial" w:hAnsi="Arial" w:cs="Arial"/>
              </w:rPr>
              <w:t xml:space="preserve"> and </w:t>
            </w:r>
          </w:p>
          <w:p w:rsidR="00FF67C5" w:rsidRPr="00FF67C5" w:rsidRDefault="00FF67C5" w:rsidP="00B85492">
            <w:pPr>
              <w:pStyle w:val="NormalWeb"/>
              <w:numPr>
                <w:ilvl w:val="0"/>
                <w:numId w:val="10"/>
              </w:numPr>
              <w:jc w:val="both"/>
              <w:rPr>
                <w:rFonts w:ascii="Arial" w:hAnsi="Arial" w:cs="Arial"/>
              </w:rPr>
            </w:pPr>
            <w:r w:rsidRPr="00FF67C5">
              <w:rPr>
                <w:rFonts w:ascii="Arial" w:hAnsi="Arial" w:cs="Arial"/>
              </w:rPr>
              <w:t>Getting suitable interview attire.</w:t>
            </w:r>
          </w:p>
          <w:p w:rsidR="00FF67C5" w:rsidRPr="00FF67C5" w:rsidRDefault="00FF67C5" w:rsidP="00FF67C5">
            <w:pPr>
              <w:pStyle w:val="NormalWeb"/>
              <w:jc w:val="both"/>
              <w:rPr>
                <w:rFonts w:ascii="Arial" w:hAnsi="Arial" w:cs="Arial"/>
              </w:rPr>
            </w:pPr>
            <w:r w:rsidRPr="00FF67C5">
              <w:rPr>
                <w:rFonts w:ascii="Arial" w:hAnsi="Arial" w:cs="Arial"/>
              </w:rPr>
              <w:t>Within a few weeks Eric got two part-time jobs with supermarkets totall</w:t>
            </w:r>
            <w:r w:rsidR="00D76EDF">
              <w:rPr>
                <w:rFonts w:ascii="Arial" w:hAnsi="Arial" w:cs="Arial"/>
              </w:rPr>
              <w:t>ing</w:t>
            </w:r>
            <w:r w:rsidRPr="00FF67C5">
              <w:rPr>
                <w:rFonts w:ascii="Arial" w:hAnsi="Arial" w:cs="Arial"/>
              </w:rPr>
              <w:t xml:space="preserve"> 40 hours work a week. We continued to support him through the transitional period between benefits and his first wage packet.  He was offered a local authority flat, but was worried that he </w:t>
            </w:r>
            <w:r w:rsidR="001602AE">
              <w:rPr>
                <w:rFonts w:ascii="Arial" w:hAnsi="Arial" w:cs="Arial"/>
              </w:rPr>
              <w:t>would</w:t>
            </w:r>
            <w:r w:rsidRPr="00FF67C5">
              <w:rPr>
                <w:rFonts w:ascii="Arial" w:hAnsi="Arial" w:cs="Arial"/>
              </w:rPr>
              <w:t xml:space="preserve"> need to take on another job to furnish it – </w:t>
            </w:r>
            <w:r w:rsidR="00D76EDF">
              <w:rPr>
                <w:rFonts w:ascii="Arial" w:hAnsi="Arial" w:cs="Arial"/>
              </w:rPr>
              <w:t xml:space="preserve">so </w:t>
            </w:r>
            <w:r w:rsidRPr="00FF67C5">
              <w:rPr>
                <w:rFonts w:ascii="Arial" w:hAnsi="Arial" w:cs="Arial"/>
              </w:rPr>
              <w:t xml:space="preserve">we helped Eric apply to a charity </w:t>
            </w:r>
            <w:r w:rsidR="00D76EDF">
              <w:rPr>
                <w:rFonts w:ascii="Arial" w:hAnsi="Arial" w:cs="Arial"/>
              </w:rPr>
              <w:t>so that he could</w:t>
            </w:r>
            <w:r w:rsidRPr="00FF67C5">
              <w:rPr>
                <w:rFonts w:ascii="Arial" w:hAnsi="Arial" w:cs="Arial"/>
              </w:rPr>
              <w:t xml:space="preserve"> buy furniture. </w:t>
            </w:r>
          </w:p>
          <w:p w:rsidR="00FF67C5" w:rsidRPr="00FF67C5" w:rsidRDefault="00FF67C5" w:rsidP="00FF67C5">
            <w:pPr>
              <w:pStyle w:val="NormalWeb"/>
              <w:jc w:val="both"/>
              <w:rPr>
                <w:rFonts w:ascii="Trebuchet MS" w:hAnsi="Trebuchet MS"/>
                <w:sz w:val="22"/>
              </w:rPr>
            </w:pPr>
            <w:r w:rsidRPr="00FF67C5">
              <w:rPr>
                <w:rFonts w:ascii="Arial" w:hAnsi="Arial" w:cs="Arial"/>
              </w:rPr>
              <w:t>A year on from the first meeting with Eric</w:t>
            </w:r>
            <w:r w:rsidR="001602AE">
              <w:rPr>
                <w:rFonts w:ascii="Arial" w:hAnsi="Arial" w:cs="Arial"/>
              </w:rPr>
              <w:t>,</w:t>
            </w:r>
            <w:r w:rsidRPr="00FF67C5">
              <w:rPr>
                <w:rFonts w:ascii="Arial" w:hAnsi="Arial" w:cs="Arial"/>
              </w:rPr>
              <w:t xml:space="preserve"> he is still working for Iceland and Sainsbury’s and is very happy living in his fully furnished flat.  He is very excited and proud that he has booked and paid for his first holiday in 20 years.  Eric will be visiting old friends and family members in Jamaica in January 2018!</w:t>
            </w:r>
          </w:p>
        </w:tc>
      </w:tr>
    </w:tbl>
    <w:p w:rsidR="00B33994" w:rsidRPr="007D4126" w:rsidRDefault="00B33994" w:rsidP="00B33994">
      <w:pPr>
        <w:spacing w:after="200" w:line="276" w:lineRule="auto"/>
        <w:rPr>
          <w:rFonts w:ascii="Arial" w:eastAsiaTheme="minorHAnsi" w:hAnsi="Arial" w:cs="Arial"/>
          <w:sz w:val="22"/>
          <w:szCs w:val="22"/>
          <w:lang w:val="en-GB"/>
        </w:rPr>
      </w:pPr>
    </w:p>
    <w:p w:rsidR="00454DA5" w:rsidRPr="007D4126" w:rsidRDefault="00454DA5" w:rsidP="00264B95">
      <w:pPr>
        <w:jc w:val="both"/>
        <w:rPr>
          <w:rFonts w:ascii="Arial" w:hAnsi="Arial" w:cs="Arial"/>
          <w:highlight w:val="yellow"/>
        </w:rPr>
      </w:pPr>
    </w:p>
    <w:p w:rsidR="00B33994" w:rsidRPr="007D4126" w:rsidRDefault="00B85492" w:rsidP="00B33994">
      <w:pPr>
        <w:spacing w:after="200" w:line="276" w:lineRule="auto"/>
        <w:rPr>
          <w:rFonts w:ascii="Arial" w:eastAsiaTheme="minorHAnsi" w:hAnsi="Arial" w:cs="Arial"/>
          <w:szCs w:val="24"/>
          <w:lang w:val="en-GB"/>
        </w:rPr>
      </w:pPr>
      <w:r>
        <w:rPr>
          <w:rFonts w:ascii="Arial" w:eastAsiaTheme="minorHAnsi" w:hAnsi="Arial" w:cs="Arial"/>
          <w:szCs w:val="24"/>
          <w:lang w:val="en-GB"/>
        </w:rPr>
        <w:t xml:space="preserve">9.5 </w:t>
      </w:r>
      <w:r w:rsidR="00B33994" w:rsidRPr="007D4126">
        <w:rPr>
          <w:rFonts w:ascii="Arial" w:eastAsiaTheme="minorHAnsi" w:hAnsi="Arial" w:cs="Arial"/>
          <w:szCs w:val="24"/>
          <w:lang w:val="en-GB"/>
        </w:rPr>
        <w:t xml:space="preserve">While our Strategy underpins our approach to Value for Money, </w:t>
      </w:r>
      <w:r w:rsidR="009E4611" w:rsidRPr="007D4126">
        <w:rPr>
          <w:rFonts w:ascii="Arial" w:eastAsiaTheme="minorHAnsi" w:hAnsi="Arial" w:cs="Arial"/>
          <w:szCs w:val="24"/>
          <w:lang w:val="en-GB"/>
        </w:rPr>
        <w:t>everyone in Hexagon is encouraged to consider VFM in their day to day work</w:t>
      </w:r>
      <w:r w:rsidR="00B33994" w:rsidRPr="007D4126">
        <w:rPr>
          <w:rFonts w:ascii="Arial" w:eastAsiaTheme="minorHAnsi" w:hAnsi="Arial" w:cs="Arial"/>
          <w:szCs w:val="24"/>
          <w:lang w:val="en-GB"/>
        </w:rPr>
        <w:t xml:space="preserve">.   Examples </w:t>
      </w:r>
      <w:r w:rsidR="009E4611" w:rsidRPr="007D4126">
        <w:rPr>
          <w:rFonts w:ascii="Arial" w:eastAsiaTheme="minorHAnsi" w:hAnsi="Arial" w:cs="Arial"/>
          <w:szCs w:val="24"/>
          <w:lang w:val="en-GB"/>
        </w:rPr>
        <w:t xml:space="preserve">VFM successes during 16/17 which were not part of the 14/17 VFM Strategy </w:t>
      </w:r>
      <w:r w:rsidR="00B33994" w:rsidRPr="007D4126">
        <w:rPr>
          <w:rFonts w:ascii="Arial" w:eastAsiaTheme="minorHAnsi" w:hAnsi="Arial" w:cs="Arial"/>
          <w:szCs w:val="24"/>
          <w:lang w:val="en-GB"/>
        </w:rPr>
        <w:t>include:</w:t>
      </w:r>
    </w:p>
    <w:p w:rsidR="00B33994" w:rsidRPr="007D4126" w:rsidRDefault="00B33994" w:rsidP="00B85492">
      <w:pPr>
        <w:numPr>
          <w:ilvl w:val="0"/>
          <w:numId w:val="6"/>
        </w:numPr>
        <w:spacing w:after="200" w:line="276" w:lineRule="auto"/>
        <w:contextualSpacing/>
        <w:rPr>
          <w:rFonts w:ascii="Arial" w:eastAsiaTheme="minorHAnsi" w:hAnsi="Arial" w:cs="Arial"/>
          <w:szCs w:val="24"/>
          <w:lang w:val="en-GB"/>
        </w:rPr>
      </w:pPr>
      <w:r w:rsidRPr="007D4126">
        <w:rPr>
          <w:rFonts w:ascii="Arial" w:eastAsiaTheme="minorHAnsi" w:hAnsi="Arial" w:cs="Arial"/>
          <w:szCs w:val="24"/>
          <w:lang w:val="en-GB"/>
        </w:rPr>
        <w:t>Bringing in extra resources for Employment and Skills through Love London Working (see case study above);</w:t>
      </w:r>
    </w:p>
    <w:p w:rsidR="00B33994" w:rsidRPr="007D4126" w:rsidRDefault="00B33994" w:rsidP="00B85492">
      <w:pPr>
        <w:numPr>
          <w:ilvl w:val="0"/>
          <w:numId w:val="6"/>
        </w:numPr>
        <w:spacing w:after="200" w:line="276" w:lineRule="auto"/>
        <w:contextualSpacing/>
        <w:rPr>
          <w:rFonts w:ascii="Arial" w:eastAsiaTheme="minorHAnsi" w:hAnsi="Arial" w:cs="Arial"/>
          <w:szCs w:val="24"/>
          <w:lang w:val="en-GB"/>
        </w:rPr>
      </w:pPr>
      <w:r w:rsidRPr="007D4126">
        <w:rPr>
          <w:rFonts w:ascii="Arial" w:eastAsiaTheme="minorHAnsi" w:hAnsi="Arial" w:cs="Arial"/>
          <w:szCs w:val="24"/>
          <w:lang w:val="en-GB"/>
        </w:rPr>
        <w:t>Stopping sending out physical rent statements with Home News magazine – saving around £7,000 a year;</w:t>
      </w:r>
    </w:p>
    <w:p w:rsidR="00B33994" w:rsidRPr="007D4126" w:rsidRDefault="00B33994" w:rsidP="00B85492">
      <w:pPr>
        <w:numPr>
          <w:ilvl w:val="0"/>
          <w:numId w:val="6"/>
        </w:numPr>
        <w:spacing w:after="200" w:line="276" w:lineRule="auto"/>
        <w:contextualSpacing/>
        <w:rPr>
          <w:rFonts w:ascii="Arial" w:eastAsiaTheme="minorHAnsi" w:hAnsi="Arial" w:cs="Arial"/>
          <w:szCs w:val="24"/>
          <w:lang w:val="en-GB"/>
        </w:rPr>
      </w:pPr>
      <w:r w:rsidRPr="007D4126">
        <w:rPr>
          <w:rFonts w:ascii="Arial" w:eastAsiaTheme="minorHAnsi" w:hAnsi="Arial" w:cs="Arial"/>
          <w:szCs w:val="24"/>
          <w:lang w:val="en-GB"/>
        </w:rPr>
        <w:t>Saving around £1600 by renegotiating the</w:t>
      </w:r>
      <w:r w:rsidR="00D76EDF">
        <w:rPr>
          <w:rFonts w:ascii="Arial" w:eastAsiaTheme="minorHAnsi" w:hAnsi="Arial" w:cs="Arial"/>
          <w:szCs w:val="24"/>
          <w:lang w:val="en-GB"/>
        </w:rPr>
        <w:t xml:space="preserve"> IT</w:t>
      </w:r>
      <w:r w:rsidRPr="007D4126">
        <w:rPr>
          <w:rFonts w:ascii="Arial" w:eastAsiaTheme="minorHAnsi" w:hAnsi="Arial" w:cs="Arial"/>
          <w:szCs w:val="24"/>
          <w:lang w:val="en-GB"/>
        </w:rPr>
        <w:t xml:space="preserve"> support package on Sun Accounts; and </w:t>
      </w:r>
    </w:p>
    <w:p w:rsidR="00B33994" w:rsidRPr="007D4126" w:rsidRDefault="00B33994" w:rsidP="00B85492">
      <w:pPr>
        <w:numPr>
          <w:ilvl w:val="0"/>
          <w:numId w:val="6"/>
        </w:numPr>
        <w:spacing w:after="200" w:line="276" w:lineRule="auto"/>
        <w:contextualSpacing/>
        <w:rPr>
          <w:rFonts w:ascii="Arial" w:eastAsiaTheme="minorHAnsi" w:hAnsi="Arial" w:cs="Arial"/>
          <w:szCs w:val="24"/>
          <w:lang w:val="en-GB"/>
        </w:rPr>
      </w:pPr>
      <w:r w:rsidRPr="007D4126">
        <w:rPr>
          <w:rFonts w:ascii="Arial" w:eastAsiaTheme="minorHAnsi" w:hAnsi="Arial" w:cs="Arial"/>
          <w:szCs w:val="24"/>
          <w:lang w:val="en-GB"/>
        </w:rPr>
        <w:t xml:space="preserve">Completing the procurement of a new Housing Management and maintenance IT system, </w:t>
      </w:r>
      <w:proofErr w:type="spellStart"/>
      <w:r w:rsidRPr="007D4126">
        <w:rPr>
          <w:rFonts w:ascii="Arial" w:eastAsiaTheme="minorHAnsi" w:hAnsi="Arial" w:cs="Arial"/>
          <w:szCs w:val="24"/>
          <w:lang w:val="en-GB"/>
        </w:rPr>
        <w:t>Civica’s</w:t>
      </w:r>
      <w:proofErr w:type="spellEnd"/>
      <w:r w:rsidRPr="007D4126">
        <w:rPr>
          <w:rFonts w:ascii="Arial" w:eastAsiaTheme="minorHAnsi" w:hAnsi="Arial" w:cs="Arial"/>
          <w:szCs w:val="24"/>
          <w:lang w:val="en-GB"/>
        </w:rPr>
        <w:t xml:space="preserve"> </w:t>
      </w:r>
      <w:proofErr w:type="spellStart"/>
      <w:r w:rsidRPr="007D4126">
        <w:rPr>
          <w:rFonts w:ascii="Arial" w:eastAsiaTheme="minorHAnsi" w:hAnsi="Arial" w:cs="Arial"/>
          <w:szCs w:val="24"/>
          <w:lang w:val="en-GB"/>
        </w:rPr>
        <w:t>Cx</w:t>
      </w:r>
      <w:proofErr w:type="spellEnd"/>
      <w:r w:rsidRPr="007D4126">
        <w:rPr>
          <w:rFonts w:ascii="Arial" w:eastAsiaTheme="minorHAnsi" w:hAnsi="Arial" w:cs="Arial"/>
          <w:szCs w:val="24"/>
          <w:lang w:val="en-GB"/>
        </w:rPr>
        <w:t>, during the year (see case study below).</w:t>
      </w:r>
    </w:p>
    <w:p w:rsidR="009E4611" w:rsidRPr="007D4126" w:rsidRDefault="009E4611" w:rsidP="008321DF">
      <w:pPr>
        <w:spacing w:after="200" w:line="276" w:lineRule="auto"/>
        <w:ind w:left="720"/>
        <w:contextualSpacing/>
        <w:rPr>
          <w:rFonts w:ascii="Arial" w:eastAsiaTheme="minorHAnsi" w:hAnsi="Arial" w:cs="Arial"/>
          <w:szCs w:val="24"/>
          <w:lang w:val="en-GB"/>
        </w:rPr>
      </w:pPr>
    </w:p>
    <w:tbl>
      <w:tblPr>
        <w:tblStyle w:val="TableGrid2"/>
        <w:tblW w:w="0" w:type="auto"/>
        <w:tblInd w:w="360" w:type="dxa"/>
        <w:tblLook w:val="04A0" w:firstRow="1" w:lastRow="0" w:firstColumn="1" w:lastColumn="0" w:noHBand="0" w:noVBand="1"/>
      </w:tblPr>
      <w:tblGrid>
        <w:gridCol w:w="12789"/>
      </w:tblGrid>
      <w:tr w:rsidR="00B33994" w:rsidRPr="007D4126" w:rsidTr="005A0205">
        <w:tc>
          <w:tcPr>
            <w:tcW w:w="12789" w:type="dxa"/>
          </w:tcPr>
          <w:p w:rsidR="00B33994" w:rsidRPr="007D4126" w:rsidRDefault="00B33994" w:rsidP="00B33994">
            <w:pPr>
              <w:rPr>
                <w:rFonts w:ascii="Arial" w:hAnsi="Arial" w:cs="Arial"/>
                <w:b/>
                <w:sz w:val="28"/>
                <w:szCs w:val="24"/>
                <w:lang w:val="en-GB"/>
              </w:rPr>
            </w:pPr>
            <w:proofErr w:type="spellStart"/>
            <w:r w:rsidRPr="007D4126">
              <w:rPr>
                <w:rFonts w:ascii="Arial" w:hAnsi="Arial" w:cs="Arial"/>
                <w:b/>
                <w:sz w:val="28"/>
                <w:szCs w:val="24"/>
                <w:lang w:val="en-GB"/>
              </w:rPr>
              <w:t>Civica’s</w:t>
            </w:r>
            <w:proofErr w:type="spellEnd"/>
            <w:r w:rsidRPr="007D4126">
              <w:rPr>
                <w:rFonts w:ascii="Arial" w:hAnsi="Arial" w:cs="Arial"/>
                <w:b/>
                <w:sz w:val="28"/>
                <w:szCs w:val="24"/>
                <w:lang w:val="en-GB"/>
              </w:rPr>
              <w:t xml:space="preserve"> </w:t>
            </w:r>
            <w:proofErr w:type="spellStart"/>
            <w:r w:rsidRPr="007D4126">
              <w:rPr>
                <w:rFonts w:ascii="Arial" w:hAnsi="Arial" w:cs="Arial"/>
                <w:b/>
                <w:sz w:val="28"/>
                <w:szCs w:val="24"/>
                <w:lang w:val="en-GB"/>
              </w:rPr>
              <w:t>Cx</w:t>
            </w:r>
            <w:proofErr w:type="spellEnd"/>
            <w:r w:rsidRPr="007D4126">
              <w:rPr>
                <w:rFonts w:ascii="Arial" w:hAnsi="Arial" w:cs="Arial"/>
                <w:b/>
                <w:sz w:val="28"/>
                <w:szCs w:val="24"/>
                <w:lang w:val="en-GB"/>
              </w:rPr>
              <w:t xml:space="preserve"> – A Value for Money Case Study</w:t>
            </w:r>
          </w:p>
          <w:p w:rsidR="00B33994" w:rsidRPr="007D4126" w:rsidRDefault="00B33994" w:rsidP="00B33994">
            <w:pPr>
              <w:jc w:val="center"/>
              <w:rPr>
                <w:rFonts w:ascii="Arial" w:hAnsi="Arial" w:cs="Arial"/>
                <w:szCs w:val="24"/>
                <w:lang w:val="en-GB"/>
              </w:rPr>
            </w:pPr>
            <w:r w:rsidRPr="007D4126">
              <w:rPr>
                <w:rFonts w:ascii="Arial" w:hAnsi="Arial" w:cs="Arial"/>
                <w:szCs w:val="24"/>
                <w:lang w:val="en-GB"/>
              </w:rPr>
              <w:t>Sometimes some up-front investment is needed to achieve value for money in the longer term.  This is certainly true with</w:t>
            </w:r>
            <w:r w:rsidR="00D76EDF">
              <w:rPr>
                <w:rFonts w:ascii="Arial" w:hAnsi="Arial" w:cs="Arial"/>
                <w:szCs w:val="24"/>
                <w:lang w:val="en-GB"/>
              </w:rPr>
              <w:t xml:space="preserve"> IT</w:t>
            </w:r>
            <w:r w:rsidRPr="007D4126">
              <w:rPr>
                <w:rFonts w:ascii="Arial" w:hAnsi="Arial" w:cs="Arial"/>
                <w:szCs w:val="24"/>
                <w:lang w:val="en-GB"/>
              </w:rPr>
              <w:t xml:space="preserve"> – our ageing main housing management and maintenance IT systems were holding us back, preventing us working smarter and interacting with residents in ways that they expect from service providers in 2017.  </w:t>
            </w:r>
            <w:r w:rsidRPr="007D4126">
              <w:rPr>
                <w:rFonts w:ascii="Arial" w:hAnsi="Arial" w:cs="Arial"/>
                <w:noProof/>
                <w:szCs w:val="24"/>
                <w:lang w:val="en-GB" w:eastAsia="en-GB"/>
              </w:rPr>
              <w:drawing>
                <wp:inline distT="0" distB="0" distL="0" distR="0" wp14:anchorId="283D0521" wp14:editId="47FA9290">
                  <wp:extent cx="3991970" cy="1865905"/>
                  <wp:effectExtent l="0" t="0" r="889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990432" cy="1865186"/>
                          </a:xfrm>
                          <a:prstGeom prst="rect">
                            <a:avLst/>
                          </a:prstGeom>
                        </pic:spPr>
                      </pic:pic>
                    </a:graphicData>
                  </a:graphic>
                </wp:inline>
              </w:drawing>
            </w:r>
          </w:p>
          <w:p w:rsidR="00B33994" w:rsidRPr="007D4126" w:rsidRDefault="00B33994" w:rsidP="00B33994">
            <w:pPr>
              <w:rPr>
                <w:rFonts w:ascii="Arial" w:hAnsi="Arial" w:cs="Arial"/>
                <w:szCs w:val="24"/>
                <w:lang w:val="en-GB"/>
              </w:rPr>
            </w:pPr>
            <w:r w:rsidRPr="007D4126">
              <w:rPr>
                <w:rFonts w:ascii="Arial" w:hAnsi="Arial" w:cs="Arial"/>
                <w:szCs w:val="24"/>
                <w:lang w:val="en-GB"/>
              </w:rPr>
              <w:t xml:space="preserve">After an exhaustive and competitive process we selected </w:t>
            </w:r>
            <w:proofErr w:type="spellStart"/>
            <w:r w:rsidRPr="007D4126">
              <w:rPr>
                <w:rFonts w:ascii="Arial" w:hAnsi="Arial" w:cs="Arial"/>
                <w:szCs w:val="24"/>
                <w:lang w:val="en-GB"/>
              </w:rPr>
              <w:t>Civica’s</w:t>
            </w:r>
            <w:proofErr w:type="spellEnd"/>
            <w:r w:rsidRPr="007D4126">
              <w:rPr>
                <w:rFonts w:ascii="Arial" w:hAnsi="Arial" w:cs="Arial"/>
                <w:szCs w:val="24"/>
                <w:lang w:val="en-GB"/>
              </w:rPr>
              <w:t xml:space="preserve"> </w:t>
            </w:r>
            <w:proofErr w:type="spellStart"/>
            <w:r w:rsidRPr="007D4126">
              <w:rPr>
                <w:rFonts w:ascii="Arial" w:hAnsi="Arial" w:cs="Arial"/>
                <w:szCs w:val="24"/>
                <w:lang w:val="en-GB"/>
              </w:rPr>
              <w:t>Cx</w:t>
            </w:r>
            <w:proofErr w:type="spellEnd"/>
            <w:r w:rsidRPr="007D4126">
              <w:rPr>
                <w:rFonts w:ascii="Arial" w:hAnsi="Arial" w:cs="Arial"/>
                <w:szCs w:val="24"/>
                <w:lang w:val="en-GB"/>
              </w:rPr>
              <w:t xml:space="preserve"> product (screenshot above).  </w:t>
            </w:r>
            <w:proofErr w:type="spellStart"/>
            <w:r w:rsidRPr="007D4126">
              <w:rPr>
                <w:rFonts w:ascii="Arial" w:hAnsi="Arial" w:cs="Arial"/>
                <w:szCs w:val="24"/>
                <w:lang w:val="en-GB"/>
              </w:rPr>
              <w:t>Cx</w:t>
            </w:r>
            <w:proofErr w:type="spellEnd"/>
            <w:r w:rsidRPr="007D4126">
              <w:rPr>
                <w:rFonts w:ascii="Arial" w:hAnsi="Arial" w:cs="Arial"/>
                <w:szCs w:val="24"/>
                <w:lang w:val="en-GB"/>
              </w:rPr>
              <w:t xml:space="preserve"> is a very modern system using Microsoft .net technologies which has a fresh look and feel.  As it goes live Hexagon will be able to  </w:t>
            </w:r>
          </w:p>
          <w:p w:rsidR="00B33994" w:rsidRPr="007D4126" w:rsidRDefault="00B33994" w:rsidP="00B85492">
            <w:pPr>
              <w:numPr>
                <w:ilvl w:val="0"/>
                <w:numId w:val="7"/>
              </w:numPr>
              <w:contextualSpacing/>
              <w:rPr>
                <w:rFonts w:ascii="Arial" w:hAnsi="Arial" w:cs="Arial"/>
                <w:szCs w:val="24"/>
                <w:lang w:val="en-GB"/>
              </w:rPr>
            </w:pPr>
            <w:r w:rsidRPr="007D4126">
              <w:rPr>
                <w:rFonts w:ascii="Arial" w:hAnsi="Arial" w:cs="Arial"/>
                <w:szCs w:val="24"/>
                <w:lang w:val="en-GB"/>
              </w:rPr>
              <w:t xml:space="preserve">Improve our communications with residents – particularly through text and e mail; </w:t>
            </w:r>
          </w:p>
          <w:p w:rsidR="00B33994" w:rsidRPr="007D4126" w:rsidRDefault="00B33994" w:rsidP="00B85492">
            <w:pPr>
              <w:numPr>
                <w:ilvl w:val="0"/>
                <w:numId w:val="7"/>
              </w:numPr>
              <w:contextualSpacing/>
              <w:rPr>
                <w:rFonts w:ascii="Arial" w:hAnsi="Arial" w:cs="Arial"/>
                <w:szCs w:val="24"/>
                <w:lang w:val="en-GB"/>
              </w:rPr>
            </w:pPr>
            <w:r w:rsidRPr="007D4126">
              <w:rPr>
                <w:rFonts w:ascii="Arial" w:hAnsi="Arial" w:cs="Arial"/>
                <w:szCs w:val="24"/>
                <w:lang w:val="en-GB"/>
              </w:rPr>
              <w:lastRenderedPageBreak/>
              <w:t xml:space="preserve">Allow residents to use channels other than telephone to  access services; </w:t>
            </w:r>
          </w:p>
          <w:p w:rsidR="00B33994" w:rsidRPr="007D4126" w:rsidRDefault="00B33994" w:rsidP="00B85492">
            <w:pPr>
              <w:numPr>
                <w:ilvl w:val="0"/>
                <w:numId w:val="7"/>
              </w:numPr>
              <w:contextualSpacing/>
              <w:rPr>
                <w:rFonts w:ascii="Arial" w:hAnsi="Arial" w:cs="Arial"/>
                <w:szCs w:val="24"/>
                <w:lang w:val="en-GB"/>
              </w:rPr>
            </w:pPr>
            <w:r w:rsidRPr="007D4126">
              <w:rPr>
                <w:rFonts w:ascii="Arial" w:hAnsi="Arial" w:cs="Arial"/>
                <w:szCs w:val="24"/>
                <w:lang w:val="en-GB"/>
              </w:rPr>
              <w:t xml:space="preserve">Allow us to gain a better understanding of our customers’ needs and requirements to enable us to tailor our service offer more effectively; </w:t>
            </w:r>
          </w:p>
          <w:p w:rsidR="00B33994" w:rsidRPr="007D4126" w:rsidRDefault="00B33994" w:rsidP="00B85492">
            <w:pPr>
              <w:numPr>
                <w:ilvl w:val="0"/>
                <w:numId w:val="7"/>
              </w:numPr>
              <w:contextualSpacing/>
              <w:rPr>
                <w:rFonts w:ascii="Arial" w:hAnsi="Arial" w:cs="Arial"/>
                <w:szCs w:val="24"/>
                <w:lang w:val="en-GB"/>
              </w:rPr>
            </w:pPr>
            <w:r w:rsidRPr="007D4126">
              <w:rPr>
                <w:rFonts w:ascii="Arial" w:hAnsi="Arial" w:cs="Arial"/>
                <w:szCs w:val="24"/>
                <w:lang w:val="en-GB"/>
              </w:rPr>
              <w:t xml:space="preserve">Allow staff to work as effectively as we would like away from their desks; and </w:t>
            </w:r>
          </w:p>
          <w:p w:rsidR="00B33994" w:rsidRPr="007D4126" w:rsidRDefault="00B33994" w:rsidP="00B85492">
            <w:pPr>
              <w:numPr>
                <w:ilvl w:val="0"/>
                <w:numId w:val="7"/>
              </w:numPr>
              <w:contextualSpacing/>
              <w:rPr>
                <w:rFonts w:ascii="Arial" w:hAnsi="Arial" w:cs="Arial"/>
                <w:szCs w:val="24"/>
                <w:lang w:val="en-GB"/>
              </w:rPr>
            </w:pPr>
            <w:r w:rsidRPr="007D4126">
              <w:rPr>
                <w:rFonts w:ascii="Arial" w:hAnsi="Arial" w:cs="Arial"/>
                <w:szCs w:val="24"/>
                <w:lang w:val="en-GB"/>
              </w:rPr>
              <w:t>Allow us to digitise our filing and documents.</w:t>
            </w:r>
          </w:p>
          <w:p w:rsidR="00B33994" w:rsidRPr="007D4126" w:rsidRDefault="00B33994" w:rsidP="00B33994">
            <w:pPr>
              <w:spacing w:before="240"/>
              <w:ind w:left="360"/>
              <w:contextualSpacing/>
              <w:jc w:val="center"/>
              <w:rPr>
                <w:rFonts w:ascii="Arial" w:hAnsi="Arial" w:cs="Arial"/>
                <w:szCs w:val="24"/>
                <w:lang w:val="en-GB"/>
              </w:rPr>
            </w:pPr>
            <w:r w:rsidRPr="007D4126">
              <w:rPr>
                <w:rFonts w:ascii="Arial" w:hAnsi="Arial" w:cs="Arial"/>
                <w:noProof/>
                <w:szCs w:val="24"/>
                <w:lang w:val="en-GB" w:eastAsia="en-GB"/>
              </w:rPr>
              <w:drawing>
                <wp:inline distT="0" distB="0" distL="0" distR="0" wp14:anchorId="72D57467" wp14:editId="01DF884F">
                  <wp:extent cx="4183039" cy="1430992"/>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182638" cy="1430855"/>
                          </a:xfrm>
                          <a:prstGeom prst="rect">
                            <a:avLst/>
                          </a:prstGeom>
                        </pic:spPr>
                      </pic:pic>
                    </a:graphicData>
                  </a:graphic>
                </wp:inline>
              </w:drawing>
            </w:r>
          </w:p>
          <w:p w:rsidR="00B33994" w:rsidRPr="007D4126" w:rsidRDefault="00B33994" w:rsidP="00B33994">
            <w:pPr>
              <w:spacing w:before="240"/>
              <w:rPr>
                <w:rFonts w:ascii="Arial" w:hAnsi="Arial" w:cs="Arial"/>
                <w:szCs w:val="24"/>
                <w:lang w:val="en-GB"/>
              </w:rPr>
            </w:pPr>
            <w:r w:rsidRPr="007D4126">
              <w:rPr>
                <w:rFonts w:ascii="Arial" w:hAnsi="Arial" w:cs="Arial"/>
                <w:szCs w:val="24"/>
                <w:lang w:val="en-GB"/>
              </w:rPr>
              <w:t>In the longer term these changes will allow us to work much more effectively, provide a better service to our residents and need much less office space for filing.</w:t>
            </w:r>
          </w:p>
        </w:tc>
      </w:tr>
    </w:tbl>
    <w:p w:rsidR="00B33994" w:rsidRPr="007D4126" w:rsidRDefault="00B33994" w:rsidP="00B33994">
      <w:pPr>
        <w:spacing w:after="200" w:line="276" w:lineRule="auto"/>
        <w:ind w:left="360"/>
        <w:contextualSpacing/>
        <w:rPr>
          <w:rFonts w:ascii="Arial" w:eastAsiaTheme="minorHAnsi" w:hAnsi="Arial" w:cs="Arial"/>
          <w:sz w:val="22"/>
          <w:szCs w:val="22"/>
          <w:lang w:val="en-GB"/>
        </w:rPr>
      </w:pPr>
    </w:p>
    <w:p w:rsidR="00454DA5" w:rsidRPr="007D4126" w:rsidRDefault="00454DA5" w:rsidP="00264B95">
      <w:pPr>
        <w:jc w:val="both"/>
        <w:rPr>
          <w:rFonts w:ascii="Arial" w:hAnsi="Arial" w:cs="Arial"/>
          <w:highlight w:val="yellow"/>
        </w:rPr>
      </w:pPr>
    </w:p>
    <w:p w:rsidR="00454DA5" w:rsidRPr="007D4126" w:rsidRDefault="00454DA5" w:rsidP="00264B95">
      <w:pPr>
        <w:jc w:val="both"/>
        <w:rPr>
          <w:rFonts w:ascii="Arial" w:hAnsi="Arial" w:cs="Arial"/>
          <w:highlight w:val="yellow"/>
        </w:rPr>
      </w:pPr>
    </w:p>
    <w:p w:rsidR="007244B8" w:rsidRPr="007D4126" w:rsidRDefault="00E10A21" w:rsidP="00264B95">
      <w:pPr>
        <w:jc w:val="both"/>
        <w:rPr>
          <w:rFonts w:ascii="Arial" w:hAnsi="Arial" w:cs="Arial"/>
          <w:b/>
          <w:sz w:val="28"/>
        </w:rPr>
      </w:pPr>
      <w:proofErr w:type="gramStart"/>
      <w:r w:rsidRPr="007D4126">
        <w:rPr>
          <w:rFonts w:ascii="Arial" w:hAnsi="Arial" w:cs="Arial"/>
          <w:b/>
          <w:sz w:val="28"/>
        </w:rPr>
        <w:t>10</w:t>
      </w:r>
      <w:r w:rsidR="00E1346E" w:rsidRPr="007D4126">
        <w:rPr>
          <w:rFonts w:ascii="Arial" w:hAnsi="Arial" w:cs="Arial"/>
          <w:b/>
          <w:sz w:val="28"/>
        </w:rPr>
        <w:t xml:space="preserve">.0  </w:t>
      </w:r>
      <w:r w:rsidR="00616475" w:rsidRPr="007D4126">
        <w:rPr>
          <w:rFonts w:ascii="Arial" w:hAnsi="Arial" w:cs="Arial"/>
          <w:b/>
          <w:sz w:val="28"/>
        </w:rPr>
        <w:t>V</w:t>
      </w:r>
      <w:r w:rsidR="007244B8" w:rsidRPr="007D4126">
        <w:rPr>
          <w:rFonts w:ascii="Arial" w:hAnsi="Arial" w:cs="Arial"/>
          <w:b/>
          <w:sz w:val="28"/>
        </w:rPr>
        <w:t>alue</w:t>
      </w:r>
      <w:proofErr w:type="gramEnd"/>
      <w:r w:rsidR="007244B8" w:rsidRPr="007D4126">
        <w:rPr>
          <w:rFonts w:ascii="Arial" w:hAnsi="Arial" w:cs="Arial"/>
          <w:b/>
          <w:sz w:val="28"/>
        </w:rPr>
        <w:t xml:space="preserve"> for money gains to b</w:t>
      </w:r>
      <w:bookmarkStart w:id="0" w:name="_GoBack"/>
      <w:bookmarkEnd w:id="0"/>
      <w:r w:rsidR="007244B8" w:rsidRPr="007D4126">
        <w:rPr>
          <w:rFonts w:ascii="Arial" w:hAnsi="Arial" w:cs="Arial"/>
          <w:b/>
          <w:sz w:val="28"/>
        </w:rPr>
        <w:t>e made</w:t>
      </w:r>
      <w:r w:rsidR="0071230F" w:rsidRPr="007D4126">
        <w:rPr>
          <w:rFonts w:ascii="Arial" w:hAnsi="Arial" w:cs="Arial"/>
          <w:b/>
          <w:sz w:val="28"/>
        </w:rPr>
        <w:t xml:space="preserve"> in 17/18</w:t>
      </w:r>
    </w:p>
    <w:p w:rsidR="0071230F" w:rsidRPr="007D4126" w:rsidRDefault="00B85492" w:rsidP="00E21F11">
      <w:pPr>
        <w:spacing w:before="240"/>
        <w:rPr>
          <w:rFonts w:ascii="Arial" w:hAnsi="Arial" w:cs="Arial"/>
        </w:rPr>
      </w:pPr>
      <w:r>
        <w:rPr>
          <w:rFonts w:ascii="Arial" w:hAnsi="Arial" w:cs="Arial"/>
        </w:rPr>
        <w:t>10</w:t>
      </w:r>
      <w:r w:rsidR="00261824" w:rsidRPr="007D4126">
        <w:rPr>
          <w:rFonts w:ascii="Arial" w:hAnsi="Arial" w:cs="Arial"/>
        </w:rPr>
        <w:t xml:space="preserve">.1 </w:t>
      </w:r>
      <w:r w:rsidR="0071230F" w:rsidRPr="007D4126">
        <w:rPr>
          <w:rFonts w:ascii="Arial" w:hAnsi="Arial" w:cs="Arial"/>
        </w:rPr>
        <w:t xml:space="preserve">Based on the evidence from benchmarking data, we intend to focus on controlling responsive repair costs and on improving resident satisfaction. Past experience has shown that if residents are happy with responsive repairs and (to a lesser extent) with estate services such as cleaning and gardening, then other satisfaction measures also rise. Also, although our current performance on rent collection and arrears is good, this is beginning to deteriorate and we need to reverse the trend. </w:t>
      </w:r>
    </w:p>
    <w:p w:rsidR="00E21F11" w:rsidRPr="007D4126" w:rsidRDefault="00B85492" w:rsidP="00312E77">
      <w:pPr>
        <w:spacing w:before="240"/>
        <w:rPr>
          <w:rFonts w:ascii="Arial" w:hAnsi="Arial" w:cs="Arial"/>
        </w:rPr>
      </w:pPr>
      <w:r>
        <w:rPr>
          <w:rFonts w:ascii="Arial" w:hAnsi="Arial" w:cs="Arial"/>
        </w:rPr>
        <w:t>10</w:t>
      </w:r>
      <w:r w:rsidR="00261824" w:rsidRPr="007D4126">
        <w:rPr>
          <w:rFonts w:ascii="Arial" w:hAnsi="Arial" w:cs="Arial"/>
        </w:rPr>
        <w:t xml:space="preserve">.2 </w:t>
      </w:r>
      <w:r w:rsidR="00932FC7" w:rsidRPr="007D4126">
        <w:rPr>
          <w:rFonts w:ascii="Arial" w:hAnsi="Arial" w:cs="Arial"/>
        </w:rPr>
        <w:t xml:space="preserve">The </w:t>
      </w:r>
      <w:r w:rsidR="0071230F" w:rsidRPr="007D4126">
        <w:rPr>
          <w:rFonts w:ascii="Arial" w:hAnsi="Arial" w:cs="Arial"/>
        </w:rPr>
        <w:t xml:space="preserve">17/18 VFM </w:t>
      </w:r>
      <w:r w:rsidR="00932FC7" w:rsidRPr="007D4126">
        <w:rPr>
          <w:rFonts w:ascii="Arial" w:hAnsi="Arial" w:cs="Arial"/>
        </w:rPr>
        <w:t>St</w:t>
      </w:r>
      <w:r w:rsidR="007009D8">
        <w:rPr>
          <w:rFonts w:ascii="Arial" w:hAnsi="Arial" w:cs="Arial"/>
        </w:rPr>
        <w:t>rategy</w:t>
      </w:r>
      <w:r w:rsidR="00932FC7" w:rsidRPr="007D4126">
        <w:rPr>
          <w:rFonts w:ascii="Arial" w:hAnsi="Arial" w:cs="Arial"/>
        </w:rPr>
        <w:t xml:space="preserve"> includes a set of </w:t>
      </w:r>
      <w:r w:rsidR="00A44A8E" w:rsidRPr="007D4126">
        <w:rPr>
          <w:rFonts w:ascii="Arial" w:hAnsi="Arial" w:cs="Arial"/>
        </w:rPr>
        <w:t>20 actions to improve VFM.</w:t>
      </w:r>
      <w:r w:rsidR="00932FC7" w:rsidRPr="007D4126">
        <w:rPr>
          <w:rFonts w:ascii="Arial" w:hAnsi="Arial" w:cs="Arial"/>
        </w:rPr>
        <w:t xml:space="preserve"> A full list of the </w:t>
      </w:r>
      <w:r w:rsidR="00A44A8E" w:rsidRPr="007D4126">
        <w:rPr>
          <w:rFonts w:ascii="Arial" w:hAnsi="Arial" w:cs="Arial"/>
        </w:rPr>
        <w:t>actions is shown in section 5 of the strategy, but the most important ones are set out below.</w:t>
      </w:r>
      <w:r w:rsidR="00932FC7" w:rsidRPr="007D4126">
        <w:rPr>
          <w:rFonts w:ascii="Arial" w:hAnsi="Arial" w:cs="Arial"/>
        </w:rPr>
        <w:t xml:space="preserve"> </w:t>
      </w:r>
    </w:p>
    <w:p w:rsidR="00B87B1B" w:rsidRDefault="00B87B1B" w:rsidP="00264B95">
      <w:pPr>
        <w:jc w:val="both"/>
        <w:rPr>
          <w:rFonts w:ascii="Arial" w:hAnsi="Arial" w:cs="Arial"/>
        </w:rPr>
      </w:pPr>
    </w:p>
    <w:p w:rsidR="003D4F85" w:rsidRPr="007D4126" w:rsidRDefault="003D4F85" w:rsidP="00264B95">
      <w:pPr>
        <w:jc w:val="both"/>
        <w:rPr>
          <w:rFonts w:ascii="Arial" w:hAnsi="Arial" w:cs="Arial"/>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
        <w:gridCol w:w="1952"/>
        <w:gridCol w:w="6320"/>
        <w:gridCol w:w="2942"/>
        <w:gridCol w:w="3118"/>
      </w:tblGrid>
      <w:tr w:rsidR="0071230F" w:rsidRPr="007D4126" w:rsidTr="005A0205">
        <w:trPr>
          <w:gridAfter w:val="2"/>
          <w:wAfter w:w="6060" w:type="dxa"/>
        </w:trPr>
        <w:tc>
          <w:tcPr>
            <w:tcW w:w="8365" w:type="dxa"/>
            <w:gridSpan w:val="3"/>
            <w:tcBorders>
              <w:top w:val="nil"/>
              <w:left w:val="nil"/>
              <w:bottom w:val="single" w:sz="4" w:space="0" w:color="auto"/>
              <w:right w:val="nil"/>
            </w:tcBorders>
            <w:shd w:val="clear" w:color="auto" w:fill="auto"/>
          </w:tcPr>
          <w:p w:rsidR="0071230F" w:rsidRPr="007D4126" w:rsidRDefault="0071230F">
            <w:pPr>
              <w:spacing w:before="240"/>
              <w:rPr>
                <w:rFonts w:ascii="Arial" w:hAnsi="Arial" w:cs="Arial"/>
                <w:i/>
                <w:szCs w:val="24"/>
                <w:lang w:val="en-GB"/>
              </w:rPr>
            </w:pPr>
          </w:p>
        </w:tc>
      </w:tr>
      <w:tr w:rsidR="0071230F" w:rsidRPr="007D4126" w:rsidTr="005A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75"/>
        </w:trPr>
        <w:tc>
          <w:tcPr>
            <w:tcW w:w="1952" w:type="dxa"/>
            <w:tcBorders>
              <w:top w:val="single" w:sz="4" w:space="0" w:color="auto"/>
              <w:left w:val="single" w:sz="4" w:space="0" w:color="auto"/>
              <w:bottom w:val="single" w:sz="4" w:space="0" w:color="auto"/>
              <w:right w:val="single" w:sz="4" w:space="0" w:color="auto"/>
            </w:tcBorders>
            <w:shd w:val="clear" w:color="auto" w:fill="auto"/>
            <w:hideMark/>
          </w:tcPr>
          <w:p w:rsidR="0071230F" w:rsidRPr="007D4126" w:rsidRDefault="0071230F" w:rsidP="0071230F">
            <w:pPr>
              <w:rPr>
                <w:rFonts w:ascii="Arial" w:hAnsi="Arial" w:cs="Arial"/>
                <w:b/>
                <w:bCs/>
                <w:color w:val="4F81BD"/>
                <w:sz w:val="28"/>
                <w:szCs w:val="28"/>
                <w:lang w:val="en-GB" w:eastAsia="en-GB"/>
              </w:rPr>
            </w:pPr>
            <w:r w:rsidRPr="007D4126">
              <w:rPr>
                <w:rFonts w:ascii="Arial" w:hAnsi="Arial" w:cs="Arial"/>
                <w:b/>
                <w:bCs/>
                <w:color w:val="4F81BD"/>
                <w:sz w:val="28"/>
                <w:szCs w:val="28"/>
                <w:lang w:val="en-GB" w:eastAsia="en-GB"/>
              </w:rPr>
              <w:lastRenderedPageBreak/>
              <w:t xml:space="preserve">Theme </w:t>
            </w:r>
          </w:p>
        </w:tc>
        <w:tc>
          <w:tcPr>
            <w:tcW w:w="9262" w:type="dxa"/>
            <w:gridSpan w:val="2"/>
            <w:tcBorders>
              <w:top w:val="single" w:sz="4" w:space="0" w:color="auto"/>
              <w:left w:val="nil"/>
              <w:bottom w:val="single" w:sz="4" w:space="0" w:color="auto"/>
              <w:right w:val="single" w:sz="4" w:space="0" w:color="auto"/>
            </w:tcBorders>
            <w:shd w:val="clear" w:color="auto" w:fill="auto"/>
            <w:hideMark/>
          </w:tcPr>
          <w:p w:rsidR="0071230F" w:rsidRPr="007D4126" w:rsidRDefault="0071230F" w:rsidP="0071230F">
            <w:pPr>
              <w:rPr>
                <w:rFonts w:ascii="Arial" w:hAnsi="Arial" w:cs="Arial"/>
                <w:b/>
                <w:bCs/>
                <w:color w:val="4F81BD"/>
                <w:sz w:val="28"/>
                <w:szCs w:val="28"/>
                <w:lang w:val="en-GB" w:eastAsia="en-GB"/>
              </w:rPr>
            </w:pPr>
            <w:r w:rsidRPr="007D4126">
              <w:rPr>
                <w:rFonts w:ascii="Arial" w:hAnsi="Arial" w:cs="Arial"/>
                <w:b/>
                <w:bCs/>
                <w:color w:val="4F81BD"/>
                <w:sz w:val="28"/>
                <w:szCs w:val="28"/>
                <w:lang w:val="en-GB" w:eastAsia="en-GB"/>
              </w:rPr>
              <w:t>Initiative</w:t>
            </w:r>
          </w:p>
        </w:tc>
        <w:tc>
          <w:tcPr>
            <w:tcW w:w="3118" w:type="dxa"/>
            <w:tcBorders>
              <w:top w:val="single" w:sz="4" w:space="0" w:color="auto"/>
              <w:left w:val="nil"/>
              <w:bottom w:val="single" w:sz="4" w:space="0" w:color="auto"/>
              <w:right w:val="single" w:sz="4" w:space="0" w:color="auto"/>
            </w:tcBorders>
            <w:shd w:val="clear" w:color="auto" w:fill="auto"/>
            <w:hideMark/>
          </w:tcPr>
          <w:p w:rsidR="0071230F" w:rsidRPr="007D4126" w:rsidRDefault="0071230F" w:rsidP="0071230F">
            <w:pPr>
              <w:rPr>
                <w:rFonts w:ascii="Arial" w:hAnsi="Arial" w:cs="Arial"/>
                <w:b/>
                <w:bCs/>
                <w:color w:val="4F81BD"/>
                <w:sz w:val="28"/>
                <w:szCs w:val="28"/>
                <w:lang w:val="en-GB" w:eastAsia="en-GB"/>
              </w:rPr>
            </w:pPr>
            <w:r w:rsidRPr="007D4126">
              <w:rPr>
                <w:rFonts w:ascii="Arial" w:hAnsi="Arial" w:cs="Arial"/>
                <w:b/>
                <w:bCs/>
                <w:color w:val="4F81BD"/>
                <w:sz w:val="28"/>
                <w:szCs w:val="28"/>
                <w:lang w:val="en-GB" w:eastAsia="en-GB"/>
              </w:rPr>
              <w:t>Team responsible or leading</w:t>
            </w:r>
          </w:p>
        </w:tc>
      </w:tr>
      <w:tr w:rsidR="0071230F" w:rsidRPr="007D4126" w:rsidTr="005A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00"/>
        </w:trPr>
        <w:tc>
          <w:tcPr>
            <w:tcW w:w="1952" w:type="dxa"/>
            <w:tcBorders>
              <w:top w:val="nil"/>
              <w:left w:val="single" w:sz="4" w:space="0" w:color="auto"/>
              <w:bottom w:val="single" w:sz="4" w:space="0" w:color="auto"/>
              <w:right w:val="single" w:sz="4" w:space="0" w:color="auto"/>
            </w:tcBorders>
            <w:shd w:val="clear" w:color="auto" w:fill="auto"/>
            <w:hideMark/>
          </w:tcPr>
          <w:p w:rsidR="0071230F" w:rsidRPr="007D4126" w:rsidRDefault="0071230F" w:rsidP="0071230F">
            <w:pPr>
              <w:rPr>
                <w:rFonts w:ascii="Arial" w:hAnsi="Arial" w:cs="Arial"/>
                <w:szCs w:val="24"/>
                <w:lang w:val="en-GB"/>
              </w:rPr>
            </w:pPr>
            <w:r w:rsidRPr="007D4126">
              <w:rPr>
                <w:rFonts w:ascii="Arial" w:hAnsi="Arial" w:cs="Arial"/>
                <w:szCs w:val="24"/>
                <w:lang w:val="en-GB"/>
              </w:rPr>
              <w:t>Restricting operating costs</w:t>
            </w:r>
          </w:p>
        </w:tc>
        <w:tc>
          <w:tcPr>
            <w:tcW w:w="9262" w:type="dxa"/>
            <w:gridSpan w:val="2"/>
            <w:tcBorders>
              <w:top w:val="nil"/>
              <w:left w:val="nil"/>
              <w:bottom w:val="single" w:sz="4" w:space="0" w:color="auto"/>
              <w:right w:val="single" w:sz="4" w:space="0" w:color="auto"/>
            </w:tcBorders>
            <w:shd w:val="clear" w:color="auto" w:fill="auto"/>
            <w:hideMark/>
          </w:tcPr>
          <w:p w:rsidR="0071230F" w:rsidRPr="007D4126" w:rsidRDefault="0071230F" w:rsidP="0071230F">
            <w:pPr>
              <w:rPr>
                <w:rFonts w:ascii="Arial" w:hAnsi="Arial" w:cs="Arial"/>
                <w:szCs w:val="24"/>
                <w:lang w:val="en-GB"/>
              </w:rPr>
            </w:pPr>
            <w:r w:rsidRPr="007D4126">
              <w:rPr>
                <w:rFonts w:ascii="Arial" w:hAnsi="Arial" w:cs="Arial"/>
                <w:szCs w:val="24"/>
                <w:lang w:val="en-GB"/>
              </w:rPr>
              <w:t xml:space="preserve">Implementation of </w:t>
            </w:r>
            <w:proofErr w:type="spellStart"/>
            <w:r w:rsidRPr="007D4126">
              <w:rPr>
                <w:rFonts w:ascii="Arial" w:hAnsi="Arial" w:cs="Arial"/>
                <w:szCs w:val="24"/>
                <w:lang w:val="en-GB"/>
              </w:rPr>
              <w:t>Cx</w:t>
            </w:r>
            <w:proofErr w:type="spellEnd"/>
            <w:r w:rsidRPr="007D4126">
              <w:rPr>
                <w:rFonts w:ascii="Arial" w:hAnsi="Arial" w:cs="Arial"/>
                <w:szCs w:val="24"/>
                <w:lang w:val="en-GB"/>
              </w:rPr>
              <w:t xml:space="preserve"> computer system to replace existing housing management and maintenance system</w:t>
            </w:r>
          </w:p>
        </w:tc>
        <w:tc>
          <w:tcPr>
            <w:tcW w:w="3118" w:type="dxa"/>
            <w:tcBorders>
              <w:top w:val="nil"/>
              <w:left w:val="nil"/>
              <w:bottom w:val="single" w:sz="4" w:space="0" w:color="auto"/>
              <w:right w:val="single" w:sz="4" w:space="0" w:color="auto"/>
            </w:tcBorders>
            <w:shd w:val="clear" w:color="auto" w:fill="auto"/>
            <w:hideMark/>
          </w:tcPr>
          <w:p w:rsidR="0071230F" w:rsidRPr="007D4126" w:rsidRDefault="0071230F" w:rsidP="0071230F">
            <w:pPr>
              <w:rPr>
                <w:rFonts w:ascii="Arial" w:hAnsi="Arial" w:cs="Arial"/>
                <w:szCs w:val="24"/>
                <w:lang w:val="en-GB"/>
              </w:rPr>
            </w:pPr>
            <w:r w:rsidRPr="007D4126">
              <w:rPr>
                <w:rFonts w:ascii="Arial" w:hAnsi="Arial" w:cs="Arial"/>
                <w:szCs w:val="24"/>
                <w:lang w:val="en-GB"/>
              </w:rPr>
              <w:t>Business Improvement</w:t>
            </w:r>
          </w:p>
        </w:tc>
      </w:tr>
      <w:tr w:rsidR="0071230F" w:rsidRPr="007D4126" w:rsidTr="005A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1200"/>
        </w:trPr>
        <w:tc>
          <w:tcPr>
            <w:tcW w:w="1952" w:type="dxa"/>
            <w:tcBorders>
              <w:top w:val="nil"/>
              <w:left w:val="single" w:sz="4" w:space="0" w:color="auto"/>
              <w:bottom w:val="single" w:sz="4" w:space="0" w:color="auto"/>
              <w:right w:val="single" w:sz="4" w:space="0" w:color="auto"/>
            </w:tcBorders>
            <w:shd w:val="clear" w:color="auto" w:fill="auto"/>
            <w:hideMark/>
          </w:tcPr>
          <w:p w:rsidR="0071230F" w:rsidRPr="007D4126" w:rsidRDefault="0071230F" w:rsidP="0071230F">
            <w:pPr>
              <w:rPr>
                <w:rFonts w:ascii="Arial" w:hAnsi="Arial" w:cs="Arial"/>
                <w:szCs w:val="24"/>
                <w:lang w:val="en-GB"/>
              </w:rPr>
            </w:pPr>
            <w:r w:rsidRPr="007D4126">
              <w:rPr>
                <w:rFonts w:ascii="Arial" w:hAnsi="Arial" w:cs="Arial"/>
                <w:szCs w:val="24"/>
                <w:lang w:val="en-GB"/>
              </w:rPr>
              <w:t>Restricting operating costs</w:t>
            </w:r>
          </w:p>
        </w:tc>
        <w:tc>
          <w:tcPr>
            <w:tcW w:w="9262" w:type="dxa"/>
            <w:gridSpan w:val="2"/>
            <w:tcBorders>
              <w:top w:val="nil"/>
              <w:left w:val="nil"/>
              <w:bottom w:val="single" w:sz="4" w:space="0" w:color="auto"/>
              <w:right w:val="single" w:sz="4" w:space="0" w:color="auto"/>
            </w:tcBorders>
            <w:shd w:val="clear" w:color="auto" w:fill="auto"/>
            <w:hideMark/>
          </w:tcPr>
          <w:p w:rsidR="0071230F" w:rsidRPr="007D4126" w:rsidRDefault="0071230F" w:rsidP="0071230F">
            <w:pPr>
              <w:rPr>
                <w:rFonts w:ascii="Arial" w:hAnsi="Arial" w:cs="Arial"/>
                <w:szCs w:val="24"/>
                <w:lang w:val="en-GB"/>
              </w:rPr>
            </w:pPr>
            <w:r w:rsidRPr="007D4126">
              <w:rPr>
                <w:rFonts w:ascii="Arial" w:hAnsi="Arial" w:cs="Arial"/>
                <w:szCs w:val="24"/>
                <w:lang w:val="en-GB"/>
              </w:rPr>
              <w:t>Achieve some challenging targets on arrears &amp; rent collection in relation to all the business streams - including rent collection rates of 99.5% &amp; General Needs arrears target of 5.6%</w:t>
            </w:r>
          </w:p>
        </w:tc>
        <w:tc>
          <w:tcPr>
            <w:tcW w:w="3118" w:type="dxa"/>
            <w:tcBorders>
              <w:top w:val="nil"/>
              <w:left w:val="nil"/>
              <w:bottom w:val="single" w:sz="4" w:space="0" w:color="auto"/>
              <w:right w:val="single" w:sz="4" w:space="0" w:color="auto"/>
            </w:tcBorders>
            <w:shd w:val="clear" w:color="auto" w:fill="auto"/>
            <w:hideMark/>
          </w:tcPr>
          <w:p w:rsidR="0071230F" w:rsidRPr="007D4126" w:rsidRDefault="0071230F" w:rsidP="0071230F">
            <w:pPr>
              <w:rPr>
                <w:rFonts w:ascii="Arial" w:hAnsi="Arial" w:cs="Arial"/>
                <w:szCs w:val="24"/>
                <w:lang w:val="en-GB"/>
              </w:rPr>
            </w:pPr>
            <w:r w:rsidRPr="007D4126">
              <w:rPr>
                <w:rFonts w:ascii="Arial" w:hAnsi="Arial" w:cs="Arial"/>
                <w:szCs w:val="24"/>
                <w:lang w:val="en-GB"/>
              </w:rPr>
              <w:t>Housing Services</w:t>
            </w:r>
          </w:p>
        </w:tc>
      </w:tr>
      <w:tr w:rsidR="0071230F" w:rsidRPr="007D4126" w:rsidTr="005A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00"/>
        </w:trPr>
        <w:tc>
          <w:tcPr>
            <w:tcW w:w="1952" w:type="dxa"/>
            <w:tcBorders>
              <w:top w:val="nil"/>
              <w:left w:val="single" w:sz="4" w:space="0" w:color="auto"/>
              <w:bottom w:val="single" w:sz="4" w:space="0" w:color="auto"/>
              <w:right w:val="single" w:sz="4" w:space="0" w:color="auto"/>
            </w:tcBorders>
            <w:shd w:val="clear" w:color="auto" w:fill="auto"/>
            <w:hideMark/>
          </w:tcPr>
          <w:p w:rsidR="0071230F" w:rsidRPr="007D4126" w:rsidRDefault="0071230F" w:rsidP="0071230F">
            <w:pPr>
              <w:rPr>
                <w:rFonts w:ascii="Arial" w:hAnsi="Arial" w:cs="Arial"/>
                <w:szCs w:val="24"/>
                <w:lang w:val="en-GB"/>
              </w:rPr>
            </w:pPr>
            <w:r w:rsidRPr="007D4126">
              <w:rPr>
                <w:rFonts w:ascii="Arial" w:hAnsi="Arial" w:cs="Arial"/>
                <w:szCs w:val="24"/>
                <w:lang w:val="en-GB"/>
              </w:rPr>
              <w:t>Restricting operating costs</w:t>
            </w:r>
          </w:p>
        </w:tc>
        <w:tc>
          <w:tcPr>
            <w:tcW w:w="9262" w:type="dxa"/>
            <w:gridSpan w:val="2"/>
            <w:tcBorders>
              <w:top w:val="nil"/>
              <w:left w:val="nil"/>
              <w:bottom w:val="single" w:sz="4" w:space="0" w:color="auto"/>
              <w:right w:val="single" w:sz="4" w:space="0" w:color="auto"/>
            </w:tcBorders>
            <w:shd w:val="clear" w:color="auto" w:fill="auto"/>
            <w:hideMark/>
          </w:tcPr>
          <w:p w:rsidR="0071230F" w:rsidRPr="007D4126" w:rsidRDefault="0071230F" w:rsidP="0071230F">
            <w:pPr>
              <w:rPr>
                <w:rFonts w:ascii="Arial" w:hAnsi="Arial" w:cs="Arial"/>
                <w:szCs w:val="24"/>
                <w:lang w:val="en-GB"/>
              </w:rPr>
            </w:pPr>
            <w:r w:rsidRPr="007D4126">
              <w:rPr>
                <w:rFonts w:ascii="Arial" w:hAnsi="Arial" w:cs="Arial"/>
                <w:szCs w:val="24"/>
                <w:lang w:val="en-GB"/>
              </w:rPr>
              <w:t>More frequent monitoring of high value orders to ensure than costs are contained.</w:t>
            </w:r>
          </w:p>
        </w:tc>
        <w:tc>
          <w:tcPr>
            <w:tcW w:w="3118" w:type="dxa"/>
            <w:tcBorders>
              <w:top w:val="nil"/>
              <w:left w:val="nil"/>
              <w:bottom w:val="single" w:sz="4" w:space="0" w:color="auto"/>
              <w:right w:val="single" w:sz="4" w:space="0" w:color="auto"/>
            </w:tcBorders>
            <w:shd w:val="clear" w:color="auto" w:fill="auto"/>
            <w:hideMark/>
          </w:tcPr>
          <w:p w:rsidR="0071230F" w:rsidRPr="007D4126" w:rsidRDefault="0071230F" w:rsidP="0071230F">
            <w:pPr>
              <w:rPr>
                <w:rFonts w:ascii="Arial" w:hAnsi="Arial" w:cs="Arial"/>
                <w:szCs w:val="24"/>
                <w:lang w:val="en-GB"/>
              </w:rPr>
            </w:pPr>
            <w:r w:rsidRPr="007D4126">
              <w:rPr>
                <w:rFonts w:ascii="Arial" w:hAnsi="Arial" w:cs="Arial"/>
                <w:szCs w:val="24"/>
                <w:lang w:val="en-GB"/>
              </w:rPr>
              <w:t>Responsive Repairs</w:t>
            </w:r>
          </w:p>
        </w:tc>
      </w:tr>
      <w:tr w:rsidR="0071230F" w:rsidRPr="007D4126" w:rsidTr="005A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00"/>
        </w:trPr>
        <w:tc>
          <w:tcPr>
            <w:tcW w:w="1952" w:type="dxa"/>
            <w:tcBorders>
              <w:top w:val="nil"/>
              <w:left w:val="single" w:sz="4" w:space="0" w:color="auto"/>
              <w:bottom w:val="single" w:sz="4" w:space="0" w:color="auto"/>
              <w:right w:val="single" w:sz="4" w:space="0" w:color="auto"/>
            </w:tcBorders>
            <w:shd w:val="clear" w:color="auto" w:fill="auto"/>
          </w:tcPr>
          <w:p w:rsidR="0071230F" w:rsidRPr="007D4126" w:rsidRDefault="0071230F" w:rsidP="0071230F">
            <w:pPr>
              <w:rPr>
                <w:rFonts w:ascii="Arial" w:hAnsi="Arial" w:cs="Arial"/>
                <w:szCs w:val="24"/>
                <w:lang w:val="en-GB"/>
              </w:rPr>
            </w:pPr>
            <w:r w:rsidRPr="007D4126">
              <w:rPr>
                <w:rFonts w:ascii="Arial" w:hAnsi="Arial" w:cs="Arial"/>
                <w:szCs w:val="24"/>
                <w:lang w:val="en-GB"/>
              </w:rPr>
              <w:t>Effective asset management</w:t>
            </w:r>
          </w:p>
        </w:tc>
        <w:tc>
          <w:tcPr>
            <w:tcW w:w="9262" w:type="dxa"/>
            <w:gridSpan w:val="2"/>
            <w:tcBorders>
              <w:top w:val="nil"/>
              <w:left w:val="nil"/>
              <w:bottom w:val="single" w:sz="4" w:space="0" w:color="auto"/>
              <w:right w:val="single" w:sz="4" w:space="0" w:color="auto"/>
            </w:tcBorders>
            <w:shd w:val="clear" w:color="auto" w:fill="auto"/>
          </w:tcPr>
          <w:p w:rsidR="0071230F" w:rsidRPr="007D4126" w:rsidRDefault="0071230F" w:rsidP="0071230F">
            <w:pPr>
              <w:rPr>
                <w:rFonts w:ascii="Arial" w:hAnsi="Arial" w:cs="Arial"/>
                <w:szCs w:val="24"/>
                <w:lang w:val="en-GB"/>
              </w:rPr>
            </w:pPr>
            <w:r w:rsidRPr="007D4126">
              <w:rPr>
                <w:rFonts w:ascii="Arial" w:hAnsi="Arial" w:cs="Arial"/>
                <w:szCs w:val="24"/>
                <w:lang w:val="en-GB"/>
              </w:rPr>
              <w:t xml:space="preserve">Continue review of Hexagon’s estates to identify land for further development. </w:t>
            </w:r>
          </w:p>
        </w:tc>
        <w:tc>
          <w:tcPr>
            <w:tcW w:w="3118" w:type="dxa"/>
            <w:tcBorders>
              <w:top w:val="nil"/>
              <w:left w:val="nil"/>
              <w:bottom w:val="single" w:sz="4" w:space="0" w:color="auto"/>
              <w:right w:val="single" w:sz="4" w:space="0" w:color="auto"/>
            </w:tcBorders>
            <w:shd w:val="clear" w:color="auto" w:fill="auto"/>
          </w:tcPr>
          <w:p w:rsidR="0071230F" w:rsidRPr="007D4126" w:rsidRDefault="0071230F" w:rsidP="0071230F">
            <w:pPr>
              <w:rPr>
                <w:rFonts w:ascii="Arial" w:hAnsi="Arial" w:cs="Arial"/>
                <w:szCs w:val="24"/>
                <w:lang w:val="en-GB"/>
              </w:rPr>
            </w:pPr>
            <w:r w:rsidRPr="007D4126">
              <w:rPr>
                <w:rFonts w:ascii="Arial" w:hAnsi="Arial" w:cs="Arial"/>
                <w:szCs w:val="24"/>
                <w:lang w:val="en-GB"/>
              </w:rPr>
              <w:t>Development &amp; Regeneration Director</w:t>
            </w:r>
          </w:p>
        </w:tc>
      </w:tr>
      <w:tr w:rsidR="0071230F" w:rsidRPr="007D4126" w:rsidTr="005A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900"/>
        </w:trPr>
        <w:tc>
          <w:tcPr>
            <w:tcW w:w="1952" w:type="dxa"/>
            <w:tcBorders>
              <w:top w:val="nil"/>
              <w:left w:val="single" w:sz="4" w:space="0" w:color="auto"/>
              <w:bottom w:val="single" w:sz="4" w:space="0" w:color="auto"/>
              <w:right w:val="single" w:sz="4" w:space="0" w:color="auto"/>
            </w:tcBorders>
            <w:shd w:val="clear" w:color="auto" w:fill="auto"/>
            <w:hideMark/>
          </w:tcPr>
          <w:p w:rsidR="0071230F" w:rsidRPr="007D4126" w:rsidRDefault="0071230F" w:rsidP="0071230F">
            <w:pPr>
              <w:rPr>
                <w:rFonts w:ascii="Arial" w:hAnsi="Arial" w:cs="Arial"/>
                <w:szCs w:val="24"/>
                <w:lang w:val="en-GB"/>
              </w:rPr>
            </w:pPr>
            <w:r w:rsidRPr="007D4126">
              <w:rPr>
                <w:rFonts w:ascii="Arial" w:hAnsi="Arial" w:cs="Arial"/>
                <w:szCs w:val="24"/>
                <w:lang w:val="en-GB"/>
              </w:rPr>
              <w:t>Effective asset management</w:t>
            </w:r>
          </w:p>
        </w:tc>
        <w:tc>
          <w:tcPr>
            <w:tcW w:w="9262" w:type="dxa"/>
            <w:gridSpan w:val="2"/>
            <w:tcBorders>
              <w:top w:val="nil"/>
              <w:left w:val="nil"/>
              <w:bottom w:val="single" w:sz="4" w:space="0" w:color="auto"/>
              <w:right w:val="single" w:sz="4" w:space="0" w:color="auto"/>
            </w:tcBorders>
            <w:shd w:val="clear" w:color="auto" w:fill="auto"/>
            <w:hideMark/>
          </w:tcPr>
          <w:p w:rsidR="0071230F" w:rsidRPr="007D4126" w:rsidRDefault="0071230F" w:rsidP="0071230F">
            <w:pPr>
              <w:rPr>
                <w:rFonts w:ascii="Arial" w:hAnsi="Arial" w:cs="Arial"/>
                <w:szCs w:val="24"/>
                <w:lang w:val="en-GB"/>
              </w:rPr>
            </w:pPr>
            <w:r w:rsidRPr="007D4126">
              <w:rPr>
                <w:rFonts w:ascii="Arial" w:hAnsi="Arial" w:cs="Arial"/>
                <w:szCs w:val="24"/>
                <w:lang w:val="en-GB"/>
              </w:rPr>
              <w:t>Dispose of properties where detailed assessment suggests that they are uneconomic to repair, maintain or let in the longer term.</w:t>
            </w:r>
          </w:p>
        </w:tc>
        <w:tc>
          <w:tcPr>
            <w:tcW w:w="3118" w:type="dxa"/>
            <w:tcBorders>
              <w:top w:val="nil"/>
              <w:left w:val="nil"/>
              <w:bottom w:val="single" w:sz="4" w:space="0" w:color="auto"/>
              <w:right w:val="single" w:sz="4" w:space="0" w:color="auto"/>
            </w:tcBorders>
            <w:shd w:val="clear" w:color="auto" w:fill="auto"/>
            <w:hideMark/>
          </w:tcPr>
          <w:p w:rsidR="0071230F" w:rsidRPr="007D4126" w:rsidRDefault="0071230F" w:rsidP="0071230F">
            <w:pPr>
              <w:rPr>
                <w:rFonts w:ascii="Arial" w:hAnsi="Arial" w:cs="Arial"/>
                <w:szCs w:val="24"/>
                <w:lang w:val="en-GB"/>
              </w:rPr>
            </w:pPr>
            <w:r w:rsidRPr="007D4126">
              <w:rPr>
                <w:rFonts w:ascii="Arial" w:hAnsi="Arial" w:cs="Arial"/>
                <w:szCs w:val="24"/>
                <w:lang w:val="en-GB"/>
              </w:rPr>
              <w:t>Stock Improvement</w:t>
            </w:r>
          </w:p>
        </w:tc>
      </w:tr>
      <w:tr w:rsidR="0071230F" w:rsidRPr="007D4126" w:rsidTr="005A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900"/>
        </w:trPr>
        <w:tc>
          <w:tcPr>
            <w:tcW w:w="1952" w:type="dxa"/>
            <w:tcBorders>
              <w:top w:val="nil"/>
              <w:left w:val="single" w:sz="4" w:space="0" w:color="auto"/>
              <w:bottom w:val="single" w:sz="4" w:space="0" w:color="auto"/>
              <w:right w:val="single" w:sz="4" w:space="0" w:color="auto"/>
            </w:tcBorders>
            <w:shd w:val="clear" w:color="auto" w:fill="auto"/>
            <w:hideMark/>
          </w:tcPr>
          <w:p w:rsidR="0071230F" w:rsidRPr="007D4126" w:rsidRDefault="0071230F" w:rsidP="0071230F">
            <w:pPr>
              <w:rPr>
                <w:rFonts w:ascii="Arial" w:hAnsi="Arial" w:cs="Arial"/>
                <w:szCs w:val="24"/>
                <w:lang w:val="en-GB"/>
              </w:rPr>
            </w:pPr>
            <w:r w:rsidRPr="007D4126">
              <w:rPr>
                <w:rFonts w:ascii="Arial" w:hAnsi="Arial" w:cs="Arial"/>
                <w:szCs w:val="24"/>
                <w:lang w:val="en-GB"/>
              </w:rPr>
              <w:t>Maximising development</w:t>
            </w:r>
          </w:p>
        </w:tc>
        <w:tc>
          <w:tcPr>
            <w:tcW w:w="9262" w:type="dxa"/>
            <w:gridSpan w:val="2"/>
            <w:tcBorders>
              <w:top w:val="nil"/>
              <w:left w:val="nil"/>
              <w:bottom w:val="single" w:sz="4" w:space="0" w:color="auto"/>
              <w:right w:val="single" w:sz="4" w:space="0" w:color="auto"/>
            </w:tcBorders>
            <w:shd w:val="clear" w:color="auto" w:fill="auto"/>
            <w:hideMark/>
          </w:tcPr>
          <w:p w:rsidR="0071230F" w:rsidRPr="007D4126" w:rsidRDefault="0071230F" w:rsidP="0071230F">
            <w:pPr>
              <w:rPr>
                <w:rFonts w:ascii="Arial" w:hAnsi="Arial" w:cs="Arial"/>
                <w:szCs w:val="24"/>
                <w:lang w:val="en-GB"/>
              </w:rPr>
            </w:pPr>
            <w:r w:rsidRPr="007D4126">
              <w:rPr>
                <w:rFonts w:ascii="Arial" w:hAnsi="Arial" w:cs="Arial"/>
                <w:szCs w:val="24"/>
                <w:lang w:val="en-GB"/>
              </w:rPr>
              <w:t>Secure grant funding to develop homes under the 2016-2021 GLA funded development programme, generating cross subsidy of £3.7m through outright sales.</w:t>
            </w:r>
          </w:p>
        </w:tc>
        <w:tc>
          <w:tcPr>
            <w:tcW w:w="3118" w:type="dxa"/>
            <w:tcBorders>
              <w:top w:val="nil"/>
              <w:left w:val="nil"/>
              <w:bottom w:val="single" w:sz="4" w:space="0" w:color="auto"/>
              <w:right w:val="single" w:sz="4" w:space="0" w:color="auto"/>
            </w:tcBorders>
            <w:shd w:val="clear" w:color="auto" w:fill="auto"/>
            <w:hideMark/>
          </w:tcPr>
          <w:p w:rsidR="0071230F" w:rsidRPr="007D4126" w:rsidRDefault="0071230F" w:rsidP="0071230F">
            <w:pPr>
              <w:rPr>
                <w:rFonts w:ascii="Arial" w:hAnsi="Arial" w:cs="Arial"/>
                <w:szCs w:val="24"/>
                <w:lang w:val="en-GB"/>
              </w:rPr>
            </w:pPr>
            <w:r w:rsidRPr="007D4126">
              <w:rPr>
                <w:rFonts w:ascii="Arial" w:hAnsi="Arial" w:cs="Arial"/>
                <w:szCs w:val="24"/>
                <w:lang w:val="en-GB"/>
              </w:rPr>
              <w:t>New Business</w:t>
            </w:r>
          </w:p>
        </w:tc>
      </w:tr>
      <w:tr w:rsidR="0071230F" w:rsidRPr="007D4126" w:rsidTr="005A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1200"/>
        </w:trPr>
        <w:tc>
          <w:tcPr>
            <w:tcW w:w="1952" w:type="dxa"/>
            <w:tcBorders>
              <w:top w:val="nil"/>
              <w:left w:val="single" w:sz="4" w:space="0" w:color="auto"/>
              <w:bottom w:val="single" w:sz="4" w:space="0" w:color="auto"/>
              <w:right w:val="single" w:sz="4" w:space="0" w:color="auto"/>
            </w:tcBorders>
            <w:shd w:val="clear" w:color="auto" w:fill="auto"/>
            <w:hideMark/>
          </w:tcPr>
          <w:p w:rsidR="0071230F" w:rsidRPr="007D4126" w:rsidRDefault="0071230F" w:rsidP="0071230F">
            <w:pPr>
              <w:rPr>
                <w:rFonts w:ascii="Arial" w:hAnsi="Arial" w:cs="Arial"/>
                <w:szCs w:val="24"/>
                <w:lang w:val="en-GB"/>
              </w:rPr>
            </w:pPr>
            <w:r w:rsidRPr="007D4126">
              <w:rPr>
                <w:rFonts w:ascii="Arial" w:hAnsi="Arial" w:cs="Arial"/>
                <w:szCs w:val="24"/>
                <w:lang w:val="en-GB"/>
              </w:rPr>
              <w:t>Improving resident satisfaction</w:t>
            </w:r>
          </w:p>
        </w:tc>
        <w:tc>
          <w:tcPr>
            <w:tcW w:w="9262" w:type="dxa"/>
            <w:gridSpan w:val="2"/>
            <w:tcBorders>
              <w:top w:val="nil"/>
              <w:left w:val="nil"/>
              <w:bottom w:val="single" w:sz="4" w:space="0" w:color="auto"/>
              <w:right w:val="single" w:sz="4" w:space="0" w:color="auto"/>
            </w:tcBorders>
            <w:shd w:val="clear" w:color="auto" w:fill="auto"/>
            <w:hideMark/>
          </w:tcPr>
          <w:p w:rsidR="0071230F" w:rsidRPr="007D4126" w:rsidRDefault="0071230F" w:rsidP="0071230F">
            <w:pPr>
              <w:rPr>
                <w:rFonts w:ascii="Arial" w:hAnsi="Arial" w:cs="Arial"/>
                <w:szCs w:val="24"/>
                <w:lang w:val="en-GB"/>
              </w:rPr>
            </w:pPr>
            <w:r w:rsidRPr="007D4126">
              <w:rPr>
                <w:rFonts w:ascii="Arial" w:hAnsi="Arial" w:cs="Arial"/>
                <w:szCs w:val="24"/>
                <w:lang w:val="en-GB"/>
              </w:rPr>
              <w:t xml:space="preserve">Introduce PDA based surveys for repairs work to give more immediate feedback and allow us to deal with problems earlier; and set more challenging targets for satisfaction - such as 90% for the gas contractor. </w:t>
            </w:r>
          </w:p>
        </w:tc>
        <w:tc>
          <w:tcPr>
            <w:tcW w:w="3118" w:type="dxa"/>
            <w:tcBorders>
              <w:top w:val="nil"/>
              <w:left w:val="nil"/>
              <w:bottom w:val="single" w:sz="4" w:space="0" w:color="auto"/>
              <w:right w:val="single" w:sz="4" w:space="0" w:color="auto"/>
            </w:tcBorders>
            <w:shd w:val="clear" w:color="auto" w:fill="auto"/>
            <w:hideMark/>
          </w:tcPr>
          <w:p w:rsidR="0071230F" w:rsidRPr="007D4126" w:rsidRDefault="0071230F" w:rsidP="0071230F">
            <w:pPr>
              <w:rPr>
                <w:rFonts w:ascii="Arial" w:hAnsi="Arial" w:cs="Arial"/>
                <w:szCs w:val="24"/>
                <w:lang w:val="en-GB"/>
              </w:rPr>
            </w:pPr>
            <w:r w:rsidRPr="007D4126">
              <w:rPr>
                <w:rFonts w:ascii="Arial" w:hAnsi="Arial" w:cs="Arial"/>
                <w:szCs w:val="24"/>
                <w:lang w:val="en-GB"/>
              </w:rPr>
              <w:t>Responsive Repairs</w:t>
            </w:r>
          </w:p>
        </w:tc>
      </w:tr>
      <w:tr w:rsidR="0071230F" w:rsidRPr="007D4126" w:rsidTr="005A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1800"/>
        </w:trPr>
        <w:tc>
          <w:tcPr>
            <w:tcW w:w="1952" w:type="dxa"/>
            <w:tcBorders>
              <w:top w:val="nil"/>
              <w:left w:val="single" w:sz="4" w:space="0" w:color="auto"/>
              <w:bottom w:val="single" w:sz="4" w:space="0" w:color="auto"/>
              <w:right w:val="single" w:sz="4" w:space="0" w:color="auto"/>
            </w:tcBorders>
            <w:shd w:val="clear" w:color="auto" w:fill="auto"/>
            <w:hideMark/>
          </w:tcPr>
          <w:p w:rsidR="0071230F" w:rsidRPr="007D4126" w:rsidRDefault="0071230F" w:rsidP="0071230F">
            <w:pPr>
              <w:rPr>
                <w:rFonts w:ascii="Arial" w:hAnsi="Arial" w:cs="Arial"/>
                <w:szCs w:val="24"/>
                <w:lang w:val="en-GB"/>
              </w:rPr>
            </w:pPr>
            <w:r w:rsidRPr="007D4126">
              <w:rPr>
                <w:rFonts w:ascii="Arial" w:hAnsi="Arial" w:cs="Arial"/>
                <w:szCs w:val="24"/>
                <w:lang w:val="en-GB"/>
              </w:rPr>
              <w:t>Delivering social value</w:t>
            </w:r>
          </w:p>
        </w:tc>
        <w:tc>
          <w:tcPr>
            <w:tcW w:w="9262" w:type="dxa"/>
            <w:gridSpan w:val="2"/>
            <w:tcBorders>
              <w:top w:val="nil"/>
              <w:left w:val="nil"/>
              <w:bottom w:val="single" w:sz="4" w:space="0" w:color="auto"/>
              <w:right w:val="single" w:sz="4" w:space="0" w:color="auto"/>
            </w:tcBorders>
            <w:shd w:val="clear" w:color="auto" w:fill="auto"/>
            <w:hideMark/>
          </w:tcPr>
          <w:p w:rsidR="0071230F" w:rsidRPr="007D4126" w:rsidRDefault="0071230F" w:rsidP="0071230F">
            <w:pPr>
              <w:rPr>
                <w:rFonts w:ascii="Arial" w:hAnsi="Arial" w:cs="Arial"/>
                <w:szCs w:val="24"/>
                <w:lang w:val="en-GB"/>
              </w:rPr>
            </w:pPr>
            <w:r w:rsidRPr="007D4126">
              <w:rPr>
                <w:rFonts w:ascii="Arial" w:hAnsi="Arial" w:cs="Arial"/>
                <w:szCs w:val="24"/>
                <w:lang w:val="en-GB"/>
              </w:rPr>
              <w:t>Ensure effective delivery of Love London Working Project, including</w:t>
            </w:r>
            <w:r w:rsidRPr="007D4126">
              <w:rPr>
                <w:rFonts w:ascii="Arial" w:hAnsi="Arial" w:cs="Arial"/>
                <w:szCs w:val="24"/>
                <w:lang w:val="en-GB"/>
              </w:rPr>
              <w:br/>
              <w:t>- enrolling 200 participants (at least 100 of which are residents)</w:t>
            </w:r>
            <w:r w:rsidRPr="007D4126">
              <w:rPr>
                <w:rFonts w:ascii="Arial" w:hAnsi="Arial" w:cs="Arial"/>
                <w:szCs w:val="24"/>
                <w:lang w:val="en-GB"/>
              </w:rPr>
              <w:br/>
              <w:t>- getting at least 104 into employment (including 52 residents)</w:t>
            </w:r>
          </w:p>
        </w:tc>
        <w:tc>
          <w:tcPr>
            <w:tcW w:w="3118" w:type="dxa"/>
            <w:tcBorders>
              <w:top w:val="nil"/>
              <w:left w:val="nil"/>
              <w:bottom w:val="single" w:sz="4" w:space="0" w:color="auto"/>
              <w:right w:val="single" w:sz="4" w:space="0" w:color="auto"/>
            </w:tcBorders>
            <w:shd w:val="clear" w:color="auto" w:fill="auto"/>
            <w:hideMark/>
          </w:tcPr>
          <w:p w:rsidR="0071230F" w:rsidRPr="007D4126" w:rsidRDefault="0071230F" w:rsidP="0071230F">
            <w:pPr>
              <w:rPr>
                <w:rFonts w:ascii="Arial" w:hAnsi="Arial" w:cs="Arial"/>
                <w:szCs w:val="24"/>
                <w:lang w:val="en-GB"/>
              </w:rPr>
            </w:pPr>
            <w:r w:rsidRPr="007D4126">
              <w:rPr>
                <w:rFonts w:ascii="Arial" w:hAnsi="Arial" w:cs="Arial"/>
                <w:szCs w:val="24"/>
                <w:lang w:val="en-GB"/>
              </w:rPr>
              <w:t>Community Investment</w:t>
            </w:r>
          </w:p>
        </w:tc>
      </w:tr>
    </w:tbl>
    <w:p w:rsidR="00A43D7B" w:rsidRPr="007D4126" w:rsidRDefault="00A43D7B">
      <w:pPr>
        <w:jc w:val="both"/>
        <w:rPr>
          <w:rFonts w:ascii="Arial" w:hAnsi="Arial" w:cs="Arial"/>
          <w:lang w:val="en-GB"/>
        </w:rPr>
      </w:pPr>
    </w:p>
    <w:sectPr w:rsidR="00A43D7B" w:rsidRPr="007D4126" w:rsidSect="008D0C97">
      <w:footerReference w:type="default" r:id="rId19"/>
      <w:pgSz w:w="16840" w:h="11907" w:orient="landscape"/>
      <w:pgMar w:top="1418" w:right="539" w:bottom="1418" w:left="1440" w:header="720" w:footer="720"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6E" w:rsidRDefault="00F5056E">
      <w:r>
        <w:separator/>
      </w:r>
    </w:p>
  </w:endnote>
  <w:endnote w:type="continuationSeparator" w:id="0">
    <w:p w:rsidR="00F5056E" w:rsidRDefault="00F5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56E" w:rsidRDefault="00F5056E">
    <w:pPr>
      <w:pStyle w:val="Footer"/>
    </w:pPr>
    <w:r>
      <w:rPr>
        <w:rStyle w:val="PageNumber"/>
      </w:rPr>
      <w:fldChar w:fldCharType="begin"/>
    </w:r>
    <w:r>
      <w:rPr>
        <w:rStyle w:val="PageNumber"/>
      </w:rPr>
      <w:instrText xml:space="preserve"> PAGE </w:instrText>
    </w:r>
    <w:r>
      <w:rPr>
        <w:rStyle w:val="PageNumber"/>
      </w:rPr>
      <w:fldChar w:fldCharType="separate"/>
    </w:r>
    <w:r w:rsidR="007009D8">
      <w:rPr>
        <w:rStyle w:val="PageNumber"/>
        <w:noProof/>
      </w:rPr>
      <w:t>- 16 -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6E" w:rsidRDefault="00F5056E">
      <w:r>
        <w:separator/>
      </w:r>
    </w:p>
  </w:footnote>
  <w:footnote w:type="continuationSeparator" w:id="0">
    <w:p w:rsidR="00F5056E" w:rsidRDefault="00F50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19F8"/>
    <w:multiLevelType w:val="hybridMultilevel"/>
    <w:tmpl w:val="0DB8A804"/>
    <w:lvl w:ilvl="0" w:tplc="D626FB5E">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CF5D58"/>
    <w:multiLevelType w:val="hybridMultilevel"/>
    <w:tmpl w:val="92FC6A88"/>
    <w:lvl w:ilvl="0" w:tplc="D626FB5E">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323724"/>
    <w:multiLevelType w:val="hybridMultilevel"/>
    <w:tmpl w:val="555C1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1A07F2F"/>
    <w:multiLevelType w:val="multilevel"/>
    <w:tmpl w:val="404862E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nsid w:val="34B96131"/>
    <w:multiLevelType w:val="multilevel"/>
    <w:tmpl w:val="9B72E28A"/>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71"/>
        </w:tabs>
        <w:ind w:left="1571"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6120"/>
        </w:tabs>
        <w:ind w:left="6120" w:hanging="1800"/>
      </w:pPr>
      <w:rPr>
        <w:rFonts w:hint="default"/>
        <w:b w:val="0"/>
      </w:rPr>
    </w:lvl>
    <w:lvl w:ilvl="7">
      <w:start w:val="1"/>
      <w:numFmt w:val="decimal"/>
      <w:lvlText w:val="%1.%2.%3.%4.%5.%6.%7.%8"/>
      <w:lvlJc w:val="left"/>
      <w:pPr>
        <w:tabs>
          <w:tab w:val="num" w:pos="7200"/>
        </w:tabs>
        <w:ind w:left="7200" w:hanging="2160"/>
      </w:pPr>
      <w:rPr>
        <w:rFonts w:hint="default"/>
        <w:b w:val="0"/>
      </w:rPr>
    </w:lvl>
    <w:lvl w:ilvl="8">
      <w:start w:val="1"/>
      <w:numFmt w:val="decimal"/>
      <w:lvlText w:val="%1.%2.%3.%4.%5.%6.%7.%8.%9"/>
      <w:lvlJc w:val="left"/>
      <w:pPr>
        <w:tabs>
          <w:tab w:val="num" w:pos="7920"/>
        </w:tabs>
        <w:ind w:left="7920" w:hanging="2160"/>
      </w:pPr>
      <w:rPr>
        <w:rFonts w:hint="default"/>
        <w:b w:val="0"/>
      </w:rPr>
    </w:lvl>
  </w:abstractNum>
  <w:abstractNum w:abstractNumId="5">
    <w:nsid w:val="35872FC7"/>
    <w:multiLevelType w:val="hybridMultilevel"/>
    <w:tmpl w:val="681ED120"/>
    <w:lvl w:ilvl="0" w:tplc="D626FB5E">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EF25DD"/>
    <w:multiLevelType w:val="hybridMultilevel"/>
    <w:tmpl w:val="90AA2F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366539A"/>
    <w:multiLevelType w:val="hybridMultilevel"/>
    <w:tmpl w:val="FE5A5C06"/>
    <w:lvl w:ilvl="0" w:tplc="3F6EB6B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266445"/>
    <w:multiLevelType w:val="hybridMultilevel"/>
    <w:tmpl w:val="D2721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55D0E84"/>
    <w:multiLevelType w:val="hybridMultilevel"/>
    <w:tmpl w:val="EF24F098"/>
    <w:lvl w:ilvl="0" w:tplc="D626FB5E">
      <w:start w:val="1"/>
      <w:numFmt w:val="bullet"/>
      <w:lvlText w:val=""/>
      <w:lvlJc w:val="left"/>
      <w:pPr>
        <w:ind w:left="780" w:hanging="360"/>
      </w:pPr>
      <w:rPr>
        <w:rFonts w:ascii="Symbol" w:hAnsi="Symbol" w:hint="default"/>
        <w:color w:val="4F81BD" w:themeColor="accent1"/>
      </w:rPr>
    </w:lvl>
    <w:lvl w:ilvl="1" w:tplc="569C293C">
      <w:start w:val="1"/>
      <w:numFmt w:val="bullet"/>
      <w:lvlText w:val="o"/>
      <w:lvlJc w:val="left"/>
      <w:pPr>
        <w:ind w:left="1500" w:hanging="360"/>
      </w:pPr>
      <w:rPr>
        <w:rFonts w:ascii="Courier New" w:hAnsi="Courier New" w:hint="default"/>
        <w:color w:val="C0504D" w:themeColor="accent2"/>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5F493CEC"/>
    <w:multiLevelType w:val="hybridMultilevel"/>
    <w:tmpl w:val="B0BA4E48"/>
    <w:lvl w:ilvl="0" w:tplc="D626FB5E">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7"/>
  </w:num>
  <w:num w:numId="6">
    <w:abstractNumId w:val="1"/>
  </w:num>
  <w:num w:numId="7">
    <w:abstractNumId w:val="0"/>
  </w:num>
  <w:num w:numId="8">
    <w:abstractNumId w:val="5"/>
  </w:num>
  <w:num w:numId="9">
    <w:abstractNumId w:val="9"/>
  </w:num>
  <w:num w:numId="10">
    <w:abstractNumId w:val="10"/>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13"/>
    <w:rsid w:val="000014E4"/>
    <w:rsid w:val="0000255C"/>
    <w:rsid w:val="0000431D"/>
    <w:rsid w:val="00004BD5"/>
    <w:rsid w:val="0000628D"/>
    <w:rsid w:val="00007D50"/>
    <w:rsid w:val="00010440"/>
    <w:rsid w:val="00012F13"/>
    <w:rsid w:val="000205A4"/>
    <w:rsid w:val="00023526"/>
    <w:rsid w:val="00025BA8"/>
    <w:rsid w:val="00025D9E"/>
    <w:rsid w:val="000351B0"/>
    <w:rsid w:val="0003665B"/>
    <w:rsid w:val="00036F31"/>
    <w:rsid w:val="000422E8"/>
    <w:rsid w:val="0004257F"/>
    <w:rsid w:val="00042C0E"/>
    <w:rsid w:val="00044149"/>
    <w:rsid w:val="00044F1C"/>
    <w:rsid w:val="00045F74"/>
    <w:rsid w:val="000478AF"/>
    <w:rsid w:val="00054517"/>
    <w:rsid w:val="00055208"/>
    <w:rsid w:val="000568B8"/>
    <w:rsid w:val="00057435"/>
    <w:rsid w:val="00060A97"/>
    <w:rsid w:val="000612A5"/>
    <w:rsid w:val="00062868"/>
    <w:rsid w:val="00062D13"/>
    <w:rsid w:val="00071FF8"/>
    <w:rsid w:val="000763E2"/>
    <w:rsid w:val="00076A2D"/>
    <w:rsid w:val="00076C68"/>
    <w:rsid w:val="0007740C"/>
    <w:rsid w:val="000803E6"/>
    <w:rsid w:val="0008091E"/>
    <w:rsid w:val="0008143E"/>
    <w:rsid w:val="00081A29"/>
    <w:rsid w:val="00084648"/>
    <w:rsid w:val="00086FBF"/>
    <w:rsid w:val="00091525"/>
    <w:rsid w:val="00092EA7"/>
    <w:rsid w:val="00094B55"/>
    <w:rsid w:val="00095DDC"/>
    <w:rsid w:val="00095E7D"/>
    <w:rsid w:val="0009777D"/>
    <w:rsid w:val="000A0C7F"/>
    <w:rsid w:val="000A1994"/>
    <w:rsid w:val="000A3255"/>
    <w:rsid w:val="000A3B0C"/>
    <w:rsid w:val="000A43C4"/>
    <w:rsid w:val="000A4AA0"/>
    <w:rsid w:val="000A51B9"/>
    <w:rsid w:val="000A540A"/>
    <w:rsid w:val="000A7FE7"/>
    <w:rsid w:val="000B0E43"/>
    <w:rsid w:val="000B2250"/>
    <w:rsid w:val="000B30E2"/>
    <w:rsid w:val="000B7837"/>
    <w:rsid w:val="000B7ECF"/>
    <w:rsid w:val="000C4DD1"/>
    <w:rsid w:val="000C6447"/>
    <w:rsid w:val="000C7CEB"/>
    <w:rsid w:val="000C7D0C"/>
    <w:rsid w:val="000D3A48"/>
    <w:rsid w:val="000D4BF6"/>
    <w:rsid w:val="000D6351"/>
    <w:rsid w:val="000E04B9"/>
    <w:rsid w:val="000E1F64"/>
    <w:rsid w:val="000E261F"/>
    <w:rsid w:val="000E67B7"/>
    <w:rsid w:val="000E72CB"/>
    <w:rsid w:val="000F0047"/>
    <w:rsid w:val="000F2E3A"/>
    <w:rsid w:val="000F4788"/>
    <w:rsid w:val="00101950"/>
    <w:rsid w:val="00101958"/>
    <w:rsid w:val="00101FB2"/>
    <w:rsid w:val="001023A5"/>
    <w:rsid w:val="001025C8"/>
    <w:rsid w:val="00104F2A"/>
    <w:rsid w:val="00105F73"/>
    <w:rsid w:val="00107E43"/>
    <w:rsid w:val="00111A1F"/>
    <w:rsid w:val="00113317"/>
    <w:rsid w:val="0011410F"/>
    <w:rsid w:val="00116D0A"/>
    <w:rsid w:val="00121BE5"/>
    <w:rsid w:val="001221D3"/>
    <w:rsid w:val="00122F34"/>
    <w:rsid w:val="00123552"/>
    <w:rsid w:val="00123587"/>
    <w:rsid w:val="001249F5"/>
    <w:rsid w:val="001261A5"/>
    <w:rsid w:val="0012634F"/>
    <w:rsid w:val="001307C7"/>
    <w:rsid w:val="0013234E"/>
    <w:rsid w:val="00133C31"/>
    <w:rsid w:val="001355F7"/>
    <w:rsid w:val="0013688A"/>
    <w:rsid w:val="00143560"/>
    <w:rsid w:val="00145E6B"/>
    <w:rsid w:val="001464FC"/>
    <w:rsid w:val="0014666D"/>
    <w:rsid w:val="001469C1"/>
    <w:rsid w:val="00154AC9"/>
    <w:rsid w:val="001602AE"/>
    <w:rsid w:val="00162125"/>
    <w:rsid w:val="001632D3"/>
    <w:rsid w:val="0016497E"/>
    <w:rsid w:val="001653CC"/>
    <w:rsid w:val="00165681"/>
    <w:rsid w:val="00165823"/>
    <w:rsid w:val="00165B91"/>
    <w:rsid w:val="00172C25"/>
    <w:rsid w:val="00173355"/>
    <w:rsid w:val="00174DB2"/>
    <w:rsid w:val="0017602E"/>
    <w:rsid w:val="001762FC"/>
    <w:rsid w:val="001764CA"/>
    <w:rsid w:val="00180145"/>
    <w:rsid w:val="00180297"/>
    <w:rsid w:val="00182267"/>
    <w:rsid w:val="001840C3"/>
    <w:rsid w:val="001848A6"/>
    <w:rsid w:val="001855B0"/>
    <w:rsid w:val="00187635"/>
    <w:rsid w:val="001878C3"/>
    <w:rsid w:val="0019070E"/>
    <w:rsid w:val="001931F7"/>
    <w:rsid w:val="00193D1C"/>
    <w:rsid w:val="00195F0A"/>
    <w:rsid w:val="00196BC7"/>
    <w:rsid w:val="001975FC"/>
    <w:rsid w:val="001A07C4"/>
    <w:rsid w:val="001A1E2D"/>
    <w:rsid w:val="001A1F54"/>
    <w:rsid w:val="001A7179"/>
    <w:rsid w:val="001B1E0B"/>
    <w:rsid w:val="001B312E"/>
    <w:rsid w:val="001C230C"/>
    <w:rsid w:val="001C3BF1"/>
    <w:rsid w:val="001C4777"/>
    <w:rsid w:val="001C5203"/>
    <w:rsid w:val="001D13D8"/>
    <w:rsid w:val="001D1468"/>
    <w:rsid w:val="001D588B"/>
    <w:rsid w:val="001E2B33"/>
    <w:rsid w:val="001E35FE"/>
    <w:rsid w:val="001E74E0"/>
    <w:rsid w:val="001F034C"/>
    <w:rsid w:val="001F20D7"/>
    <w:rsid w:val="001F739B"/>
    <w:rsid w:val="00200A3B"/>
    <w:rsid w:val="00201CE9"/>
    <w:rsid w:val="00203E03"/>
    <w:rsid w:val="002063F6"/>
    <w:rsid w:val="00206568"/>
    <w:rsid w:val="00206666"/>
    <w:rsid w:val="00206BA4"/>
    <w:rsid w:val="00207E84"/>
    <w:rsid w:val="00211444"/>
    <w:rsid w:val="00217B8E"/>
    <w:rsid w:val="00220ABF"/>
    <w:rsid w:val="00223F22"/>
    <w:rsid w:val="0022521E"/>
    <w:rsid w:val="00227B5E"/>
    <w:rsid w:val="00227CD6"/>
    <w:rsid w:val="0023097B"/>
    <w:rsid w:val="0023281F"/>
    <w:rsid w:val="00232AFE"/>
    <w:rsid w:val="00233DB6"/>
    <w:rsid w:val="00241387"/>
    <w:rsid w:val="002427CA"/>
    <w:rsid w:val="002441EE"/>
    <w:rsid w:val="002455CF"/>
    <w:rsid w:val="00245DD6"/>
    <w:rsid w:val="002468C6"/>
    <w:rsid w:val="00250D6E"/>
    <w:rsid w:val="0025399A"/>
    <w:rsid w:val="00257EF6"/>
    <w:rsid w:val="00260D9C"/>
    <w:rsid w:val="00261824"/>
    <w:rsid w:val="0026308F"/>
    <w:rsid w:val="002641C5"/>
    <w:rsid w:val="00264B95"/>
    <w:rsid w:val="00264F47"/>
    <w:rsid w:val="00266754"/>
    <w:rsid w:val="00266B08"/>
    <w:rsid w:val="00267FBD"/>
    <w:rsid w:val="002711B8"/>
    <w:rsid w:val="002714DA"/>
    <w:rsid w:val="00273E8B"/>
    <w:rsid w:val="00275FD5"/>
    <w:rsid w:val="00277CCF"/>
    <w:rsid w:val="002810A5"/>
    <w:rsid w:val="002821E0"/>
    <w:rsid w:val="00284675"/>
    <w:rsid w:val="0028551B"/>
    <w:rsid w:val="0028761C"/>
    <w:rsid w:val="0029002F"/>
    <w:rsid w:val="00290097"/>
    <w:rsid w:val="00292E40"/>
    <w:rsid w:val="002933E0"/>
    <w:rsid w:val="00293E9F"/>
    <w:rsid w:val="00295867"/>
    <w:rsid w:val="002A474E"/>
    <w:rsid w:val="002A5EE7"/>
    <w:rsid w:val="002A7D95"/>
    <w:rsid w:val="002B0A96"/>
    <w:rsid w:val="002B292B"/>
    <w:rsid w:val="002B3256"/>
    <w:rsid w:val="002B48BD"/>
    <w:rsid w:val="002B5114"/>
    <w:rsid w:val="002B51D4"/>
    <w:rsid w:val="002B5523"/>
    <w:rsid w:val="002C046E"/>
    <w:rsid w:val="002C0A3A"/>
    <w:rsid w:val="002C4FDE"/>
    <w:rsid w:val="002C59B6"/>
    <w:rsid w:val="002C5B3D"/>
    <w:rsid w:val="002D4475"/>
    <w:rsid w:val="002D4C2D"/>
    <w:rsid w:val="002D5149"/>
    <w:rsid w:val="002D6896"/>
    <w:rsid w:val="002D74AD"/>
    <w:rsid w:val="002E0152"/>
    <w:rsid w:val="002E0D04"/>
    <w:rsid w:val="002E230F"/>
    <w:rsid w:val="002E2372"/>
    <w:rsid w:val="002E463D"/>
    <w:rsid w:val="002E4CF2"/>
    <w:rsid w:val="002E63B9"/>
    <w:rsid w:val="002F2785"/>
    <w:rsid w:val="002F4E4F"/>
    <w:rsid w:val="00300BCB"/>
    <w:rsid w:val="003013D2"/>
    <w:rsid w:val="00304701"/>
    <w:rsid w:val="003106DC"/>
    <w:rsid w:val="00310F37"/>
    <w:rsid w:val="0031196A"/>
    <w:rsid w:val="00311AAE"/>
    <w:rsid w:val="00312E77"/>
    <w:rsid w:val="0031360E"/>
    <w:rsid w:val="00313C8F"/>
    <w:rsid w:val="00313CA6"/>
    <w:rsid w:val="003162DF"/>
    <w:rsid w:val="00321E9A"/>
    <w:rsid w:val="00322375"/>
    <w:rsid w:val="003233C4"/>
    <w:rsid w:val="00325499"/>
    <w:rsid w:val="0032770B"/>
    <w:rsid w:val="0033029F"/>
    <w:rsid w:val="00331351"/>
    <w:rsid w:val="003328EB"/>
    <w:rsid w:val="003338E8"/>
    <w:rsid w:val="00333D39"/>
    <w:rsid w:val="00335A97"/>
    <w:rsid w:val="00335B89"/>
    <w:rsid w:val="003367D2"/>
    <w:rsid w:val="003377E5"/>
    <w:rsid w:val="00337DA6"/>
    <w:rsid w:val="00342711"/>
    <w:rsid w:val="003433CF"/>
    <w:rsid w:val="00344154"/>
    <w:rsid w:val="00345E92"/>
    <w:rsid w:val="00345FB8"/>
    <w:rsid w:val="003520A0"/>
    <w:rsid w:val="0035562F"/>
    <w:rsid w:val="00357854"/>
    <w:rsid w:val="00362E46"/>
    <w:rsid w:val="00366755"/>
    <w:rsid w:val="0036740C"/>
    <w:rsid w:val="00370402"/>
    <w:rsid w:val="00373FA3"/>
    <w:rsid w:val="00374278"/>
    <w:rsid w:val="00375BD9"/>
    <w:rsid w:val="00380832"/>
    <w:rsid w:val="00380A0E"/>
    <w:rsid w:val="00382A55"/>
    <w:rsid w:val="0038425F"/>
    <w:rsid w:val="00384519"/>
    <w:rsid w:val="00385E7A"/>
    <w:rsid w:val="00386731"/>
    <w:rsid w:val="003925FC"/>
    <w:rsid w:val="00392600"/>
    <w:rsid w:val="00392AC6"/>
    <w:rsid w:val="0039317F"/>
    <w:rsid w:val="0039433A"/>
    <w:rsid w:val="00394F9F"/>
    <w:rsid w:val="00397DB1"/>
    <w:rsid w:val="00397E05"/>
    <w:rsid w:val="003A2D48"/>
    <w:rsid w:val="003A4FEA"/>
    <w:rsid w:val="003A771C"/>
    <w:rsid w:val="003B38ED"/>
    <w:rsid w:val="003B4072"/>
    <w:rsid w:val="003B4132"/>
    <w:rsid w:val="003B6032"/>
    <w:rsid w:val="003B6885"/>
    <w:rsid w:val="003C05B7"/>
    <w:rsid w:val="003C2E4E"/>
    <w:rsid w:val="003C303A"/>
    <w:rsid w:val="003C37D5"/>
    <w:rsid w:val="003C3E91"/>
    <w:rsid w:val="003C46F5"/>
    <w:rsid w:val="003C57DE"/>
    <w:rsid w:val="003C7092"/>
    <w:rsid w:val="003C7ACC"/>
    <w:rsid w:val="003D2131"/>
    <w:rsid w:val="003D399B"/>
    <w:rsid w:val="003D3B90"/>
    <w:rsid w:val="003D40DE"/>
    <w:rsid w:val="003D4F85"/>
    <w:rsid w:val="003D5936"/>
    <w:rsid w:val="003D5E77"/>
    <w:rsid w:val="003E0726"/>
    <w:rsid w:val="003E0DD7"/>
    <w:rsid w:val="003E2970"/>
    <w:rsid w:val="003E3014"/>
    <w:rsid w:val="003E5F91"/>
    <w:rsid w:val="003E751B"/>
    <w:rsid w:val="003F01A4"/>
    <w:rsid w:val="003F0CE2"/>
    <w:rsid w:val="003F1D37"/>
    <w:rsid w:val="003F75E3"/>
    <w:rsid w:val="00400655"/>
    <w:rsid w:val="00401F71"/>
    <w:rsid w:val="00404739"/>
    <w:rsid w:val="00406839"/>
    <w:rsid w:val="00411CF6"/>
    <w:rsid w:val="00412846"/>
    <w:rsid w:val="00420A84"/>
    <w:rsid w:val="00423B92"/>
    <w:rsid w:val="004263BB"/>
    <w:rsid w:val="00427015"/>
    <w:rsid w:val="00427062"/>
    <w:rsid w:val="004345F6"/>
    <w:rsid w:val="00436319"/>
    <w:rsid w:val="004417C6"/>
    <w:rsid w:val="00441A76"/>
    <w:rsid w:val="00441D25"/>
    <w:rsid w:val="004446B0"/>
    <w:rsid w:val="00444CBE"/>
    <w:rsid w:val="00445DD3"/>
    <w:rsid w:val="00447373"/>
    <w:rsid w:val="00454DA5"/>
    <w:rsid w:val="00455469"/>
    <w:rsid w:val="0045716C"/>
    <w:rsid w:val="00461355"/>
    <w:rsid w:val="00462A23"/>
    <w:rsid w:val="00462F13"/>
    <w:rsid w:val="004649B6"/>
    <w:rsid w:val="00465E2E"/>
    <w:rsid w:val="00467AF9"/>
    <w:rsid w:val="004706D2"/>
    <w:rsid w:val="00474C08"/>
    <w:rsid w:val="00477715"/>
    <w:rsid w:val="0048014D"/>
    <w:rsid w:val="0048256A"/>
    <w:rsid w:val="00483499"/>
    <w:rsid w:val="00483577"/>
    <w:rsid w:val="00493A9C"/>
    <w:rsid w:val="00493D3E"/>
    <w:rsid w:val="00494E51"/>
    <w:rsid w:val="00494ECB"/>
    <w:rsid w:val="00497688"/>
    <w:rsid w:val="004A04AC"/>
    <w:rsid w:val="004A0ABC"/>
    <w:rsid w:val="004A0B47"/>
    <w:rsid w:val="004A1DAF"/>
    <w:rsid w:val="004A357E"/>
    <w:rsid w:val="004A6355"/>
    <w:rsid w:val="004A69C4"/>
    <w:rsid w:val="004B48D8"/>
    <w:rsid w:val="004B7721"/>
    <w:rsid w:val="004C04C6"/>
    <w:rsid w:val="004C363B"/>
    <w:rsid w:val="004C3B5E"/>
    <w:rsid w:val="004C5368"/>
    <w:rsid w:val="004C5701"/>
    <w:rsid w:val="004C5F0D"/>
    <w:rsid w:val="004C69E7"/>
    <w:rsid w:val="004C73D0"/>
    <w:rsid w:val="004C748E"/>
    <w:rsid w:val="004D1E37"/>
    <w:rsid w:val="004D2BBC"/>
    <w:rsid w:val="004D3557"/>
    <w:rsid w:val="004D3C07"/>
    <w:rsid w:val="004D3DD3"/>
    <w:rsid w:val="004D5EA5"/>
    <w:rsid w:val="004D67B6"/>
    <w:rsid w:val="004D704D"/>
    <w:rsid w:val="004E12D9"/>
    <w:rsid w:val="004E6B3B"/>
    <w:rsid w:val="004E70D5"/>
    <w:rsid w:val="004E7CE0"/>
    <w:rsid w:val="004F45D5"/>
    <w:rsid w:val="004F4AC2"/>
    <w:rsid w:val="004F5059"/>
    <w:rsid w:val="004F6DEE"/>
    <w:rsid w:val="004F7B34"/>
    <w:rsid w:val="005019ED"/>
    <w:rsid w:val="005035CF"/>
    <w:rsid w:val="00507470"/>
    <w:rsid w:val="00510FA2"/>
    <w:rsid w:val="00511DC9"/>
    <w:rsid w:val="00514D34"/>
    <w:rsid w:val="00517DA3"/>
    <w:rsid w:val="00521193"/>
    <w:rsid w:val="00521DAC"/>
    <w:rsid w:val="00523AAE"/>
    <w:rsid w:val="00523BF5"/>
    <w:rsid w:val="00530BCD"/>
    <w:rsid w:val="005326DA"/>
    <w:rsid w:val="005405BE"/>
    <w:rsid w:val="005414F5"/>
    <w:rsid w:val="005420EB"/>
    <w:rsid w:val="005425D6"/>
    <w:rsid w:val="00542BEE"/>
    <w:rsid w:val="005431A5"/>
    <w:rsid w:val="00543455"/>
    <w:rsid w:val="0054709C"/>
    <w:rsid w:val="00547311"/>
    <w:rsid w:val="0054777B"/>
    <w:rsid w:val="0055369A"/>
    <w:rsid w:val="00553C4C"/>
    <w:rsid w:val="00555274"/>
    <w:rsid w:val="00555837"/>
    <w:rsid w:val="005560B9"/>
    <w:rsid w:val="0055715C"/>
    <w:rsid w:val="005601E8"/>
    <w:rsid w:val="005618E2"/>
    <w:rsid w:val="005624EB"/>
    <w:rsid w:val="00570184"/>
    <w:rsid w:val="00570E33"/>
    <w:rsid w:val="00571665"/>
    <w:rsid w:val="0057357C"/>
    <w:rsid w:val="00574AB2"/>
    <w:rsid w:val="00577C31"/>
    <w:rsid w:val="0058148C"/>
    <w:rsid w:val="00583E5F"/>
    <w:rsid w:val="0058756C"/>
    <w:rsid w:val="00590DF0"/>
    <w:rsid w:val="00594BC9"/>
    <w:rsid w:val="00595434"/>
    <w:rsid w:val="00596A11"/>
    <w:rsid w:val="0059798B"/>
    <w:rsid w:val="005A0205"/>
    <w:rsid w:val="005A34D2"/>
    <w:rsid w:val="005A358A"/>
    <w:rsid w:val="005A5ED4"/>
    <w:rsid w:val="005A636D"/>
    <w:rsid w:val="005B1F56"/>
    <w:rsid w:val="005B4892"/>
    <w:rsid w:val="005B49ED"/>
    <w:rsid w:val="005C2670"/>
    <w:rsid w:val="005C3598"/>
    <w:rsid w:val="005C633E"/>
    <w:rsid w:val="005C7586"/>
    <w:rsid w:val="005C7B8E"/>
    <w:rsid w:val="005D05BE"/>
    <w:rsid w:val="005D424C"/>
    <w:rsid w:val="005D6454"/>
    <w:rsid w:val="005D6C9F"/>
    <w:rsid w:val="005D7D7C"/>
    <w:rsid w:val="005E0168"/>
    <w:rsid w:val="005E0919"/>
    <w:rsid w:val="005E143E"/>
    <w:rsid w:val="005E157E"/>
    <w:rsid w:val="005E336F"/>
    <w:rsid w:val="005E54A3"/>
    <w:rsid w:val="005E632D"/>
    <w:rsid w:val="005F0A6A"/>
    <w:rsid w:val="005F22A8"/>
    <w:rsid w:val="005F3BE3"/>
    <w:rsid w:val="005F595F"/>
    <w:rsid w:val="005F7C99"/>
    <w:rsid w:val="0060042B"/>
    <w:rsid w:val="0061213D"/>
    <w:rsid w:val="00613C06"/>
    <w:rsid w:val="006154C9"/>
    <w:rsid w:val="00616475"/>
    <w:rsid w:val="006167B4"/>
    <w:rsid w:val="0061713B"/>
    <w:rsid w:val="0061732A"/>
    <w:rsid w:val="0062171F"/>
    <w:rsid w:val="00622C27"/>
    <w:rsid w:val="00623537"/>
    <w:rsid w:val="006242A5"/>
    <w:rsid w:val="0062482C"/>
    <w:rsid w:val="00626881"/>
    <w:rsid w:val="00627A4F"/>
    <w:rsid w:val="00636E5B"/>
    <w:rsid w:val="0064168B"/>
    <w:rsid w:val="00642772"/>
    <w:rsid w:val="006430E0"/>
    <w:rsid w:val="0064400B"/>
    <w:rsid w:val="00644063"/>
    <w:rsid w:val="00644C46"/>
    <w:rsid w:val="00646BC0"/>
    <w:rsid w:val="00650802"/>
    <w:rsid w:val="00651C49"/>
    <w:rsid w:val="00651C92"/>
    <w:rsid w:val="00653739"/>
    <w:rsid w:val="00654E84"/>
    <w:rsid w:val="0065609C"/>
    <w:rsid w:val="00657161"/>
    <w:rsid w:val="00662408"/>
    <w:rsid w:val="00662A46"/>
    <w:rsid w:val="00664CC8"/>
    <w:rsid w:val="00665FD4"/>
    <w:rsid w:val="00667692"/>
    <w:rsid w:val="00667963"/>
    <w:rsid w:val="00667C25"/>
    <w:rsid w:val="00667E25"/>
    <w:rsid w:val="00670AD6"/>
    <w:rsid w:val="00673B06"/>
    <w:rsid w:val="00674AAF"/>
    <w:rsid w:val="00676845"/>
    <w:rsid w:val="00677FF4"/>
    <w:rsid w:val="00680F3C"/>
    <w:rsid w:val="00681724"/>
    <w:rsid w:val="00685E31"/>
    <w:rsid w:val="006904A2"/>
    <w:rsid w:val="00690EA1"/>
    <w:rsid w:val="00692285"/>
    <w:rsid w:val="00692A39"/>
    <w:rsid w:val="00693084"/>
    <w:rsid w:val="0069381D"/>
    <w:rsid w:val="00693BE7"/>
    <w:rsid w:val="006A0323"/>
    <w:rsid w:val="006A35FE"/>
    <w:rsid w:val="006A36BF"/>
    <w:rsid w:val="006B061E"/>
    <w:rsid w:val="006B151C"/>
    <w:rsid w:val="006B21EB"/>
    <w:rsid w:val="006B373B"/>
    <w:rsid w:val="006B6388"/>
    <w:rsid w:val="006C22C2"/>
    <w:rsid w:val="006C7535"/>
    <w:rsid w:val="006D1882"/>
    <w:rsid w:val="006D461C"/>
    <w:rsid w:val="006D51F8"/>
    <w:rsid w:val="006D56D6"/>
    <w:rsid w:val="006D66EA"/>
    <w:rsid w:val="006D785E"/>
    <w:rsid w:val="006E184A"/>
    <w:rsid w:val="006E1E34"/>
    <w:rsid w:val="006E432E"/>
    <w:rsid w:val="006E5B8D"/>
    <w:rsid w:val="006F13A8"/>
    <w:rsid w:val="006F1DA6"/>
    <w:rsid w:val="006F21F0"/>
    <w:rsid w:val="006F409D"/>
    <w:rsid w:val="006F48AE"/>
    <w:rsid w:val="007009D8"/>
    <w:rsid w:val="007019CE"/>
    <w:rsid w:val="00701FC9"/>
    <w:rsid w:val="00702EC8"/>
    <w:rsid w:val="00703092"/>
    <w:rsid w:val="007055AC"/>
    <w:rsid w:val="007100A7"/>
    <w:rsid w:val="0071042E"/>
    <w:rsid w:val="007106FC"/>
    <w:rsid w:val="00712160"/>
    <w:rsid w:val="0071230F"/>
    <w:rsid w:val="00715583"/>
    <w:rsid w:val="00715A63"/>
    <w:rsid w:val="00722B21"/>
    <w:rsid w:val="00723709"/>
    <w:rsid w:val="00724224"/>
    <w:rsid w:val="0072427B"/>
    <w:rsid w:val="007244B8"/>
    <w:rsid w:val="007261F1"/>
    <w:rsid w:val="0073266E"/>
    <w:rsid w:val="00733FD8"/>
    <w:rsid w:val="007347F3"/>
    <w:rsid w:val="00737868"/>
    <w:rsid w:val="007409E1"/>
    <w:rsid w:val="00742931"/>
    <w:rsid w:val="00744EF5"/>
    <w:rsid w:val="00746D47"/>
    <w:rsid w:val="007510B2"/>
    <w:rsid w:val="007534D0"/>
    <w:rsid w:val="0075454B"/>
    <w:rsid w:val="00757364"/>
    <w:rsid w:val="00760502"/>
    <w:rsid w:val="00762B67"/>
    <w:rsid w:val="00766468"/>
    <w:rsid w:val="0077009E"/>
    <w:rsid w:val="00771DB1"/>
    <w:rsid w:val="007739FC"/>
    <w:rsid w:val="00775E31"/>
    <w:rsid w:val="0077714F"/>
    <w:rsid w:val="007772D4"/>
    <w:rsid w:val="007814D1"/>
    <w:rsid w:val="00781638"/>
    <w:rsid w:val="007849BD"/>
    <w:rsid w:val="00784AB8"/>
    <w:rsid w:val="007879F5"/>
    <w:rsid w:val="0079297D"/>
    <w:rsid w:val="007933FE"/>
    <w:rsid w:val="0079651B"/>
    <w:rsid w:val="007A03BA"/>
    <w:rsid w:val="007A1A50"/>
    <w:rsid w:val="007A23E3"/>
    <w:rsid w:val="007A30CC"/>
    <w:rsid w:val="007A64B0"/>
    <w:rsid w:val="007B0341"/>
    <w:rsid w:val="007B3351"/>
    <w:rsid w:val="007B3EB7"/>
    <w:rsid w:val="007B48B1"/>
    <w:rsid w:val="007B641A"/>
    <w:rsid w:val="007B7C15"/>
    <w:rsid w:val="007B7C94"/>
    <w:rsid w:val="007B7D20"/>
    <w:rsid w:val="007C1B1A"/>
    <w:rsid w:val="007D32A0"/>
    <w:rsid w:val="007D3968"/>
    <w:rsid w:val="007D4126"/>
    <w:rsid w:val="007E05BE"/>
    <w:rsid w:val="007E1531"/>
    <w:rsid w:val="007E1BC6"/>
    <w:rsid w:val="007E48FA"/>
    <w:rsid w:val="007E61D7"/>
    <w:rsid w:val="007E7502"/>
    <w:rsid w:val="007F0456"/>
    <w:rsid w:val="007F32FF"/>
    <w:rsid w:val="007F438B"/>
    <w:rsid w:val="007F43ED"/>
    <w:rsid w:val="007F4DA5"/>
    <w:rsid w:val="007F4E40"/>
    <w:rsid w:val="007F5AEF"/>
    <w:rsid w:val="00803E81"/>
    <w:rsid w:val="008061BA"/>
    <w:rsid w:val="0080628D"/>
    <w:rsid w:val="0080648A"/>
    <w:rsid w:val="00807642"/>
    <w:rsid w:val="00807FF6"/>
    <w:rsid w:val="00810442"/>
    <w:rsid w:val="00810816"/>
    <w:rsid w:val="00811B63"/>
    <w:rsid w:val="008140EA"/>
    <w:rsid w:val="00815B19"/>
    <w:rsid w:val="00816D1D"/>
    <w:rsid w:val="00817CAA"/>
    <w:rsid w:val="00817EA1"/>
    <w:rsid w:val="00820CC2"/>
    <w:rsid w:val="00821C97"/>
    <w:rsid w:val="00822398"/>
    <w:rsid w:val="008239E7"/>
    <w:rsid w:val="0082480C"/>
    <w:rsid w:val="00826368"/>
    <w:rsid w:val="008276AB"/>
    <w:rsid w:val="00831AE8"/>
    <w:rsid w:val="008321DF"/>
    <w:rsid w:val="00835A4F"/>
    <w:rsid w:val="00837E42"/>
    <w:rsid w:val="00841207"/>
    <w:rsid w:val="00842797"/>
    <w:rsid w:val="00843CEB"/>
    <w:rsid w:val="00846A1F"/>
    <w:rsid w:val="008503A5"/>
    <w:rsid w:val="00850DF3"/>
    <w:rsid w:val="00851111"/>
    <w:rsid w:val="0085180F"/>
    <w:rsid w:val="00853DA7"/>
    <w:rsid w:val="008615F6"/>
    <w:rsid w:val="00862295"/>
    <w:rsid w:val="00862ED3"/>
    <w:rsid w:val="008651DF"/>
    <w:rsid w:val="00866A79"/>
    <w:rsid w:val="008674C2"/>
    <w:rsid w:val="00870B47"/>
    <w:rsid w:val="00871CD6"/>
    <w:rsid w:val="00874707"/>
    <w:rsid w:val="00874A1A"/>
    <w:rsid w:val="00876877"/>
    <w:rsid w:val="00877DF5"/>
    <w:rsid w:val="0088202D"/>
    <w:rsid w:val="008821BF"/>
    <w:rsid w:val="00883261"/>
    <w:rsid w:val="00886184"/>
    <w:rsid w:val="00887E9F"/>
    <w:rsid w:val="008916D9"/>
    <w:rsid w:val="008971EF"/>
    <w:rsid w:val="0089788F"/>
    <w:rsid w:val="008A0418"/>
    <w:rsid w:val="008A18FC"/>
    <w:rsid w:val="008A3F00"/>
    <w:rsid w:val="008A42E4"/>
    <w:rsid w:val="008A4AD9"/>
    <w:rsid w:val="008A4DCF"/>
    <w:rsid w:val="008A5632"/>
    <w:rsid w:val="008A5FBB"/>
    <w:rsid w:val="008B0A03"/>
    <w:rsid w:val="008B1AFA"/>
    <w:rsid w:val="008B22F7"/>
    <w:rsid w:val="008B5139"/>
    <w:rsid w:val="008C2ACC"/>
    <w:rsid w:val="008C4DAF"/>
    <w:rsid w:val="008C75E5"/>
    <w:rsid w:val="008D0C97"/>
    <w:rsid w:val="008D203C"/>
    <w:rsid w:val="008D5A0B"/>
    <w:rsid w:val="008D5C22"/>
    <w:rsid w:val="008D7E4D"/>
    <w:rsid w:val="008E1E05"/>
    <w:rsid w:val="008E2C70"/>
    <w:rsid w:val="008E2DDA"/>
    <w:rsid w:val="008E304C"/>
    <w:rsid w:val="008E3A5F"/>
    <w:rsid w:val="008E4281"/>
    <w:rsid w:val="008E5595"/>
    <w:rsid w:val="008E6960"/>
    <w:rsid w:val="008E7419"/>
    <w:rsid w:val="008F3B34"/>
    <w:rsid w:val="008F4C26"/>
    <w:rsid w:val="008F606B"/>
    <w:rsid w:val="008F62EC"/>
    <w:rsid w:val="008F6D27"/>
    <w:rsid w:val="00901A4D"/>
    <w:rsid w:val="00902538"/>
    <w:rsid w:val="009060C6"/>
    <w:rsid w:val="00906643"/>
    <w:rsid w:val="00907C93"/>
    <w:rsid w:val="0091312F"/>
    <w:rsid w:val="009137C1"/>
    <w:rsid w:val="00924445"/>
    <w:rsid w:val="009248EE"/>
    <w:rsid w:val="00924921"/>
    <w:rsid w:val="00925430"/>
    <w:rsid w:val="00925C64"/>
    <w:rsid w:val="009315B4"/>
    <w:rsid w:val="00932D34"/>
    <w:rsid w:val="00932FC7"/>
    <w:rsid w:val="00934CCB"/>
    <w:rsid w:val="0094140C"/>
    <w:rsid w:val="00942D4A"/>
    <w:rsid w:val="009435D3"/>
    <w:rsid w:val="009442E7"/>
    <w:rsid w:val="00944450"/>
    <w:rsid w:val="009467E9"/>
    <w:rsid w:val="00947866"/>
    <w:rsid w:val="00947C21"/>
    <w:rsid w:val="0095679A"/>
    <w:rsid w:val="00956D61"/>
    <w:rsid w:val="009609D7"/>
    <w:rsid w:val="00960FA1"/>
    <w:rsid w:val="00962EEF"/>
    <w:rsid w:val="009641EC"/>
    <w:rsid w:val="00964FE0"/>
    <w:rsid w:val="00966EA1"/>
    <w:rsid w:val="00972618"/>
    <w:rsid w:val="0097776B"/>
    <w:rsid w:val="00977A85"/>
    <w:rsid w:val="009824FA"/>
    <w:rsid w:val="00982790"/>
    <w:rsid w:val="00983925"/>
    <w:rsid w:val="00983A24"/>
    <w:rsid w:val="009841B2"/>
    <w:rsid w:val="00984A50"/>
    <w:rsid w:val="00984BD4"/>
    <w:rsid w:val="009902AE"/>
    <w:rsid w:val="009936E0"/>
    <w:rsid w:val="009948EF"/>
    <w:rsid w:val="00995932"/>
    <w:rsid w:val="00996915"/>
    <w:rsid w:val="009A1960"/>
    <w:rsid w:val="009A32FC"/>
    <w:rsid w:val="009A4C9A"/>
    <w:rsid w:val="009A4E9E"/>
    <w:rsid w:val="009A684C"/>
    <w:rsid w:val="009A6D25"/>
    <w:rsid w:val="009B0941"/>
    <w:rsid w:val="009B344E"/>
    <w:rsid w:val="009B376B"/>
    <w:rsid w:val="009B4B20"/>
    <w:rsid w:val="009B6D11"/>
    <w:rsid w:val="009C03D5"/>
    <w:rsid w:val="009C3D14"/>
    <w:rsid w:val="009C6828"/>
    <w:rsid w:val="009C6872"/>
    <w:rsid w:val="009D091D"/>
    <w:rsid w:val="009D185A"/>
    <w:rsid w:val="009D724E"/>
    <w:rsid w:val="009E004A"/>
    <w:rsid w:val="009E22DD"/>
    <w:rsid w:val="009E4611"/>
    <w:rsid w:val="009E530D"/>
    <w:rsid w:val="009E5B30"/>
    <w:rsid w:val="009F4A39"/>
    <w:rsid w:val="009F597F"/>
    <w:rsid w:val="009F6796"/>
    <w:rsid w:val="009F715A"/>
    <w:rsid w:val="009F7512"/>
    <w:rsid w:val="00A008F9"/>
    <w:rsid w:val="00A012F4"/>
    <w:rsid w:val="00A01471"/>
    <w:rsid w:val="00A02D1A"/>
    <w:rsid w:val="00A037F1"/>
    <w:rsid w:val="00A0513E"/>
    <w:rsid w:val="00A07654"/>
    <w:rsid w:val="00A11713"/>
    <w:rsid w:val="00A123F3"/>
    <w:rsid w:val="00A13056"/>
    <w:rsid w:val="00A163A1"/>
    <w:rsid w:val="00A16C43"/>
    <w:rsid w:val="00A213A3"/>
    <w:rsid w:val="00A23583"/>
    <w:rsid w:val="00A24565"/>
    <w:rsid w:val="00A2542D"/>
    <w:rsid w:val="00A26502"/>
    <w:rsid w:val="00A269AC"/>
    <w:rsid w:val="00A270B4"/>
    <w:rsid w:val="00A27A05"/>
    <w:rsid w:val="00A30958"/>
    <w:rsid w:val="00A31158"/>
    <w:rsid w:val="00A31283"/>
    <w:rsid w:val="00A33C06"/>
    <w:rsid w:val="00A377FE"/>
    <w:rsid w:val="00A4105E"/>
    <w:rsid w:val="00A4126A"/>
    <w:rsid w:val="00A417A6"/>
    <w:rsid w:val="00A4277F"/>
    <w:rsid w:val="00A43535"/>
    <w:rsid w:val="00A43B97"/>
    <w:rsid w:val="00A43D7B"/>
    <w:rsid w:val="00A44A8E"/>
    <w:rsid w:val="00A471D9"/>
    <w:rsid w:val="00A47E2D"/>
    <w:rsid w:val="00A51822"/>
    <w:rsid w:val="00A54AD5"/>
    <w:rsid w:val="00A56083"/>
    <w:rsid w:val="00A61A62"/>
    <w:rsid w:val="00A62C02"/>
    <w:rsid w:val="00A631E1"/>
    <w:rsid w:val="00A643DB"/>
    <w:rsid w:val="00A64E2F"/>
    <w:rsid w:val="00A64E96"/>
    <w:rsid w:val="00A6547B"/>
    <w:rsid w:val="00A65A4E"/>
    <w:rsid w:val="00A70204"/>
    <w:rsid w:val="00A716B6"/>
    <w:rsid w:val="00A71A39"/>
    <w:rsid w:val="00A73F25"/>
    <w:rsid w:val="00A7417A"/>
    <w:rsid w:val="00A74311"/>
    <w:rsid w:val="00A74A5C"/>
    <w:rsid w:val="00A75DA9"/>
    <w:rsid w:val="00A76A72"/>
    <w:rsid w:val="00A77359"/>
    <w:rsid w:val="00A93BEF"/>
    <w:rsid w:val="00A944B8"/>
    <w:rsid w:val="00A944FE"/>
    <w:rsid w:val="00A95E28"/>
    <w:rsid w:val="00AA0353"/>
    <w:rsid w:val="00AA0A92"/>
    <w:rsid w:val="00AA16D1"/>
    <w:rsid w:val="00AA33B0"/>
    <w:rsid w:val="00AA34DE"/>
    <w:rsid w:val="00AA545C"/>
    <w:rsid w:val="00AB0668"/>
    <w:rsid w:val="00AC12FC"/>
    <w:rsid w:val="00AC2DCE"/>
    <w:rsid w:val="00AC346D"/>
    <w:rsid w:val="00AC5514"/>
    <w:rsid w:val="00AC7B95"/>
    <w:rsid w:val="00AD123D"/>
    <w:rsid w:val="00AD1780"/>
    <w:rsid w:val="00AE0F80"/>
    <w:rsid w:val="00AE32D3"/>
    <w:rsid w:val="00AE599B"/>
    <w:rsid w:val="00AE64A6"/>
    <w:rsid w:val="00AF1794"/>
    <w:rsid w:val="00AF1924"/>
    <w:rsid w:val="00AF2F58"/>
    <w:rsid w:val="00AF37B8"/>
    <w:rsid w:val="00AF5CAA"/>
    <w:rsid w:val="00AF66C6"/>
    <w:rsid w:val="00B01CB2"/>
    <w:rsid w:val="00B0445E"/>
    <w:rsid w:val="00B04D2D"/>
    <w:rsid w:val="00B073F9"/>
    <w:rsid w:val="00B1057D"/>
    <w:rsid w:val="00B10A29"/>
    <w:rsid w:val="00B139E1"/>
    <w:rsid w:val="00B15165"/>
    <w:rsid w:val="00B22010"/>
    <w:rsid w:val="00B2349B"/>
    <w:rsid w:val="00B2361B"/>
    <w:rsid w:val="00B26EEC"/>
    <w:rsid w:val="00B30282"/>
    <w:rsid w:val="00B307FC"/>
    <w:rsid w:val="00B31397"/>
    <w:rsid w:val="00B3304D"/>
    <w:rsid w:val="00B33994"/>
    <w:rsid w:val="00B34C18"/>
    <w:rsid w:val="00B36D13"/>
    <w:rsid w:val="00B40C63"/>
    <w:rsid w:val="00B42143"/>
    <w:rsid w:val="00B42BDE"/>
    <w:rsid w:val="00B43F99"/>
    <w:rsid w:val="00B44A8A"/>
    <w:rsid w:val="00B44B3A"/>
    <w:rsid w:val="00B45884"/>
    <w:rsid w:val="00B4721D"/>
    <w:rsid w:val="00B51290"/>
    <w:rsid w:val="00B52003"/>
    <w:rsid w:val="00B566E3"/>
    <w:rsid w:val="00B57830"/>
    <w:rsid w:val="00B61E5A"/>
    <w:rsid w:val="00B61E75"/>
    <w:rsid w:val="00B6524C"/>
    <w:rsid w:val="00B661D1"/>
    <w:rsid w:val="00B66A7E"/>
    <w:rsid w:val="00B67DE6"/>
    <w:rsid w:val="00B737D0"/>
    <w:rsid w:val="00B80CF4"/>
    <w:rsid w:val="00B837AA"/>
    <w:rsid w:val="00B85492"/>
    <w:rsid w:val="00B87B1B"/>
    <w:rsid w:val="00B923F5"/>
    <w:rsid w:val="00B9245B"/>
    <w:rsid w:val="00B93A9C"/>
    <w:rsid w:val="00B96E35"/>
    <w:rsid w:val="00BA2C0E"/>
    <w:rsid w:val="00BA2ED8"/>
    <w:rsid w:val="00BA3ACC"/>
    <w:rsid w:val="00BA5098"/>
    <w:rsid w:val="00BA6D37"/>
    <w:rsid w:val="00BB0550"/>
    <w:rsid w:val="00BB119C"/>
    <w:rsid w:val="00BB2762"/>
    <w:rsid w:val="00BB6BD8"/>
    <w:rsid w:val="00BB7471"/>
    <w:rsid w:val="00BB7CC5"/>
    <w:rsid w:val="00BC1D67"/>
    <w:rsid w:val="00BC26A1"/>
    <w:rsid w:val="00BC395B"/>
    <w:rsid w:val="00BC3CD6"/>
    <w:rsid w:val="00BC4025"/>
    <w:rsid w:val="00BC47B1"/>
    <w:rsid w:val="00BC55AA"/>
    <w:rsid w:val="00BC6336"/>
    <w:rsid w:val="00BC65C9"/>
    <w:rsid w:val="00BD4B15"/>
    <w:rsid w:val="00BD5445"/>
    <w:rsid w:val="00BE630D"/>
    <w:rsid w:val="00BE6504"/>
    <w:rsid w:val="00BF025D"/>
    <w:rsid w:val="00BF2645"/>
    <w:rsid w:val="00BF3BAD"/>
    <w:rsid w:val="00BF6A6C"/>
    <w:rsid w:val="00BF7185"/>
    <w:rsid w:val="00BF7C99"/>
    <w:rsid w:val="00C00162"/>
    <w:rsid w:val="00C0567D"/>
    <w:rsid w:val="00C062BB"/>
    <w:rsid w:val="00C06E77"/>
    <w:rsid w:val="00C10175"/>
    <w:rsid w:val="00C10ECA"/>
    <w:rsid w:val="00C13C63"/>
    <w:rsid w:val="00C155C3"/>
    <w:rsid w:val="00C16407"/>
    <w:rsid w:val="00C1689B"/>
    <w:rsid w:val="00C17D28"/>
    <w:rsid w:val="00C22118"/>
    <w:rsid w:val="00C23490"/>
    <w:rsid w:val="00C2423F"/>
    <w:rsid w:val="00C24AD9"/>
    <w:rsid w:val="00C25F17"/>
    <w:rsid w:val="00C30D24"/>
    <w:rsid w:val="00C32991"/>
    <w:rsid w:val="00C33425"/>
    <w:rsid w:val="00C36C1E"/>
    <w:rsid w:val="00C42689"/>
    <w:rsid w:val="00C428F9"/>
    <w:rsid w:val="00C42E12"/>
    <w:rsid w:val="00C4324A"/>
    <w:rsid w:val="00C43914"/>
    <w:rsid w:val="00C44412"/>
    <w:rsid w:val="00C45453"/>
    <w:rsid w:val="00C503E2"/>
    <w:rsid w:val="00C508B0"/>
    <w:rsid w:val="00C51422"/>
    <w:rsid w:val="00C51480"/>
    <w:rsid w:val="00C5195A"/>
    <w:rsid w:val="00C56320"/>
    <w:rsid w:val="00C56A58"/>
    <w:rsid w:val="00C65158"/>
    <w:rsid w:val="00C65B53"/>
    <w:rsid w:val="00C6797F"/>
    <w:rsid w:val="00C720EB"/>
    <w:rsid w:val="00C722D5"/>
    <w:rsid w:val="00C72670"/>
    <w:rsid w:val="00C73FE2"/>
    <w:rsid w:val="00C74CB7"/>
    <w:rsid w:val="00C756A5"/>
    <w:rsid w:val="00C77AED"/>
    <w:rsid w:val="00C8003D"/>
    <w:rsid w:val="00C808C8"/>
    <w:rsid w:val="00C82D7B"/>
    <w:rsid w:val="00C85514"/>
    <w:rsid w:val="00C85B91"/>
    <w:rsid w:val="00C85FBD"/>
    <w:rsid w:val="00C904DE"/>
    <w:rsid w:val="00C91B9E"/>
    <w:rsid w:val="00C91BBF"/>
    <w:rsid w:val="00C94353"/>
    <w:rsid w:val="00C94586"/>
    <w:rsid w:val="00C9561C"/>
    <w:rsid w:val="00C95C7B"/>
    <w:rsid w:val="00C97066"/>
    <w:rsid w:val="00CA015D"/>
    <w:rsid w:val="00CA0169"/>
    <w:rsid w:val="00CA1697"/>
    <w:rsid w:val="00CA1FF8"/>
    <w:rsid w:val="00CA2D49"/>
    <w:rsid w:val="00CA32D8"/>
    <w:rsid w:val="00CA38AC"/>
    <w:rsid w:val="00CA4820"/>
    <w:rsid w:val="00CA697B"/>
    <w:rsid w:val="00CB2257"/>
    <w:rsid w:val="00CB276B"/>
    <w:rsid w:val="00CC07B4"/>
    <w:rsid w:val="00CC2B5D"/>
    <w:rsid w:val="00CC46C4"/>
    <w:rsid w:val="00CC6B8E"/>
    <w:rsid w:val="00CC7BBD"/>
    <w:rsid w:val="00CC7FF5"/>
    <w:rsid w:val="00CD1D96"/>
    <w:rsid w:val="00CD2419"/>
    <w:rsid w:val="00CD503E"/>
    <w:rsid w:val="00CE0DE6"/>
    <w:rsid w:val="00CE2301"/>
    <w:rsid w:val="00CE2D5D"/>
    <w:rsid w:val="00CE7169"/>
    <w:rsid w:val="00CE74BE"/>
    <w:rsid w:val="00CE7710"/>
    <w:rsid w:val="00CE7AD4"/>
    <w:rsid w:val="00CF27C9"/>
    <w:rsid w:val="00CF4D79"/>
    <w:rsid w:val="00CF7AB6"/>
    <w:rsid w:val="00D022D7"/>
    <w:rsid w:val="00D0434A"/>
    <w:rsid w:val="00D05F9F"/>
    <w:rsid w:val="00D06A48"/>
    <w:rsid w:val="00D1012F"/>
    <w:rsid w:val="00D13EFD"/>
    <w:rsid w:val="00D15AE0"/>
    <w:rsid w:val="00D15D5A"/>
    <w:rsid w:val="00D16AC7"/>
    <w:rsid w:val="00D2515A"/>
    <w:rsid w:val="00D301FC"/>
    <w:rsid w:val="00D3041B"/>
    <w:rsid w:val="00D329DB"/>
    <w:rsid w:val="00D336EF"/>
    <w:rsid w:val="00D35172"/>
    <w:rsid w:val="00D356F6"/>
    <w:rsid w:val="00D36717"/>
    <w:rsid w:val="00D41095"/>
    <w:rsid w:val="00D4310D"/>
    <w:rsid w:val="00D43389"/>
    <w:rsid w:val="00D43DF3"/>
    <w:rsid w:val="00D44225"/>
    <w:rsid w:val="00D44A05"/>
    <w:rsid w:val="00D453E6"/>
    <w:rsid w:val="00D45DF3"/>
    <w:rsid w:val="00D46510"/>
    <w:rsid w:val="00D46661"/>
    <w:rsid w:val="00D46AD2"/>
    <w:rsid w:val="00D4766C"/>
    <w:rsid w:val="00D47E58"/>
    <w:rsid w:val="00D51067"/>
    <w:rsid w:val="00D52D74"/>
    <w:rsid w:val="00D53D69"/>
    <w:rsid w:val="00D604B2"/>
    <w:rsid w:val="00D60EDE"/>
    <w:rsid w:val="00D6398A"/>
    <w:rsid w:val="00D67E97"/>
    <w:rsid w:val="00D700C5"/>
    <w:rsid w:val="00D7126F"/>
    <w:rsid w:val="00D7238A"/>
    <w:rsid w:val="00D728F3"/>
    <w:rsid w:val="00D7353D"/>
    <w:rsid w:val="00D73D07"/>
    <w:rsid w:val="00D754F1"/>
    <w:rsid w:val="00D758AC"/>
    <w:rsid w:val="00D762C5"/>
    <w:rsid w:val="00D76EDF"/>
    <w:rsid w:val="00D8123C"/>
    <w:rsid w:val="00D81782"/>
    <w:rsid w:val="00D81E41"/>
    <w:rsid w:val="00D84464"/>
    <w:rsid w:val="00D85E9F"/>
    <w:rsid w:val="00D86575"/>
    <w:rsid w:val="00D93BCE"/>
    <w:rsid w:val="00D93FC0"/>
    <w:rsid w:val="00D947F2"/>
    <w:rsid w:val="00D95393"/>
    <w:rsid w:val="00D97E46"/>
    <w:rsid w:val="00DA1828"/>
    <w:rsid w:val="00DA1FF3"/>
    <w:rsid w:val="00DA3B0D"/>
    <w:rsid w:val="00DA4563"/>
    <w:rsid w:val="00DA50D8"/>
    <w:rsid w:val="00DB0F3B"/>
    <w:rsid w:val="00DB2B8A"/>
    <w:rsid w:val="00DB7819"/>
    <w:rsid w:val="00DC134E"/>
    <w:rsid w:val="00DC3256"/>
    <w:rsid w:val="00DC48A1"/>
    <w:rsid w:val="00DC4C25"/>
    <w:rsid w:val="00DC7138"/>
    <w:rsid w:val="00DC7706"/>
    <w:rsid w:val="00DC7AB4"/>
    <w:rsid w:val="00DD0B10"/>
    <w:rsid w:val="00DD4B2E"/>
    <w:rsid w:val="00DD4FBB"/>
    <w:rsid w:val="00DD5393"/>
    <w:rsid w:val="00DD6BEC"/>
    <w:rsid w:val="00DD7C71"/>
    <w:rsid w:val="00DE2AF2"/>
    <w:rsid w:val="00DE4899"/>
    <w:rsid w:val="00DF22AA"/>
    <w:rsid w:val="00DF2496"/>
    <w:rsid w:val="00DF3967"/>
    <w:rsid w:val="00DF3F09"/>
    <w:rsid w:val="00DF531F"/>
    <w:rsid w:val="00DF6A73"/>
    <w:rsid w:val="00DF705F"/>
    <w:rsid w:val="00E00697"/>
    <w:rsid w:val="00E06026"/>
    <w:rsid w:val="00E06576"/>
    <w:rsid w:val="00E10A21"/>
    <w:rsid w:val="00E1176E"/>
    <w:rsid w:val="00E1346E"/>
    <w:rsid w:val="00E13C63"/>
    <w:rsid w:val="00E14107"/>
    <w:rsid w:val="00E14632"/>
    <w:rsid w:val="00E146FB"/>
    <w:rsid w:val="00E14E8B"/>
    <w:rsid w:val="00E2095D"/>
    <w:rsid w:val="00E21F11"/>
    <w:rsid w:val="00E239FC"/>
    <w:rsid w:val="00E2427F"/>
    <w:rsid w:val="00E26635"/>
    <w:rsid w:val="00E26916"/>
    <w:rsid w:val="00E278B9"/>
    <w:rsid w:val="00E307A8"/>
    <w:rsid w:val="00E31CFF"/>
    <w:rsid w:val="00E32968"/>
    <w:rsid w:val="00E33FCD"/>
    <w:rsid w:val="00E3609C"/>
    <w:rsid w:val="00E42536"/>
    <w:rsid w:val="00E4542E"/>
    <w:rsid w:val="00E47B19"/>
    <w:rsid w:val="00E5046D"/>
    <w:rsid w:val="00E50D0E"/>
    <w:rsid w:val="00E50F9C"/>
    <w:rsid w:val="00E515B8"/>
    <w:rsid w:val="00E5320B"/>
    <w:rsid w:val="00E5792E"/>
    <w:rsid w:val="00E6032E"/>
    <w:rsid w:val="00E61644"/>
    <w:rsid w:val="00E6200A"/>
    <w:rsid w:val="00E64095"/>
    <w:rsid w:val="00E6453A"/>
    <w:rsid w:val="00E65F28"/>
    <w:rsid w:val="00E72097"/>
    <w:rsid w:val="00E72638"/>
    <w:rsid w:val="00E732A2"/>
    <w:rsid w:val="00E73C85"/>
    <w:rsid w:val="00E7777B"/>
    <w:rsid w:val="00E77EA8"/>
    <w:rsid w:val="00E80BBC"/>
    <w:rsid w:val="00E8117F"/>
    <w:rsid w:val="00E907EE"/>
    <w:rsid w:val="00E9561B"/>
    <w:rsid w:val="00E960AE"/>
    <w:rsid w:val="00E97119"/>
    <w:rsid w:val="00EB169C"/>
    <w:rsid w:val="00EB3204"/>
    <w:rsid w:val="00EB5201"/>
    <w:rsid w:val="00EB5C1D"/>
    <w:rsid w:val="00EB75AD"/>
    <w:rsid w:val="00EC334F"/>
    <w:rsid w:val="00EC3479"/>
    <w:rsid w:val="00EC34A5"/>
    <w:rsid w:val="00EC530B"/>
    <w:rsid w:val="00EC5848"/>
    <w:rsid w:val="00EC59FD"/>
    <w:rsid w:val="00EC614B"/>
    <w:rsid w:val="00ED173E"/>
    <w:rsid w:val="00ED26DB"/>
    <w:rsid w:val="00ED3C7B"/>
    <w:rsid w:val="00ED4D4A"/>
    <w:rsid w:val="00ED5442"/>
    <w:rsid w:val="00EE0250"/>
    <w:rsid w:val="00EE11C5"/>
    <w:rsid w:val="00EE5416"/>
    <w:rsid w:val="00EE691C"/>
    <w:rsid w:val="00EF1338"/>
    <w:rsid w:val="00EF400F"/>
    <w:rsid w:val="00EF5234"/>
    <w:rsid w:val="00EF5CD1"/>
    <w:rsid w:val="00F01D1D"/>
    <w:rsid w:val="00F0343F"/>
    <w:rsid w:val="00F03704"/>
    <w:rsid w:val="00F03A1B"/>
    <w:rsid w:val="00F057A1"/>
    <w:rsid w:val="00F05885"/>
    <w:rsid w:val="00F05C19"/>
    <w:rsid w:val="00F10152"/>
    <w:rsid w:val="00F102D2"/>
    <w:rsid w:val="00F115EA"/>
    <w:rsid w:val="00F126E7"/>
    <w:rsid w:val="00F17E95"/>
    <w:rsid w:val="00F20604"/>
    <w:rsid w:val="00F22995"/>
    <w:rsid w:val="00F24DEB"/>
    <w:rsid w:val="00F268F8"/>
    <w:rsid w:val="00F32293"/>
    <w:rsid w:val="00F3339B"/>
    <w:rsid w:val="00F3414A"/>
    <w:rsid w:val="00F37D62"/>
    <w:rsid w:val="00F40E1C"/>
    <w:rsid w:val="00F426C6"/>
    <w:rsid w:val="00F42927"/>
    <w:rsid w:val="00F42FE5"/>
    <w:rsid w:val="00F45867"/>
    <w:rsid w:val="00F470E0"/>
    <w:rsid w:val="00F4764B"/>
    <w:rsid w:val="00F5003D"/>
    <w:rsid w:val="00F5055C"/>
    <w:rsid w:val="00F5056E"/>
    <w:rsid w:val="00F51A2F"/>
    <w:rsid w:val="00F54839"/>
    <w:rsid w:val="00F54DC2"/>
    <w:rsid w:val="00F60893"/>
    <w:rsid w:val="00F6202D"/>
    <w:rsid w:val="00F6349F"/>
    <w:rsid w:val="00F639BB"/>
    <w:rsid w:val="00F64A17"/>
    <w:rsid w:val="00F72B27"/>
    <w:rsid w:val="00F747A8"/>
    <w:rsid w:val="00F75E10"/>
    <w:rsid w:val="00F7768E"/>
    <w:rsid w:val="00F77B86"/>
    <w:rsid w:val="00F77E90"/>
    <w:rsid w:val="00F825F6"/>
    <w:rsid w:val="00F848F3"/>
    <w:rsid w:val="00F854AC"/>
    <w:rsid w:val="00F9402C"/>
    <w:rsid w:val="00F9439C"/>
    <w:rsid w:val="00F9522C"/>
    <w:rsid w:val="00F95780"/>
    <w:rsid w:val="00F95825"/>
    <w:rsid w:val="00FA376F"/>
    <w:rsid w:val="00FA452B"/>
    <w:rsid w:val="00FA64D6"/>
    <w:rsid w:val="00FA696A"/>
    <w:rsid w:val="00FA6B86"/>
    <w:rsid w:val="00FB0065"/>
    <w:rsid w:val="00FB1B38"/>
    <w:rsid w:val="00FB418F"/>
    <w:rsid w:val="00FB577E"/>
    <w:rsid w:val="00FB5B96"/>
    <w:rsid w:val="00FB608F"/>
    <w:rsid w:val="00FC11F2"/>
    <w:rsid w:val="00FC1FF1"/>
    <w:rsid w:val="00FC35BA"/>
    <w:rsid w:val="00FC443D"/>
    <w:rsid w:val="00FD003B"/>
    <w:rsid w:val="00FD2014"/>
    <w:rsid w:val="00FD4ADA"/>
    <w:rsid w:val="00FD5C35"/>
    <w:rsid w:val="00FD626E"/>
    <w:rsid w:val="00FD634A"/>
    <w:rsid w:val="00FE04A2"/>
    <w:rsid w:val="00FE1955"/>
    <w:rsid w:val="00FE1C94"/>
    <w:rsid w:val="00FE1FCC"/>
    <w:rsid w:val="00FE2E2C"/>
    <w:rsid w:val="00FE4E2C"/>
    <w:rsid w:val="00FE5BE6"/>
    <w:rsid w:val="00FE66F4"/>
    <w:rsid w:val="00FE78D9"/>
    <w:rsid w:val="00FF3B70"/>
    <w:rsid w:val="00FF3C06"/>
    <w:rsid w:val="00FF4759"/>
    <w:rsid w:val="00FF5B1B"/>
    <w:rsid w:val="00FF6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7C5"/>
    <w:rPr>
      <w:sz w:val="24"/>
      <w:lang w:val="en-AU" w:eastAsia="en-US"/>
    </w:rPr>
  </w:style>
  <w:style w:type="paragraph" w:styleId="Heading1">
    <w:name w:val="heading 1"/>
    <w:basedOn w:val="Normal"/>
    <w:next w:val="Normal"/>
    <w:qFormat/>
    <w:pPr>
      <w:keepNext/>
      <w:jc w:val="both"/>
      <w:outlineLvl w:val="0"/>
    </w:pPr>
    <w:rPr>
      <w:rFonts w:ascii="Arial" w:hAnsi="Arial"/>
      <w:u w:val="single"/>
    </w:rPr>
  </w:style>
  <w:style w:type="paragraph" w:styleId="Heading2">
    <w:name w:val="heading 2"/>
    <w:basedOn w:val="Normal"/>
    <w:next w:val="Normal"/>
    <w:qFormat/>
    <w:pPr>
      <w:keepNext/>
      <w:ind w:left="720" w:hanging="720"/>
      <w:jc w:val="both"/>
      <w:outlineLvl w:val="1"/>
    </w:pPr>
    <w:rPr>
      <w:rFonts w:ascii="Arial" w:hAnsi="Arial"/>
      <w:u w:val="single"/>
    </w:rPr>
  </w:style>
  <w:style w:type="paragraph" w:styleId="Heading3">
    <w:name w:val="heading 3"/>
    <w:basedOn w:val="Normal"/>
    <w:next w:val="Normal"/>
    <w:qFormat/>
    <w:pPr>
      <w:keepNext/>
      <w:outlineLvl w:val="2"/>
    </w:pPr>
    <w:rPr>
      <w:rFonts w:ascii="Arial" w:hAnsi="Arial"/>
      <w:i/>
    </w:rPr>
  </w:style>
  <w:style w:type="paragraph" w:styleId="Heading4">
    <w:name w:val="heading 4"/>
    <w:basedOn w:val="Normal"/>
    <w:next w:val="Normal"/>
    <w:qFormat/>
    <w:pPr>
      <w:keepNext/>
      <w:jc w:val="both"/>
      <w:outlineLvl w:val="3"/>
    </w:pPr>
    <w:rPr>
      <w:rFonts w:ascii="Arial" w:hAnsi="Arial"/>
      <w:i/>
    </w:rPr>
  </w:style>
  <w:style w:type="paragraph" w:styleId="Heading5">
    <w:name w:val="heading 5"/>
    <w:basedOn w:val="Normal"/>
    <w:next w:val="Normal"/>
    <w:qFormat/>
    <w:pPr>
      <w:keepNext/>
      <w:ind w:left="720"/>
      <w:jc w:val="both"/>
      <w:outlineLvl w:val="4"/>
    </w:pPr>
    <w:rPr>
      <w:rFonts w:ascii="Arial" w:hAnsi="Arial"/>
      <w:i/>
    </w:rPr>
  </w:style>
  <w:style w:type="paragraph" w:styleId="Heading6">
    <w:name w:val="heading 6"/>
    <w:basedOn w:val="Normal"/>
    <w:next w:val="Normal"/>
    <w:qFormat/>
    <w:pPr>
      <w:keepNext/>
      <w:jc w:val="both"/>
      <w:outlineLvl w:val="5"/>
    </w:pPr>
    <w:rPr>
      <w:rFonts w:ascii="Arial" w:hAnsi="Arial"/>
      <w:b/>
    </w:rPr>
  </w:style>
  <w:style w:type="paragraph" w:styleId="Heading7">
    <w:name w:val="heading 7"/>
    <w:basedOn w:val="Normal"/>
    <w:next w:val="Normal"/>
    <w:qFormat/>
    <w:pPr>
      <w:keepNext/>
      <w:ind w:left="2160" w:hanging="2018"/>
      <w:jc w:val="center"/>
      <w:outlineLvl w:val="6"/>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jc w:val="both"/>
    </w:pPr>
    <w:rPr>
      <w:rFonts w:ascii="Arial" w:hAnsi="Arial"/>
    </w:rPr>
  </w:style>
  <w:style w:type="paragraph" w:styleId="BodyTextIndent2">
    <w:name w:val="Body Text Indent 2"/>
    <w:basedOn w:val="Normal"/>
    <w:pPr>
      <w:ind w:left="720"/>
    </w:pPr>
    <w:rPr>
      <w:rFonts w:ascii="Arial" w:hAnsi="Arial"/>
    </w:rPr>
  </w:style>
  <w:style w:type="paragraph" w:styleId="BodyTextIndent3">
    <w:name w:val="Body Text Indent 3"/>
    <w:basedOn w:val="Normal"/>
    <w:pPr>
      <w:ind w:left="720" w:hanging="720"/>
      <w:jc w:val="both"/>
    </w:pPr>
    <w:rPr>
      <w:rFonts w:ascii="Arial" w:hAnsi="Arial"/>
    </w:rPr>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table" w:styleId="TableGrid">
    <w:name w:val="Table Grid"/>
    <w:basedOn w:val="TableNormal"/>
    <w:rsid w:val="00E27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808C8"/>
  </w:style>
  <w:style w:type="character" w:styleId="CommentReference">
    <w:name w:val="annotation reference"/>
    <w:semiHidden/>
    <w:rsid w:val="00CA4820"/>
    <w:rPr>
      <w:sz w:val="16"/>
      <w:szCs w:val="16"/>
    </w:rPr>
  </w:style>
  <w:style w:type="paragraph" w:styleId="CommentText">
    <w:name w:val="annotation text"/>
    <w:basedOn w:val="Normal"/>
    <w:semiHidden/>
    <w:rsid w:val="00CA4820"/>
    <w:rPr>
      <w:sz w:val="20"/>
    </w:rPr>
  </w:style>
  <w:style w:type="paragraph" w:styleId="CommentSubject">
    <w:name w:val="annotation subject"/>
    <w:basedOn w:val="CommentText"/>
    <w:next w:val="CommentText"/>
    <w:semiHidden/>
    <w:rsid w:val="00CA4820"/>
    <w:rPr>
      <w:b/>
      <w:bCs/>
    </w:rPr>
  </w:style>
  <w:style w:type="paragraph" w:styleId="BalloonText">
    <w:name w:val="Balloon Text"/>
    <w:basedOn w:val="Normal"/>
    <w:semiHidden/>
    <w:rsid w:val="00CA4820"/>
    <w:rPr>
      <w:rFonts w:ascii="Tahoma" w:hAnsi="Tahoma" w:cs="Tahoma"/>
      <w:sz w:val="16"/>
      <w:szCs w:val="16"/>
    </w:rPr>
  </w:style>
  <w:style w:type="paragraph" w:customStyle="1" w:styleId="msolistparagraph0">
    <w:name w:val="msolistparagraph"/>
    <w:basedOn w:val="Normal"/>
    <w:rsid w:val="008A4DCF"/>
    <w:pPr>
      <w:ind w:left="720"/>
    </w:pPr>
    <w:rPr>
      <w:rFonts w:ascii="Calibri" w:eastAsia="Calibri" w:hAnsi="Calibri"/>
      <w:sz w:val="22"/>
      <w:szCs w:val="22"/>
      <w:lang w:val="en-GB"/>
    </w:rPr>
  </w:style>
  <w:style w:type="table" w:customStyle="1" w:styleId="TableGrid1">
    <w:name w:val="Table Grid1"/>
    <w:basedOn w:val="TableNormal"/>
    <w:next w:val="TableGrid"/>
    <w:rsid w:val="00D0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0434A"/>
    <w:rPr>
      <w:sz w:val="20"/>
    </w:rPr>
  </w:style>
  <w:style w:type="character" w:customStyle="1" w:styleId="FootnoteTextChar">
    <w:name w:val="Footnote Text Char"/>
    <w:link w:val="FootnoteText"/>
    <w:rsid w:val="00D0434A"/>
    <w:rPr>
      <w:lang w:val="en-AU" w:eastAsia="en-US"/>
    </w:rPr>
  </w:style>
  <w:style w:type="character" w:styleId="FootnoteReference">
    <w:name w:val="footnote reference"/>
    <w:rsid w:val="00D0434A"/>
    <w:rPr>
      <w:vertAlign w:val="superscript"/>
    </w:rPr>
  </w:style>
  <w:style w:type="character" w:styleId="Hyperlink">
    <w:name w:val="Hyperlink"/>
    <w:basedOn w:val="DefaultParagraphFont"/>
    <w:rsid w:val="00444CBE"/>
    <w:rPr>
      <w:color w:val="0000FF" w:themeColor="hyperlink"/>
      <w:u w:val="single"/>
    </w:rPr>
  </w:style>
  <w:style w:type="paragraph" w:styleId="ListParagraph">
    <w:name w:val="List Paragraph"/>
    <w:basedOn w:val="Normal"/>
    <w:uiPriority w:val="34"/>
    <w:qFormat/>
    <w:rsid w:val="00F5056E"/>
    <w:pPr>
      <w:ind w:left="720"/>
      <w:contextualSpacing/>
    </w:pPr>
  </w:style>
  <w:style w:type="table" w:customStyle="1" w:styleId="TableGrid2">
    <w:name w:val="Table Grid2"/>
    <w:basedOn w:val="TableNormal"/>
    <w:next w:val="TableGrid"/>
    <w:uiPriority w:val="59"/>
    <w:rsid w:val="00B339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339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67C5"/>
    <w:pPr>
      <w:spacing w:before="100" w:beforeAutospacing="1" w:after="100" w:afterAutospacing="1"/>
    </w:pPr>
    <w:rPr>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7C5"/>
    <w:rPr>
      <w:sz w:val="24"/>
      <w:lang w:val="en-AU" w:eastAsia="en-US"/>
    </w:rPr>
  </w:style>
  <w:style w:type="paragraph" w:styleId="Heading1">
    <w:name w:val="heading 1"/>
    <w:basedOn w:val="Normal"/>
    <w:next w:val="Normal"/>
    <w:qFormat/>
    <w:pPr>
      <w:keepNext/>
      <w:jc w:val="both"/>
      <w:outlineLvl w:val="0"/>
    </w:pPr>
    <w:rPr>
      <w:rFonts w:ascii="Arial" w:hAnsi="Arial"/>
      <w:u w:val="single"/>
    </w:rPr>
  </w:style>
  <w:style w:type="paragraph" w:styleId="Heading2">
    <w:name w:val="heading 2"/>
    <w:basedOn w:val="Normal"/>
    <w:next w:val="Normal"/>
    <w:qFormat/>
    <w:pPr>
      <w:keepNext/>
      <w:ind w:left="720" w:hanging="720"/>
      <w:jc w:val="both"/>
      <w:outlineLvl w:val="1"/>
    </w:pPr>
    <w:rPr>
      <w:rFonts w:ascii="Arial" w:hAnsi="Arial"/>
      <w:u w:val="single"/>
    </w:rPr>
  </w:style>
  <w:style w:type="paragraph" w:styleId="Heading3">
    <w:name w:val="heading 3"/>
    <w:basedOn w:val="Normal"/>
    <w:next w:val="Normal"/>
    <w:qFormat/>
    <w:pPr>
      <w:keepNext/>
      <w:outlineLvl w:val="2"/>
    </w:pPr>
    <w:rPr>
      <w:rFonts w:ascii="Arial" w:hAnsi="Arial"/>
      <w:i/>
    </w:rPr>
  </w:style>
  <w:style w:type="paragraph" w:styleId="Heading4">
    <w:name w:val="heading 4"/>
    <w:basedOn w:val="Normal"/>
    <w:next w:val="Normal"/>
    <w:qFormat/>
    <w:pPr>
      <w:keepNext/>
      <w:jc w:val="both"/>
      <w:outlineLvl w:val="3"/>
    </w:pPr>
    <w:rPr>
      <w:rFonts w:ascii="Arial" w:hAnsi="Arial"/>
      <w:i/>
    </w:rPr>
  </w:style>
  <w:style w:type="paragraph" w:styleId="Heading5">
    <w:name w:val="heading 5"/>
    <w:basedOn w:val="Normal"/>
    <w:next w:val="Normal"/>
    <w:qFormat/>
    <w:pPr>
      <w:keepNext/>
      <w:ind w:left="720"/>
      <w:jc w:val="both"/>
      <w:outlineLvl w:val="4"/>
    </w:pPr>
    <w:rPr>
      <w:rFonts w:ascii="Arial" w:hAnsi="Arial"/>
      <w:i/>
    </w:rPr>
  </w:style>
  <w:style w:type="paragraph" w:styleId="Heading6">
    <w:name w:val="heading 6"/>
    <w:basedOn w:val="Normal"/>
    <w:next w:val="Normal"/>
    <w:qFormat/>
    <w:pPr>
      <w:keepNext/>
      <w:jc w:val="both"/>
      <w:outlineLvl w:val="5"/>
    </w:pPr>
    <w:rPr>
      <w:rFonts w:ascii="Arial" w:hAnsi="Arial"/>
      <w:b/>
    </w:rPr>
  </w:style>
  <w:style w:type="paragraph" w:styleId="Heading7">
    <w:name w:val="heading 7"/>
    <w:basedOn w:val="Normal"/>
    <w:next w:val="Normal"/>
    <w:qFormat/>
    <w:pPr>
      <w:keepNext/>
      <w:ind w:left="2160" w:hanging="2018"/>
      <w:jc w:val="center"/>
      <w:outlineLvl w:val="6"/>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jc w:val="both"/>
    </w:pPr>
    <w:rPr>
      <w:rFonts w:ascii="Arial" w:hAnsi="Arial"/>
    </w:rPr>
  </w:style>
  <w:style w:type="paragraph" w:styleId="BodyTextIndent2">
    <w:name w:val="Body Text Indent 2"/>
    <w:basedOn w:val="Normal"/>
    <w:pPr>
      <w:ind w:left="720"/>
    </w:pPr>
    <w:rPr>
      <w:rFonts w:ascii="Arial" w:hAnsi="Arial"/>
    </w:rPr>
  </w:style>
  <w:style w:type="paragraph" w:styleId="BodyTextIndent3">
    <w:name w:val="Body Text Indent 3"/>
    <w:basedOn w:val="Normal"/>
    <w:pPr>
      <w:ind w:left="720" w:hanging="720"/>
      <w:jc w:val="both"/>
    </w:pPr>
    <w:rPr>
      <w:rFonts w:ascii="Arial" w:hAnsi="Arial"/>
    </w:rPr>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table" w:styleId="TableGrid">
    <w:name w:val="Table Grid"/>
    <w:basedOn w:val="TableNormal"/>
    <w:rsid w:val="00E27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808C8"/>
  </w:style>
  <w:style w:type="character" w:styleId="CommentReference">
    <w:name w:val="annotation reference"/>
    <w:semiHidden/>
    <w:rsid w:val="00CA4820"/>
    <w:rPr>
      <w:sz w:val="16"/>
      <w:szCs w:val="16"/>
    </w:rPr>
  </w:style>
  <w:style w:type="paragraph" w:styleId="CommentText">
    <w:name w:val="annotation text"/>
    <w:basedOn w:val="Normal"/>
    <w:semiHidden/>
    <w:rsid w:val="00CA4820"/>
    <w:rPr>
      <w:sz w:val="20"/>
    </w:rPr>
  </w:style>
  <w:style w:type="paragraph" w:styleId="CommentSubject">
    <w:name w:val="annotation subject"/>
    <w:basedOn w:val="CommentText"/>
    <w:next w:val="CommentText"/>
    <w:semiHidden/>
    <w:rsid w:val="00CA4820"/>
    <w:rPr>
      <w:b/>
      <w:bCs/>
    </w:rPr>
  </w:style>
  <w:style w:type="paragraph" w:styleId="BalloonText">
    <w:name w:val="Balloon Text"/>
    <w:basedOn w:val="Normal"/>
    <w:semiHidden/>
    <w:rsid w:val="00CA4820"/>
    <w:rPr>
      <w:rFonts w:ascii="Tahoma" w:hAnsi="Tahoma" w:cs="Tahoma"/>
      <w:sz w:val="16"/>
      <w:szCs w:val="16"/>
    </w:rPr>
  </w:style>
  <w:style w:type="paragraph" w:customStyle="1" w:styleId="msolistparagraph0">
    <w:name w:val="msolistparagraph"/>
    <w:basedOn w:val="Normal"/>
    <w:rsid w:val="008A4DCF"/>
    <w:pPr>
      <w:ind w:left="720"/>
    </w:pPr>
    <w:rPr>
      <w:rFonts w:ascii="Calibri" w:eastAsia="Calibri" w:hAnsi="Calibri"/>
      <w:sz w:val="22"/>
      <w:szCs w:val="22"/>
      <w:lang w:val="en-GB"/>
    </w:rPr>
  </w:style>
  <w:style w:type="table" w:customStyle="1" w:styleId="TableGrid1">
    <w:name w:val="Table Grid1"/>
    <w:basedOn w:val="TableNormal"/>
    <w:next w:val="TableGrid"/>
    <w:rsid w:val="00D0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0434A"/>
    <w:rPr>
      <w:sz w:val="20"/>
    </w:rPr>
  </w:style>
  <w:style w:type="character" w:customStyle="1" w:styleId="FootnoteTextChar">
    <w:name w:val="Footnote Text Char"/>
    <w:link w:val="FootnoteText"/>
    <w:rsid w:val="00D0434A"/>
    <w:rPr>
      <w:lang w:val="en-AU" w:eastAsia="en-US"/>
    </w:rPr>
  </w:style>
  <w:style w:type="character" w:styleId="FootnoteReference">
    <w:name w:val="footnote reference"/>
    <w:rsid w:val="00D0434A"/>
    <w:rPr>
      <w:vertAlign w:val="superscript"/>
    </w:rPr>
  </w:style>
  <w:style w:type="character" w:styleId="Hyperlink">
    <w:name w:val="Hyperlink"/>
    <w:basedOn w:val="DefaultParagraphFont"/>
    <w:rsid w:val="00444CBE"/>
    <w:rPr>
      <w:color w:val="0000FF" w:themeColor="hyperlink"/>
      <w:u w:val="single"/>
    </w:rPr>
  </w:style>
  <w:style w:type="paragraph" w:styleId="ListParagraph">
    <w:name w:val="List Paragraph"/>
    <w:basedOn w:val="Normal"/>
    <w:uiPriority w:val="34"/>
    <w:qFormat/>
    <w:rsid w:val="00F5056E"/>
    <w:pPr>
      <w:ind w:left="720"/>
      <w:contextualSpacing/>
    </w:pPr>
  </w:style>
  <w:style w:type="table" w:customStyle="1" w:styleId="TableGrid2">
    <w:name w:val="Table Grid2"/>
    <w:basedOn w:val="TableNormal"/>
    <w:next w:val="TableGrid"/>
    <w:uiPriority w:val="59"/>
    <w:rsid w:val="00B339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339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67C5"/>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3008">
      <w:bodyDiv w:val="1"/>
      <w:marLeft w:val="0"/>
      <w:marRight w:val="0"/>
      <w:marTop w:val="0"/>
      <w:marBottom w:val="0"/>
      <w:divBdr>
        <w:top w:val="none" w:sz="0" w:space="0" w:color="auto"/>
        <w:left w:val="none" w:sz="0" w:space="0" w:color="auto"/>
        <w:bottom w:val="none" w:sz="0" w:space="0" w:color="auto"/>
        <w:right w:val="none" w:sz="0" w:space="0" w:color="auto"/>
      </w:divBdr>
    </w:div>
    <w:div w:id="149098514">
      <w:bodyDiv w:val="1"/>
      <w:marLeft w:val="0"/>
      <w:marRight w:val="0"/>
      <w:marTop w:val="0"/>
      <w:marBottom w:val="0"/>
      <w:divBdr>
        <w:top w:val="none" w:sz="0" w:space="0" w:color="auto"/>
        <w:left w:val="none" w:sz="0" w:space="0" w:color="auto"/>
        <w:bottom w:val="none" w:sz="0" w:space="0" w:color="auto"/>
        <w:right w:val="none" w:sz="0" w:space="0" w:color="auto"/>
      </w:divBdr>
    </w:div>
    <w:div w:id="165634564">
      <w:bodyDiv w:val="1"/>
      <w:marLeft w:val="0"/>
      <w:marRight w:val="0"/>
      <w:marTop w:val="0"/>
      <w:marBottom w:val="0"/>
      <w:divBdr>
        <w:top w:val="none" w:sz="0" w:space="0" w:color="auto"/>
        <w:left w:val="none" w:sz="0" w:space="0" w:color="auto"/>
        <w:bottom w:val="none" w:sz="0" w:space="0" w:color="auto"/>
        <w:right w:val="none" w:sz="0" w:space="0" w:color="auto"/>
      </w:divBdr>
    </w:div>
    <w:div w:id="216868161">
      <w:bodyDiv w:val="1"/>
      <w:marLeft w:val="0"/>
      <w:marRight w:val="0"/>
      <w:marTop w:val="0"/>
      <w:marBottom w:val="0"/>
      <w:divBdr>
        <w:top w:val="none" w:sz="0" w:space="0" w:color="auto"/>
        <w:left w:val="none" w:sz="0" w:space="0" w:color="auto"/>
        <w:bottom w:val="none" w:sz="0" w:space="0" w:color="auto"/>
        <w:right w:val="none" w:sz="0" w:space="0" w:color="auto"/>
      </w:divBdr>
    </w:div>
    <w:div w:id="255943627">
      <w:bodyDiv w:val="1"/>
      <w:marLeft w:val="0"/>
      <w:marRight w:val="0"/>
      <w:marTop w:val="0"/>
      <w:marBottom w:val="0"/>
      <w:divBdr>
        <w:top w:val="none" w:sz="0" w:space="0" w:color="auto"/>
        <w:left w:val="none" w:sz="0" w:space="0" w:color="auto"/>
        <w:bottom w:val="none" w:sz="0" w:space="0" w:color="auto"/>
        <w:right w:val="none" w:sz="0" w:space="0" w:color="auto"/>
      </w:divBdr>
    </w:div>
    <w:div w:id="257106989">
      <w:bodyDiv w:val="1"/>
      <w:marLeft w:val="0"/>
      <w:marRight w:val="0"/>
      <w:marTop w:val="0"/>
      <w:marBottom w:val="0"/>
      <w:divBdr>
        <w:top w:val="none" w:sz="0" w:space="0" w:color="auto"/>
        <w:left w:val="none" w:sz="0" w:space="0" w:color="auto"/>
        <w:bottom w:val="none" w:sz="0" w:space="0" w:color="auto"/>
        <w:right w:val="none" w:sz="0" w:space="0" w:color="auto"/>
      </w:divBdr>
    </w:div>
    <w:div w:id="341056288">
      <w:bodyDiv w:val="1"/>
      <w:marLeft w:val="0"/>
      <w:marRight w:val="0"/>
      <w:marTop w:val="0"/>
      <w:marBottom w:val="0"/>
      <w:divBdr>
        <w:top w:val="none" w:sz="0" w:space="0" w:color="auto"/>
        <w:left w:val="none" w:sz="0" w:space="0" w:color="auto"/>
        <w:bottom w:val="none" w:sz="0" w:space="0" w:color="auto"/>
        <w:right w:val="none" w:sz="0" w:space="0" w:color="auto"/>
      </w:divBdr>
    </w:div>
    <w:div w:id="344017334">
      <w:bodyDiv w:val="1"/>
      <w:marLeft w:val="0"/>
      <w:marRight w:val="0"/>
      <w:marTop w:val="0"/>
      <w:marBottom w:val="0"/>
      <w:divBdr>
        <w:top w:val="none" w:sz="0" w:space="0" w:color="auto"/>
        <w:left w:val="none" w:sz="0" w:space="0" w:color="auto"/>
        <w:bottom w:val="none" w:sz="0" w:space="0" w:color="auto"/>
        <w:right w:val="none" w:sz="0" w:space="0" w:color="auto"/>
      </w:divBdr>
    </w:div>
    <w:div w:id="382220276">
      <w:bodyDiv w:val="1"/>
      <w:marLeft w:val="0"/>
      <w:marRight w:val="0"/>
      <w:marTop w:val="0"/>
      <w:marBottom w:val="0"/>
      <w:divBdr>
        <w:top w:val="none" w:sz="0" w:space="0" w:color="auto"/>
        <w:left w:val="none" w:sz="0" w:space="0" w:color="auto"/>
        <w:bottom w:val="none" w:sz="0" w:space="0" w:color="auto"/>
        <w:right w:val="none" w:sz="0" w:space="0" w:color="auto"/>
      </w:divBdr>
    </w:div>
    <w:div w:id="478347660">
      <w:bodyDiv w:val="1"/>
      <w:marLeft w:val="0"/>
      <w:marRight w:val="0"/>
      <w:marTop w:val="0"/>
      <w:marBottom w:val="0"/>
      <w:divBdr>
        <w:top w:val="none" w:sz="0" w:space="0" w:color="auto"/>
        <w:left w:val="none" w:sz="0" w:space="0" w:color="auto"/>
        <w:bottom w:val="none" w:sz="0" w:space="0" w:color="auto"/>
        <w:right w:val="none" w:sz="0" w:space="0" w:color="auto"/>
      </w:divBdr>
    </w:div>
    <w:div w:id="488181852">
      <w:bodyDiv w:val="1"/>
      <w:marLeft w:val="0"/>
      <w:marRight w:val="0"/>
      <w:marTop w:val="0"/>
      <w:marBottom w:val="0"/>
      <w:divBdr>
        <w:top w:val="none" w:sz="0" w:space="0" w:color="auto"/>
        <w:left w:val="none" w:sz="0" w:space="0" w:color="auto"/>
        <w:bottom w:val="none" w:sz="0" w:space="0" w:color="auto"/>
        <w:right w:val="none" w:sz="0" w:space="0" w:color="auto"/>
      </w:divBdr>
    </w:div>
    <w:div w:id="501238321">
      <w:bodyDiv w:val="1"/>
      <w:marLeft w:val="0"/>
      <w:marRight w:val="0"/>
      <w:marTop w:val="0"/>
      <w:marBottom w:val="0"/>
      <w:divBdr>
        <w:top w:val="none" w:sz="0" w:space="0" w:color="auto"/>
        <w:left w:val="none" w:sz="0" w:space="0" w:color="auto"/>
        <w:bottom w:val="none" w:sz="0" w:space="0" w:color="auto"/>
        <w:right w:val="none" w:sz="0" w:space="0" w:color="auto"/>
      </w:divBdr>
    </w:div>
    <w:div w:id="517425498">
      <w:bodyDiv w:val="1"/>
      <w:marLeft w:val="0"/>
      <w:marRight w:val="0"/>
      <w:marTop w:val="0"/>
      <w:marBottom w:val="0"/>
      <w:divBdr>
        <w:top w:val="none" w:sz="0" w:space="0" w:color="auto"/>
        <w:left w:val="none" w:sz="0" w:space="0" w:color="auto"/>
        <w:bottom w:val="none" w:sz="0" w:space="0" w:color="auto"/>
        <w:right w:val="none" w:sz="0" w:space="0" w:color="auto"/>
      </w:divBdr>
    </w:div>
    <w:div w:id="733898165">
      <w:bodyDiv w:val="1"/>
      <w:marLeft w:val="0"/>
      <w:marRight w:val="0"/>
      <w:marTop w:val="0"/>
      <w:marBottom w:val="0"/>
      <w:divBdr>
        <w:top w:val="none" w:sz="0" w:space="0" w:color="auto"/>
        <w:left w:val="none" w:sz="0" w:space="0" w:color="auto"/>
        <w:bottom w:val="none" w:sz="0" w:space="0" w:color="auto"/>
        <w:right w:val="none" w:sz="0" w:space="0" w:color="auto"/>
      </w:divBdr>
    </w:div>
    <w:div w:id="744913155">
      <w:bodyDiv w:val="1"/>
      <w:marLeft w:val="0"/>
      <w:marRight w:val="0"/>
      <w:marTop w:val="0"/>
      <w:marBottom w:val="0"/>
      <w:divBdr>
        <w:top w:val="none" w:sz="0" w:space="0" w:color="auto"/>
        <w:left w:val="none" w:sz="0" w:space="0" w:color="auto"/>
        <w:bottom w:val="none" w:sz="0" w:space="0" w:color="auto"/>
        <w:right w:val="none" w:sz="0" w:space="0" w:color="auto"/>
      </w:divBdr>
    </w:div>
    <w:div w:id="822896238">
      <w:bodyDiv w:val="1"/>
      <w:marLeft w:val="0"/>
      <w:marRight w:val="0"/>
      <w:marTop w:val="0"/>
      <w:marBottom w:val="0"/>
      <w:divBdr>
        <w:top w:val="none" w:sz="0" w:space="0" w:color="auto"/>
        <w:left w:val="none" w:sz="0" w:space="0" w:color="auto"/>
        <w:bottom w:val="none" w:sz="0" w:space="0" w:color="auto"/>
        <w:right w:val="none" w:sz="0" w:space="0" w:color="auto"/>
      </w:divBdr>
    </w:div>
    <w:div w:id="833764334">
      <w:bodyDiv w:val="1"/>
      <w:marLeft w:val="0"/>
      <w:marRight w:val="0"/>
      <w:marTop w:val="0"/>
      <w:marBottom w:val="0"/>
      <w:divBdr>
        <w:top w:val="none" w:sz="0" w:space="0" w:color="auto"/>
        <w:left w:val="none" w:sz="0" w:space="0" w:color="auto"/>
        <w:bottom w:val="none" w:sz="0" w:space="0" w:color="auto"/>
        <w:right w:val="none" w:sz="0" w:space="0" w:color="auto"/>
      </w:divBdr>
    </w:div>
    <w:div w:id="923950037">
      <w:bodyDiv w:val="1"/>
      <w:marLeft w:val="0"/>
      <w:marRight w:val="0"/>
      <w:marTop w:val="0"/>
      <w:marBottom w:val="0"/>
      <w:divBdr>
        <w:top w:val="none" w:sz="0" w:space="0" w:color="auto"/>
        <w:left w:val="none" w:sz="0" w:space="0" w:color="auto"/>
        <w:bottom w:val="none" w:sz="0" w:space="0" w:color="auto"/>
        <w:right w:val="none" w:sz="0" w:space="0" w:color="auto"/>
      </w:divBdr>
    </w:div>
    <w:div w:id="1136488860">
      <w:bodyDiv w:val="1"/>
      <w:marLeft w:val="0"/>
      <w:marRight w:val="0"/>
      <w:marTop w:val="0"/>
      <w:marBottom w:val="0"/>
      <w:divBdr>
        <w:top w:val="none" w:sz="0" w:space="0" w:color="auto"/>
        <w:left w:val="none" w:sz="0" w:space="0" w:color="auto"/>
        <w:bottom w:val="none" w:sz="0" w:space="0" w:color="auto"/>
        <w:right w:val="none" w:sz="0" w:space="0" w:color="auto"/>
      </w:divBdr>
    </w:div>
    <w:div w:id="1187914261">
      <w:bodyDiv w:val="1"/>
      <w:marLeft w:val="0"/>
      <w:marRight w:val="0"/>
      <w:marTop w:val="0"/>
      <w:marBottom w:val="0"/>
      <w:divBdr>
        <w:top w:val="none" w:sz="0" w:space="0" w:color="auto"/>
        <w:left w:val="none" w:sz="0" w:space="0" w:color="auto"/>
        <w:bottom w:val="none" w:sz="0" w:space="0" w:color="auto"/>
        <w:right w:val="none" w:sz="0" w:space="0" w:color="auto"/>
      </w:divBdr>
    </w:div>
    <w:div w:id="1196121032">
      <w:bodyDiv w:val="1"/>
      <w:marLeft w:val="0"/>
      <w:marRight w:val="0"/>
      <w:marTop w:val="0"/>
      <w:marBottom w:val="0"/>
      <w:divBdr>
        <w:top w:val="none" w:sz="0" w:space="0" w:color="auto"/>
        <w:left w:val="none" w:sz="0" w:space="0" w:color="auto"/>
        <w:bottom w:val="none" w:sz="0" w:space="0" w:color="auto"/>
        <w:right w:val="none" w:sz="0" w:space="0" w:color="auto"/>
      </w:divBdr>
    </w:div>
    <w:div w:id="1239513737">
      <w:bodyDiv w:val="1"/>
      <w:marLeft w:val="0"/>
      <w:marRight w:val="0"/>
      <w:marTop w:val="0"/>
      <w:marBottom w:val="0"/>
      <w:divBdr>
        <w:top w:val="none" w:sz="0" w:space="0" w:color="auto"/>
        <w:left w:val="none" w:sz="0" w:space="0" w:color="auto"/>
        <w:bottom w:val="none" w:sz="0" w:space="0" w:color="auto"/>
        <w:right w:val="none" w:sz="0" w:space="0" w:color="auto"/>
      </w:divBdr>
    </w:div>
    <w:div w:id="1287200909">
      <w:bodyDiv w:val="1"/>
      <w:marLeft w:val="0"/>
      <w:marRight w:val="0"/>
      <w:marTop w:val="0"/>
      <w:marBottom w:val="0"/>
      <w:divBdr>
        <w:top w:val="none" w:sz="0" w:space="0" w:color="auto"/>
        <w:left w:val="none" w:sz="0" w:space="0" w:color="auto"/>
        <w:bottom w:val="none" w:sz="0" w:space="0" w:color="auto"/>
        <w:right w:val="none" w:sz="0" w:space="0" w:color="auto"/>
      </w:divBdr>
    </w:div>
    <w:div w:id="1317370332">
      <w:bodyDiv w:val="1"/>
      <w:marLeft w:val="0"/>
      <w:marRight w:val="0"/>
      <w:marTop w:val="0"/>
      <w:marBottom w:val="0"/>
      <w:divBdr>
        <w:top w:val="none" w:sz="0" w:space="0" w:color="auto"/>
        <w:left w:val="none" w:sz="0" w:space="0" w:color="auto"/>
        <w:bottom w:val="none" w:sz="0" w:space="0" w:color="auto"/>
        <w:right w:val="none" w:sz="0" w:space="0" w:color="auto"/>
      </w:divBdr>
    </w:div>
    <w:div w:id="1345127453">
      <w:bodyDiv w:val="1"/>
      <w:marLeft w:val="0"/>
      <w:marRight w:val="0"/>
      <w:marTop w:val="0"/>
      <w:marBottom w:val="0"/>
      <w:divBdr>
        <w:top w:val="none" w:sz="0" w:space="0" w:color="auto"/>
        <w:left w:val="none" w:sz="0" w:space="0" w:color="auto"/>
        <w:bottom w:val="none" w:sz="0" w:space="0" w:color="auto"/>
        <w:right w:val="none" w:sz="0" w:space="0" w:color="auto"/>
      </w:divBdr>
    </w:div>
    <w:div w:id="1410227291">
      <w:bodyDiv w:val="1"/>
      <w:marLeft w:val="0"/>
      <w:marRight w:val="0"/>
      <w:marTop w:val="0"/>
      <w:marBottom w:val="0"/>
      <w:divBdr>
        <w:top w:val="none" w:sz="0" w:space="0" w:color="auto"/>
        <w:left w:val="none" w:sz="0" w:space="0" w:color="auto"/>
        <w:bottom w:val="none" w:sz="0" w:space="0" w:color="auto"/>
        <w:right w:val="none" w:sz="0" w:space="0" w:color="auto"/>
      </w:divBdr>
    </w:div>
    <w:div w:id="1458178228">
      <w:bodyDiv w:val="1"/>
      <w:marLeft w:val="0"/>
      <w:marRight w:val="0"/>
      <w:marTop w:val="0"/>
      <w:marBottom w:val="0"/>
      <w:divBdr>
        <w:top w:val="none" w:sz="0" w:space="0" w:color="auto"/>
        <w:left w:val="none" w:sz="0" w:space="0" w:color="auto"/>
        <w:bottom w:val="none" w:sz="0" w:space="0" w:color="auto"/>
        <w:right w:val="none" w:sz="0" w:space="0" w:color="auto"/>
      </w:divBdr>
    </w:div>
    <w:div w:id="1481579677">
      <w:bodyDiv w:val="1"/>
      <w:marLeft w:val="0"/>
      <w:marRight w:val="0"/>
      <w:marTop w:val="0"/>
      <w:marBottom w:val="0"/>
      <w:divBdr>
        <w:top w:val="none" w:sz="0" w:space="0" w:color="auto"/>
        <w:left w:val="none" w:sz="0" w:space="0" w:color="auto"/>
        <w:bottom w:val="none" w:sz="0" w:space="0" w:color="auto"/>
        <w:right w:val="none" w:sz="0" w:space="0" w:color="auto"/>
      </w:divBdr>
    </w:div>
    <w:div w:id="1560700690">
      <w:bodyDiv w:val="1"/>
      <w:marLeft w:val="0"/>
      <w:marRight w:val="0"/>
      <w:marTop w:val="0"/>
      <w:marBottom w:val="0"/>
      <w:divBdr>
        <w:top w:val="none" w:sz="0" w:space="0" w:color="auto"/>
        <w:left w:val="none" w:sz="0" w:space="0" w:color="auto"/>
        <w:bottom w:val="none" w:sz="0" w:space="0" w:color="auto"/>
        <w:right w:val="none" w:sz="0" w:space="0" w:color="auto"/>
      </w:divBdr>
    </w:div>
    <w:div w:id="1566529523">
      <w:bodyDiv w:val="1"/>
      <w:marLeft w:val="0"/>
      <w:marRight w:val="0"/>
      <w:marTop w:val="0"/>
      <w:marBottom w:val="0"/>
      <w:divBdr>
        <w:top w:val="none" w:sz="0" w:space="0" w:color="auto"/>
        <w:left w:val="none" w:sz="0" w:space="0" w:color="auto"/>
        <w:bottom w:val="none" w:sz="0" w:space="0" w:color="auto"/>
        <w:right w:val="none" w:sz="0" w:space="0" w:color="auto"/>
      </w:divBdr>
    </w:div>
    <w:div w:id="1669670151">
      <w:bodyDiv w:val="1"/>
      <w:marLeft w:val="0"/>
      <w:marRight w:val="0"/>
      <w:marTop w:val="0"/>
      <w:marBottom w:val="0"/>
      <w:divBdr>
        <w:top w:val="none" w:sz="0" w:space="0" w:color="auto"/>
        <w:left w:val="none" w:sz="0" w:space="0" w:color="auto"/>
        <w:bottom w:val="none" w:sz="0" w:space="0" w:color="auto"/>
        <w:right w:val="none" w:sz="0" w:space="0" w:color="auto"/>
      </w:divBdr>
      <w:divsChild>
        <w:div w:id="449474119">
          <w:marLeft w:val="0"/>
          <w:marRight w:val="0"/>
          <w:marTop w:val="0"/>
          <w:marBottom w:val="0"/>
          <w:divBdr>
            <w:top w:val="none" w:sz="0" w:space="0" w:color="auto"/>
            <w:left w:val="none" w:sz="0" w:space="0" w:color="auto"/>
            <w:bottom w:val="none" w:sz="0" w:space="0" w:color="auto"/>
            <w:right w:val="none" w:sz="0" w:space="0" w:color="auto"/>
          </w:divBdr>
        </w:div>
        <w:div w:id="518737925">
          <w:marLeft w:val="0"/>
          <w:marRight w:val="0"/>
          <w:marTop w:val="0"/>
          <w:marBottom w:val="0"/>
          <w:divBdr>
            <w:top w:val="none" w:sz="0" w:space="0" w:color="auto"/>
            <w:left w:val="none" w:sz="0" w:space="0" w:color="auto"/>
            <w:bottom w:val="none" w:sz="0" w:space="0" w:color="auto"/>
            <w:right w:val="none" w:sz="0" w:space="0" w:color="auto"/>
          </w:divBdr>
        </w:div>
        <w:div w:id="1254970288">
          <w:marLeft w:val="0"/>
          <w:marRight w:val="0"/>
          <w:marTop w:val="0"/>
          <w:marBottom w:val="0"/>
          <w:divBdr>
            <w:top w:val="none" w:sz="0" w:space="0" w:color="auto"/>
            <w:left w:val="none" w:sz="0" w:space="0" w:color="auto"/>
            <w:bottom w:val="none" w:sz="0" w:space="0" w:color="auto"/>
            <w:right w:val="none" w:sz="0" w:space="0" w:color="auto"/>
          </w:divBdr>
        </w:div>
        <w:div w:id="1705331202">
          <w:marLeft w:val="0"/>
          <w:marRight w:val="0"/>
          <w:marTop w:val="150"/>
          <w:marBottom w:val="150"/>
          <w:divBdr>
            <w:top w:val="none" w:sz="0" w:space="0" w:color="auto"/>
            <w:left w:val="none" w:sz="0" w:space="0" w:color="auto"/>
            <w:bottom w:val="none" w:sz="0" w:space="0" w:color="auto"/>
            <w:right w:val="none" w:sz="0" w:space="0" w:color="auto"/>
          </w:divBdr>
          <w:divsChild>
            <w:div w:id="702097540">
              <w:marLeft w:val="0"/>
              <w:marRight w:val="0"/>
              <w:marTop w:val="0"/>
              <w:marBottom w:val="0"/>
              <w:divBdr>
                <w:top w:val="none" w:sz="0" w:space="0" w:color="auto"/>
                <w:left w:val="none" w:sz="0" w:space="0" w:color="auto"/>
                <w:bottom w:val="none" w:sz="0" w:space="0" w:color="auto"/>
                <w:right w:val="none" w:sz="0" w:space="0" w:color="auto"/>
              </w:divBdr>
              <w:divsChild>
                <w:div w:id="1496064747">
                  <w:marLeft w:val="0"/>
                  <w:marRight w:val="0"/>
                  <w:marTop w:val="0"/>
                  <w:marBottom w:val="0"/>
                  <w:divBdr>
                    <w:top w:val="none" w:sz="0" w:space="0" w:color="auto"/>
                    <w:left w:val="none" w:sz="0" w:space="0" w:color="auto"/>
                    <w:bottom w:val="none" w:sz="0" w:space="0" w:color="auto"/>
                    <w:right w:val="none" w:sz="0" w:space="0" w:color="auto"/>
                  </w:divBdr>
                  <w:divsChild>
                    <w:div w:id="123013634">
                      <w:marLeft w:val="0"/>
                      <w:marRight w:val="0"/>
                      <w:marTop w:val="0"/>
                      <w:marBottom w:val="0"/>
                      <w:divBdr>
                        <w:top w:val="none" w:sz="0" w:space="0" w:color="auto"/>
                        <w:left w:val="none" w:sz="0" w:space="0" w:color="auto"/>
                        <w:bottom w:val="none" w:sz="0" w:space="0" w:color="auto"/>
                        <w:right w:val="none" w:sz="0" w:space="0" w:color="auto"/>
                      </w:divBdr>
                      <w:divsChild>
                        <w:div w:id="809640168">
                          <w:marLeft w:val="0"/>
                          <w:marRight w:val="0"/>
                          <w:marTop w:val="0"/>
                          <w:marBottom w:val="225"/>
                          <w:divBdr>
                            <w:top w:val="single" w:sz="6" w:space="0" w:color="C2C0C0"/>
                            <w:left w:val="single" w:sz="6" w:space="0" w:color="C2C0C0"/>
                            <w:bottom w:val="single" w:sz="6" w:space="0" w:color="C2C0C0"/>
                            <w:right w:val="single" w:sz="6" w:space="0" w:color="C2C0C0"/>
                          </w:divBdr>
                          <w:divsChild>
                            <w:div w:id="704408608">
                              <w:marLeft w:val="0"/>
                              <w:marRight w:val="0"/>
                              <w:marTop w:val="0"/>
                              <w:marBottom w:val="0"/>
                              <w:divBdr>
                                <w:top w:val="none" w:sz="0" w:space="0" w:color="auto"/>
                                <w:left w:val="none" w:sz="0" w:space="0" w:color="auto"/>
                                <w:bottom w:val="none" w:sz="0" w:space="0" w:color="auto"/>
                                <w:right w:val="none" w:sz="0" w:space="0" w:color="auto"/>
                              </w:divBdr>
                              <w:divsChild>
                                <w:div w:id="621033000">
                                  <w:marLeft w:val="0"/>
                                  <w:marRight w:val="0"/>
                                  <w:marTop w:val="0"/>
                                  <w:marBottom w:val="0"/>
                                  <w:divBdr>
                                    <w:top w:val="none" w:sz="0" w:space="0" w:color="auto"/>
                                    <w:left w:val="none" w:sz="0" w:space="0" w:color="auto"/>
                                    <w:bottom w:val="none" w:sz="0" w:space="0" w:color="auto"/>
                                    <w:right w:val="none" w:sz="0" w:space="0" w:color="auto"/>
                                  </w:divBdr>
                                  <w:divsChild>
                                    <w:div w:id="13644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42109">
                      <w:marLeft w:val="0"/>
                      <w:marRight w:val="0"/>
                      <w:marTop w:val="0"/>
                      <w:marBottom w:val="150"/>
                      <w:divBdr>
                        <w:top w:val="single" w:sz="6" w:space="0" w:color="C2C0C0"/>
                        <w:left w:val="single" w:sz="6" w:space="0" w:color="C2C0C0"/>
                        <w:bottom w:val="single" w:sz="6" w:space="0" w:color="C2C0C0"/>
                        <w:right w:val="single" w:sz="6" w:space="0" w:color="C2C0C0"/>
                      </w:divBdr>
                      <w:divsChild>
                        <w:div w:id="256602064">
                          <w:marLeft w:val="0"/>
                          <w:marRight w:val="0"/>
                          <w:marTop w:val="0"/>
                          <w:marBottom w:val="0"/>
                          <w:divBdr>
                            <w:top w:val="none" w:sz="0" w:space="0" w:color="auto"/>
                            <w:left w:val="none" w:sz="0" w:space="0" w:color="auto"/>
                            <w:bottom w:val="none" w:sz="0" w:space="0" w:color="auto"/>
                            <w:right w:val="none" w:sz="0" w:space="0" w:color="auto"/>
                          </w:divBdr>
                        </w:div>
                        <w:div w:id="2019119951">
                          <w:marLeft w:val="0"/>
                          <w:marRight w:val="0"/>
                          <w:marTop w:val="0"/>
                          <w:marBottom w:val="0"/>
                          <w:divBdr>
                            <w:top w:val="none" w:sz="0" w:space="0" w:color="auto"/>
                            <w:left w:val="none" w:sz="0" w:space="0" w:color="auto"/>
                            <w:bottom w:val="none" w:sz="0" w:space="0" w:color="auto"/>
                            <w:right w:val="none" w:sz="0" w:space="0" w:color="auto"/>
                          </w:divBdr>
                        </w:div>
                      </w:divsChild>
                    </w:div>
                    <w:div w:id="1282959468">
                      <w:marLeft w:val="0"/>
                      <w:marRight w:val="0"/>
                      <w:marTop w:val="0"/>
                      <w:marBottom w:val="150"/>
                      <w:divBdr>
                        <w:top w:val="single" w:sz="6" w:space="0" w:color="C2C0C0"/>
                        <w:left w:val="single" w:sz="6" w:space="0" w:color="C2C0C0"/>
                        <w:bottom w:val="single" w:sz="6" w:space="0" w:color="C2C0C0"/>
                        <w:right w:val="single" w:sz="6" w:space="0" w:color="C2C0C0"/>
                      </w:divBdr>
                      <w:divsChild>
                        <w:div w:id="405029657">
                          <w:marLeft w:val="0"/>
                          <w:marRight w:val="0"/>
                          <w:marTop w:val="0"/>
                          <w:marBottom w:val="0"/>
                          <w:divBdr>
                            <w:top w:val="none" w:sz="0" w:space="0" w:color="auto"/>
                            <w:left w:val="none" w:sz="0" w:space="0" w:color="auto"/>
                            <w:bottom w:val="none" w:sz="0" w:space="0" w:color="auto"/>
                            <w:right w:val="none" w:sz="0" w:space="0" w:color="auto"/>
                          </w:divBdr>
                        </w:div>
                        <w:div w:id="1080253058">
                          <w:marLeft w:val="0"/>
                          <w:marRight w:val="0"/>
                          <w:marTop w:val="0"/>
                          <w:marBottom w:val="0"/>
                          <w:divBdr>
                            <w:top w:val="none" w:sz="0" w:space="0" w:color="auto"/>
                            <w:left w:val="none" w:sz="0" w:space="0" w:color="auto"/>
                            <w:bottom w:val="none" w:sz="0" w:space="0" w:color="auto"/>
                            <w:right w:val="none" w:sz="0" w:space="0" w:color="auto"/>
                          </w:divBdr>
                        </w:div>
                      </w:divsChild>
                    </w:div>
                    <w:div w:id="1345548814">
                      <w:marLeft w:val="0"/>
                      <w:marRight w:val="0"/>
                      <w:marTop w:val="0"/>
                      <w:marBottom w:val="150"/>
                      <w:divBdr>
                        <w:top w:val="single" w:sz="6" w:space="0" w:color="C2C0C0"/>
                        <w:left w:val="single" w:sz="6" w:space="0" w:color="C2C0C0"/>
                        <w:bottom w:val="single" w:sz="6" w:space="0" w:color="C2C0C0"/>
                        <w:right w:val="single" w:sz="6" w:space="0" w:color="C2C0C0"/>
                      </w:divBdr>
                      <w:divsChild>
                        <w:div w:id="529534946">
                          <w:marLeft w:val="0"/>
                          <w:marRight w:val="0"/>
                          <w:marTop w:val="0"/>
                          <w:marBottom w:val="0"/>
                          <w:divBdr>
                            <w:top w:val="none" w:sz="0" w:space="0" w:color="auto"/>
                            <w:left w:val="none" w:sz="0" w:space="0" w:color="auto"/>
                            <w:bottom w:val="none" w:sz="0" w:space="0" w:color="auto"/>
                            <w:right w:val="none" w:sz="0" w:space="0" w:color="auto"/>
                          </w:divBdr>
                        </w:div>
                        <w:div w:id="986014911">
                          <w:marLeft w:val="0"/>
                          <w:marRight w:val="0"/>
                          <w:marTop w:val="0"/>
                          <w:marBottom w:val="0"/>
                          <w:divBdr>
                            <w:top w:val="none" w:sz="0" w:space="0" w:color="auto"/>
                            <w:left w:val="none" w:sz="0" w:space="0" w:color="auto"/>
                            <w:bottom w:val="none" w:sz="0" w:space="0" w:color="auto"/>
                            <w:right w:val="none" w:sz="0" w:space="0" w:color="auto"/>
                          </w:divBdr>
                        </w:div>
                      </w:divsChild>
                    </w:div>
                    <w:div w:id="1503230308">
                      <w:marLeft w:val="0"/>
                      <w:marRight w:val="0"/>
                      <w:marTop w:val="0"/>
                      <w:marBottom w:val="150"/>
                      <w:divBdr>
                        <w:top w:val="single" w:sz="6" w:space="0" w:color="C2C0C0"/>
                        <w:left w:val="single" w:sz="6" w:space="0" w:color="C2C0C0"/>
                        <w:bottom w:val="single" w:sz="6" w:space="0" w:color="C2C0C0"/>
                        <w:right w:val="single" w:sz="6" w:space="0" w:color="C2C0C0"/>
                      </w:divBdr>
                      <w:divsChild>
                        <w:div w:id="344409679">
                          <w:marLeft w:val="0"/>
                          <w:marRight w:val="0"/>
                          <w:marTop w:val="0"/>
                          <w:marBottom w:val="0"/>
                          <w:divBdr>
                            <w:top w:val="none" w:sz="0" w:space="0" w:color="auto"/>
                            <w:left w:val="none" w:sz="0" w:space="0" w:color="auto"/>
                            <w:bottom w:val="none" w:sz="0" w:space="0" w:color="auto"/>
                            <w:right w:val="none" w:sz="0" w:space="0" w:color="auto"/>
                          </w:divBdr>
                        </w:div>
                        <w:div w:id="733236150">
                          <w:marLeft w:val="0"/>
                          <w:marRight w:val="0"/>
                          <w:marTop w:val="0"/>
                          <w:marBottom w:val="0"/>
                          <w:divBdr>
                            <w:top w:val="none" w:sz="0" w:space="0" w:color="auto"/>
                            <w:left w:val="none" w:sz="0" w:space="0" w:color="auto"/>
                            <w:bottom w:val="none" w:sz="0" w:space="0" w:color="auto"/>
                            <w:right w:val="none" w:sz="0" w:space="0" w:color="auto"/>
                          </w:divBdr>
                        </w:div>
                      </w:divsChild>
                    </w:div>
                    <w:div w:id="1875191428">
                      <w:marLeft w:val="0"/>
                      <w:marRight w:val="0"/>
                      <w:marTop w:val="0"/>
                      <w:marBottom w:val="150"/>
                      <w:divBdr>
                        <w:top w:val="single" w:sz="6" w:space="0" w:color="C2C0C0"/>
                        <w:left w:val="single" w:sz="6" w:space="0" w:color="C2C0C0"/>
                        <w:bottom w:val="single" w:sz="6" w:space="0" w:color="C2C0C0"/>
                        <w:right w:val="single" w:sz="6" w:space="0" w:color="C2C0C0"/>
                      </w:divBdr>
                      <w:divsChild>
                        <w:div w:id="1553885544">
                          <w:marLeft w:val="0"/>
                          <w:marRight w:val="0"/>
                          <w:marTop w:val="0"/>
                          <w:marBottom w:val="0"/>
                          <w:divBdr>
                            <w:top w:val="none" w:sz="0" w:space="0" w:color="auto"/>
                            <w:left w:val="none" w:sz="0" w:space="0" w:color="auto"/>
                            <w:bottom w:val="none" w:sz="0" w:space="0" w:color="auto"/>
                            <w:right w:val="none" w:sz="0" w:space="0" w:color="auto"/>
                          </w:divBdr>
                        </w:div>
                        <w:div w:id="1859811189">
                          <w:marLeft w:val="0"/>
                          <w:marRight w:val="0"/>
                          <w:marTop w:val="0"/>
                          <w:marBottom w:val="0"/>
                          <w:divBdr>
                            <w:top w:val="none" w:sz="0" w:space="0" w:color="auto"/>
                            <w:left w:val="none" w:sz="0" w:space="0" w:color="auto"/>
                            <w:bottom w:val="none" w:sz="0" w:space="0" w:color="auto"/>
                            <w:right w:val="none" w:sz="0" w:space="0" w:color="auto"/>
                          </w:divBdr>
                        </w:div>
                      </w:divsChild>
                    </w:div>
                    <w:div w:id="1930650627">
                      <w:marLeft w:val="0"/>
                      <w:marRight w:val="0"/>
                      <w:marTop w:val="0"/>
                      <w:marBottom w:val="150"/>
                      <w:divBdr>
                        <w:top w:val="single" w:sz="6" w:space="0" w:color="C2C0C0"/>
                        <w:left w:val="single" w:sz="6" w:space="0" w:color="C2C0C0"/>
                        <w:bottom w:val="single" w:sz="6" w:space="0" w:color="C2C0C0"/>
                        <w:right w:val="single" w:sz="6" w:space="0" w:color="C2C0C0"/>
                      </w:divBdr>
                      <w:divsChild>
                        <w:div w:id="377247263">
                          <w:marLeft w:val="0"/>
                          <w:marRight w:val="0"/>
                          <w:marTop w:val="0"/>
                          <w:marBottom w:val="0"/>
                          <w:divBdr>
                            <w:top w:val="none" w:sz="0" w:space="0" w:color="auto"/>
                            <w:left w:val="none" w:sz="0" w:space="0" w:color="auto"/>
                            <w:bottom w:val="none" w:sz="0" w:space="0" w:color="auto"/>
                            <w:right w:val="none" w:sz="0" w:space="0" w:color="auto"/>
                          </w:divBdr>
                        </w:div>
                        <w:div w:id="516191321">
                          <w:marLeft w:val="0"/>
                          <w:marRight w:val="0"/>
                          <w:marTop w:val="0"/>
                          <w:marBottom w:val="0"/>
                          <w:divBdr>
                            <w:top w:val="none" w:sz="0" w:space="0" w:color="auto"/>
                            <w:left w:val="none" w:sz="0" w:space="0" w:color="auto"/>
                            <w:bottom w:val="none" w:sz="0" w:space="0" w:color="auto"/>
                            <w:right w:val="none" w:sz="0" w:space="0" w:color="auto"/>
                          </w:divBdr>
                        </w:div>
                      </w:divsChild>
                    </w:div>
                    <w:div w:id="2072843591">
                      <w:marLeft w:val="0"/>
                      <w:marRight w:val="0"/>
                      <w:marTop w:val="0"/>
                      <w:marBottom w:val="150"/>
                      <w:divBdr>
                        <w:top w:val="single" w:sz="6" w:space="0" w:color="C2C0C0"/>
                        <w:left w:val="single" w:sz="6" w:space="0" w:color="C2C0C0"/>
                        <w:bottom w:val="single" w:sz="6" w:space="0" w:color="C2C0C0"/>
                        <w:right w:val="single" w:sz="6" w:space="0" w:color="C2C0C0"/>
                      </w:divBdr>
                      <w:divsChild>
                        <w:div w:id="1010254284">
                          <w:marLeft w:val="0"/>
                          <w:marRight w:val="0"/>
                          <w:marTop w:val="0"/>
                          <w:marBottom w:val="0"/>
                          <w:divBdr>
                            <w:top w:val="none" w:sz="0" w:space="0" w:color="auto"/>
                            <w:left w:val="none" w:sz="0" w:space="0" w:color="auto"/>
                            <w:bottom w:val="none" w:sz="0" w:space="0" w:color="auto"/>
                            <w:right w:val="none" w:sz="0" w:space="0" w:color="auto"/>
                          </w:divBdr>
                        </w:div>
                        <w:div w:id="1504783713">
                          <w:marLeft w:val="0"/>
                          <w:marRight w:val="0"/>
                          <w:marTop w:val="0"/>
                          <w:marBottom w:val="0"/>
                          <w:divBdr>
                            <w:top w:val="none" w:sz="0" w:space="0" w:color="auto"/>
                            <w:left w:val="none" w:sz="0" w:space="0" w:color="auto"/>
                            <w:bottom w:val="none" w:sz="0" w:space="0" w:color="auto"/>
                            <w:right w:val="none" w:sz="0" w:space="0" w:color="auto"/>
                          </w:divBdr>
                        </w:div>
                      </w:divsChild>
                    </w:div>
                    <w:div w:id="2100373245">
                      <w:marLeft w:val="0"/>
                      <w:marRight w:val="0"/>
                      <w:marTop w:val="0"/>
                      <w:marBottom w:val="150"/>
                      <w:divBdr>
                        <w:top w:val="single" w:sz="6" w:space="0" w:color="C2C0C0"/>
                        <w:left w:val="single" w:sz="6" w:space="0" w:color="C2C0C0"/>
                        <w:bottom w:val="single" w:sz="6" w:space="0" w:color="C2C0C0"/>
                        <w:right w:val="single" w:sz="6" w:space="0" w:color="C2C0C0"/>
                      </w:divBdr>
                      <w:divsChild>
                        <w:div w:id="1402823506">
                          <w:marLeft w:val="0"/>
                          <w:marRight w:val="0"/>
                          <w:marTop w:val="0"/>
                          <w:marBottom w:val="0"/>
                          <w:divBdr>
                            <w:top w:val="none" w:sz="0" w:space="0" w:color="auto"/>
                            <w:left w:val="none" w:sz="0" w:space="0" w:color="auto"/>
                            <w:bottom w:val="none" w:sz="0" w:space="0" w:color="auto"/>
                            <w:right w:val="none" w:sz="0" w:space="0" w:color="auto"/>
                          </w:divBdr>
                        </w:div>
                        <w:div w:id="14754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13824">
              <w:marLeft w:val="0"/>
              <w:marRight w:val="0"/>
              <w:marTop w:val="0"/>
              <w:marBottom w:val="0"/>
              <w:divBdr>
                <w:top w:val="none" w:sz="0" w:space="0" w:color="auto"/>
                <w:left w:val="none" w:sz="0" w:space="0" w:color="auto"/>
                <w:bottom w:val="single" w:sz="6" w:space="8" w:color="025369"/>
                <w:right w:val="none" w:sz="0" w:space="0" w:color="auto"/>
              </w:divBdr>
              <w:divsChild>
                <w:div w:id="1673144898">
                  <w:marLeft w:val="0"/>
                  <w:marRight w:val="0"/>
                  <w:marTop w:val="0"/>
                  <w:marBottom w:val="0"/>
                  <w:divBdr>
                    <w:top w:val="none" w:sz="0" w:space="0" w:color="auto"/>
                    <w:left w:val="none" w:sz="0" w:space="0" w:color="auto"/>
                    <w:bottom w:val="none" w:sz="0" w:space="0" w:color="auto"/>
                    <w:right w:val="none" w:sz="0" w:space="0" w:color="auto"/>
                  </w:divBdr>
                  <w:divsChild>
                    <w:div w:id="402023677">
                      <w:marLeft w:val="0"/>
                      <w:marRight w:val="0"/>
                      <w:marTop w:val="0"/>
                      <w:marBottom w:val="0"/>
                      <w:divBdr>
                        <w:top w:val="none" w:sz="0" w:space="0" w:color="auto"/>
                        <w:left w:val="none" w:sz="0" w:space="0" w:color="auto"/>
                        <w:bottom w:val="none" w:sz="0" w:space="0" w:color="auto"/>
                        <w:right w:val="none" w:sz="0" w:space="0" w:color="auto"/>
                      </w:divBdr>
                      <w:divsChild>
                        <w:div w:id="1952323703">
                          <w:marLeft w:val="0"/>
                          <w:marRight w:val="0"/>
                          <w:marTop w:val="0"/>
                          <w:marBottom w:val="0"/>
                          <w:divBdr>
                            <w:top w:val="none" w:sz="0" w:space="0" w:color="auto"/>
                            <w:left w:val="none" w:sz="0" w:space="0" w:color="auto"/>
                            <w:bottom w:val="none" w:sz="0" w:space="0" w:color="auto"/>
                            <w:right w:val="none" w:sz="0" w:space="0" w:color="auto"/>
                          </w:divBdr>
                        </w:div>
                      </w:divsChild>
                    </w:div>
                    <w:div w:id="1593590467">
                      <w:marLeft w:val="0"/>
                      <w:marRight w:val="0"/>
                      <w:marTop w:val="0"/>
                      <w:marBottom w:val="0"/>
                      <w:divBdr>
                        <w:top w:val="none" w:sz="0" w:space="0" w:color="auto"/>
                        <w:left w:val="none" w:sz="0" w:space="0" w:color="auto"/>
                        <w:bottom w:val="none" w:sz="0" w:space="0" w:color="auto"/>
                        <w:right w:val="none" w:sz="0" w:space="0" w:color="auto"/>
                      </w:divBdr>
                      <w:divsChild>
                        <w:div w:id="1717007117">
                          <w:marLeft w:val="0"/>
                          <w:marRight w:val="0"/>
                          <w:marTop w:val="0"/>
                          <w:marBottom w:val="0"/>
                          <w:divBdr>
                            <w:top w:val="none" w:sz="0" w:space="0" w:color="auto"/>
                            <w:left w:val="none" w:sz="0" w:space="0" w:color="auto"/>
                            <w:bottom w:val="none" w:sz="0" w:space="0" w:color="auto"/>
                            <w:right w:val="none" w:sz="0" w:space="0" w:color="auto"/>
                          </w:divBdr>
                        </w:div>
                      </w:divsChild>
                    </w:div>
                    <w:div w:id="1646425849">
                      <w:marLeft w:val="0"/>
                      <w:marRight w:val="0"/>
                      <w:marTop w:val="0"/>
                      <w:marBottom w:val="0"/>
                      <w:divBdr>
                        <w:top w:val="none" w:sz="0" w:space="0" w:color="auto"/>
                        <w:left w:val="none" w:sz="0" w:space="0" w:color="auto"/>
                        <w:bottom w:val="none" w:sz="0" w:space="0" w:color="auto"/>
                        <w:right w:val="none" w:sz="0" w:space="0" w:color="auto"/>
                      </w:divBdr>
                    </w:div>
                    <w:div w:id="1956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2043">
              <w:marLeft w:val="0"/>
              <w:marRight w:val="0"/>
              <w:marTop w:val="0"/>
              <w:marBottom w:val="0"/>
              <w:divBdr>
                <w:top w:val="single" w:sz="6" w:space="6" w:color="025369"/>
                <w:left w:val="none" w:sz="0" w:space="0" w:color="auto"/>
                <w:bottom w:val="none" w:sz="0" w:space="0" w:color="auto"/>
                <w:right w:val="none" w:sz="0" w:space="0" w:color="auto"/>
              </w:divBdr>
            </w:div>
            <w:div w:id="1574270683">
              <w:marLeft w:val="0"/>
              <w:marRight w:val="0"/>
              <w:marTop w:val="0"/>
              <w:marBottom w:val="0"/>
              <w:divBdr>
                <w:top w:val="none" w:sz="0" w:space="0" w:color="auto"/>
                <w:left w:val="none" w:sz="0" w:space="0" w:color="auto"/>
                <w:bottom w:val="none" w:sz="0" w:space="0" w:color="auto"/>
                <w:right w:val="none" w:sz="0" w:space="0" w:color="auto"/>
              </w:divBdr>
              <w:divsChild>
                <w:div w:id="383530297">
                  <w:marLeft w:val="0"/>
                  <w:marRight w:val="0"/>
                  <w:marTop w:val="0"/>
                  <w:marBottom w:val="0"/>
                  <w:divBdr>
                    <w:top w:val="none" w:sz="0" w:space="0" w:color="auto"/>
                    <w:left w:val="none" w:sz="0" w:space="0" w:color="auto"/>
                    <w:bottom w:val="none" w:sz="0" w:space="0" w:color="auto"/>
                    <w:right w:val="none" w:sz="0" w:space="0" w:color="auto"/>
                  </w:divBdr>
                  <w:divsChild>
                    <w:div w:id="8796301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705865">
      <w:bodyDiv w:val="1"/>
      <w:marLeft w:val="0"/>
      <w:marRight w:val="0"/>
      <w:marTop w:val="0"/>
      <w:marBottom w:val="0"/>
      <w:divBdr>
        <w:top w:val="none" w:sz="0" w:space="0" w:color="auto"/>
        <w:left w:val="none" w:sz="0" w:space="0" w:color="auto"/>
        <w:bottom w:val="none" w:sz="0" w:space="0" w:color="auto"/>
        <w:right w:val="none" w:sz="0" w:space="0" w:color="auto"/>
      </w:divBdr>
    </w:div>
    <w:div w:id="200431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s://www.housemark.co.uk/subscriber-tools/data-and-analysis/global-accounts-storyboar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35F3E-2492-483F-BCDD-E99D5847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3409</Words>
  <Characters>17839</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Hexagon Housing Association Ltd</vt:lpstr>
    </vt:vector>
  </TitlesOfParts>
  <Company>Hexagon Housing Association</Company>
  <LinksUpToDate>false</LinksUpToDate>
  <CharactersWithSpaces>21206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Hexagon Housing Association Ltd</dc:title>
  <dc:creator>Chris Birchall</dc:creator>
  <cp:lastModifiedBy>Valerie Sharpe</cp:lastModifiedBy>
  <cp:revision>4</cp:revision>
  <cp:lastPrinted>2017-09-04T12:50:00Z</cp:lastPrinted>
  <dcterms:created xsi:type="dcterms:W3CDTF">2017-09-29T14:51:00Z</dcterms:created>
  <dcterms:modified xsi:type="dcterms:W3CDTF">2017-09-29T16:51:00Z</dcterms:modified>
</cp:coreProperties>
</file>